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422910</wp:posOffset>
            </wp:positionH>
            <wp:positionV relativeFrom="page">
              <wp:posOffset>849630</wp:posOffset>
            </wp:positionV>
            <wp:extent cx="670750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15240"/>
                    </a:xfrm>
                    <a:prstGeom prst="rect">
                      <a:avLst/>
                    </a:prstGeom>
                    <a:noFill/>
                  </pic:spPr>
                </pic:pic>
              </a:graphicData>
            </a:graphic>
          </wp:anchor>
        </w:drawing>
        <w:t>UNITED STATES</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67075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17" w:lineRule="exact"/>
        <w:rPr>
          <w:sz w:val="24"/>
          <w:szCs w:val="24"/>
          <w:color w:val="auto"/>
        </w:rPr>
      </w:pPr>
    </w:p>
    <w:p>
      <w:pPr>
        <w:ind w:left="3260" w:right="2360" w:hanging="3242"/>
        <w:spacing w:after="0" w:line="548" w:lineRule="auto"/>
        <w:tabs>
          <w:tab w:leader="none" w:pos="241"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 FOR THE QUARTERLY PERIOD ENDED DECEMBER 31, 2024</w:t>
      </w:r>
    </w:p>
    <w:p>
      <w:pPr>
        <w:spacing w:after="0" w:line="249" w:lineRule="exact"/>
        <w:rPr>
          <w:sz w:val="24"/>
          <w:szCs w:val="24"/>
          <w:color w:val="auto"/>
        </w:rPr>
      </w:pPr>
    </w:p>
    <w:p>
      <w:pPr>
        <w:ind w:left="240" w:hanging="222"/>
        <w:spacing w:after="0"/>
        <w:tabs>
          <w:tab w:leader="none" w:pos="2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6940" w:type="dxa"/>
            <w:vAlign w:val="bottom"/>
          </w:tcPr>
          <w:p>
            <w:pPr>
              <w:ind w:left="368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300"/>
        </w:trPr>
        <w:tc>
          <w:tcPr>
            <w:tcW w:w="6940" w:type="dxa"/>
            <w:vAlign w:val="bottom"/>
          </w:tcPr>
          <w:p>
            <w:pPr>
              <w:jc w:val="center"/>
              <w:ind w:left="3569"/>
              <w:spacing w:after="0"/>
              <w:rPr>
                <w:sz w:val="20"/>
                <w:szCs w:val="20"/>
                <w:color w:val="auto"/>
              </w:rPr>
            </w:pPr>
            <w:r>
              <w:rPr>
                <w:rFonts w:ascii="Times New Roman" w:cs="Times New Roman" w:eastAsia="Times New Roman" w:hAnsi="Times New Roman"/>
                <w:sz w:val="16"/>
                <w:szCs w:val="16"/>
                <w:b w:val="1"/>
                <w:bCs w:val="1"/>
                <w:color w:val="auto"/>
                <w:w w:val="96"/>
              </w:rPr>
              <w:t>COMMISSION FILE NUMBER: 814-00891</w:t>
            </w:r>
          </w:p>
        </w:tc>
        <w:tc>
          <w:tcPr>
            <w:tcW w:w="3620" w:type="dxa"/>
            <w:vAlign w:val="bottom"/>
          </w:tcPr>
          <w:p>
            <w:pPr>
              <w:spacing w:after="0"/>
              <w:rPr>
                <w:sz w:val="24"/>
                <w:szCs w:val="24"/>
                <w:color w:val="auto"/>
              </w:rPr>
            </w:pPr>
          </w:p>
        </w:tc>
      </w:tr>
      <w:tr>
        <w:trPr>
          <w:trHeight w:val="146"/>
        </w:trPr>
        <w:tc>
          <w:tcPr>
            <w:tcW w:w="10560" w:type="dxa"/>
            <w:vAlign w:val="bottom"/>
            <w:tcBorders>
              <w:bottom w:val="single" w:sz="8" w:color="auto"/>
            </w:tcBorders>
            <w:gridSpan w:val="2"/>
          </w:tcPr>
          <w:p>
            <w:pPr>
              <w:spacing w:after="0"/>
              <w:rPr>
                <w:sz w:val="12"/>
                <w:szCs w:val="12"/>
                <w:color w:val="auto"/>
              </w:rPr>
            </w:pPr>
          </w:p>
        </w:tc>
      </w:tr>
      <w:tr>
        <w:trPr>
          <w:trHeight w:val="411"/>
        </w:trPr>
        <w:tc>
          <w:tcPr>
            <w:tcW w:w="10560" w:type="dxa"/>
            <w:vAlign w:val="bottom"/>
            <w:gridSpan w:val="2"/>
          </w:tcPr>
          <w:p>
            <w:pPr>
              <w:jc w:val="center"/>
              <w:spacing w:after="0"/>
              <w:rPr>
                <w:sz w:val="20"/>
                <w:szCs w:val="20"/>
                <w:color w:val="auto"/>
              </w:rPr>
            </w:pPr>
            <w:r>
              <w:rPr>
                <w:rFonts w:ascii="Times New Roman" w:cs="Times New Roman" w:eastAsia="Times New Roman" w:hAnsi="Times New Roman"/>
                <w:sz w:val="28"/>
                <w:szCs w:val="28"/>
                <w:b w:val="1"/>
                <w:bCs w:val="1"/>
                <w:color w:val="auto"/>
                <w:w w:val="98"/>
              </w:rPr>
              <w:t>PENNANTPARK FLOATING RATE CAPITAL LTD.</w:t>
            </w:r>
          </w:p>
        </w:tc>
      </w:tr>
      <w:tr>
        <w:trPr>
          <w:trHeight w:val="174"/>
        </w:trPr>
        <w:tc>
          <w:tcPr>
            <w:tcW w:w="6940" w:type="dxa"/>
            <w:vAlign w:val="bottom"/>
          </w:tcPr>
          <w:p>
            <w:pPr>
              <w:jc w:val="center"/>
              <w:ind w:left="354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c>
          <w:tcPr>
            <w:tcW w:w="3620" w:type="dxa"/>
            <w:vAlign w:val="bottom"/>
          </w:tcPr>
          <w:p>
            <w:pPr>
              <w:spacing w:after="0"/>
              <w:rPr>
                <w:sz w:val="15"/>
                <w:szCs w:val="15"/>
                <w:color w:val="auto"/>
              </w:rPr>
            </w:pPr>
          </w:p>
        </w:tc>
      </w:tr>
      <w:tr>
        <w:trPr>
          <w:trHeight w:val="330"/>
        </w:trPr>
        <w:tc>
          <w:tcPr>
            <w:tcW w:w="6940" w:type="dxa"/>
            <w:vAlign w:val="bottom"/>
          </w:tcPr>
          <w:p>
            <w:pPr>
              <w:jc w:val="center"/>
              <w:ind w:right="1569"/>
              <w:spacing w:after="0"/>
              <w:rPr>
                <w:sz w:val="20"/>
                <w:szCs w:val="20"/>
                <w:color w:val="auto"/>
              </w:rPr>
            </w:pPr>
            <w:r>
              <w:rPr>
                <w:rFonts w:ascii="Times New Roman" w:cs="Times New Roman" w:eastAsia="Times New Roman" w:hAnsi="Times New Roman"/>
                <w:sz w:val="13"/>
                <w:szCs w:val="13"/>
                <w:b w:val="1"/>
                <w:bCs w:val="1"/>
                <w:color w:val="auto"/>
              </w:rPr>
              <w:t>MARYLAND</w:t>
            </w:r>
          </w:p>
        </w:tc>
        <w:tc>
          <w:tcPr>
            <w:tcW w:w="3620" w:type="dxa"/>
            <w:vAlign w:val="bottom"/>
          </w:tcPr>
          <w:p>
            <w:pPr>
              <w:jc w:val="center"/>
              <w:ind w:right="1356"/>
              <w:spacing w:after="0"/>
              <w:rPr>
                <w:sz w:val="20"/>
                <w:szCs w:val="20"/>
                <w:color w:val="auto"/>
              </w:rPr>
            </w:pPr>
            <w:r>
              <w:rPr>
                <w:rFonts w:ascii="Times New Roman" w:cs="Times New Roman" w:eastAsia="Times New Roman" w:hAnsi="Times New Roman"/>
                <w:sz w:val="13"/>
                <w:szCs w:val="13"/>
                <w:b w:val="1"/>
                <w:bCs w:val="1"/>
                <w:color w:val="auto"/>
              </w:rPr>
              <w:t>27-3794690</w:t>
            </w:r>
          </w:p>
        </w:tc>
      </w:tr>
      <w:tr>
        <w:trPr>
          <w:trHeight w:val="142"/>
        </w:trPr>
        <w:tc>
          <w:tcPr>
            <w:tcW w:w="6940" w:type="dxa"/>
            <w:vAlign w:val="bottom"/>
          </w:tcPr>
          <w:p>
            <w:pPr>
              <w:jc w:val="center"/>
              <w:ind w:right="1569"/>
              <w:spacing w:after="0"/>
              <w:rPr>
                <w:sz w:val="20"/>
                <w:szCs w:val="20"/>
                <w:color w:val="auto"/>
              </w:rPr>
            </w:pPr>
            <w:r>
              <w:rPr>
                <w:rFonts w:ascii="Times New Roman" w:cs="Times New Roman" w:eastAsia="Times New Roman" w:hAnsi="Times New Roman"/>
                <w:sz w:val="11"/>
                <w:szCs w:val="11"/>
                <w:b w:val="1"/>
                <w:bCs w:val="1"/>
                <w:color w:val="auto"/>
                <w:w w:val="97"/>
              </w:rPr>
              <w:t>(State or other jurisdiction of incorporation or organization)</w:t>
            </w:r>
          </w:p>
        </w:tc>
        <w:tc>
          <w:tcPr>
            <w:tcW w:w="3620" w:type="dxa"/>
            <w:vAlign w:val="bottom"/>
          </w:tcPr>
          <w:p>
            <w:pPr>
              <w:jc w:val="center"/>
              <w:ind w:right="1376"/>
              <w:spacing w:after="0"/>
              <w:rPr>
                <w:sz w:val="20"/>
                <w:szCs w:val="20"/>
                <w:color w:val="auto"/>
              </w:rPr>
            </w:pPr>
            <w:r>
              <w:rPr>
                <w:rFonts w:ascii="Times New Roman" w:cs="Times New Roman" w:eastAsia="Times New Roman" w:hAnsi="Times New Roman"/>
                <w:sz w:val="11"/>
                <w:szCs w:val="11"/>
                <w:b w:val="1"/>
                <w:bCs w:val="1"/>
                <w:color w:val="auto"/>
                <w:w w:val="98"/>
              </w:rPr>
              <w:t>(I.R.S. Employer Identification No.)</w:t>
            </w:r>
          </w:p>
        </w:tc>
      </w:tr>
      <w:tr>
        <w:trPr>
          <w:trHeight w:val="447"/>
        </w:trPr>
        <w:tc>
          <w:tcPr>
            <w:tcW w:w="6940" w:type="dxa"/>
            <w:vAlign w:val="bottom"/>
          </w:tcPr>
          <w:p>
            <w:pPr>
              <w:jc w:val="center"/>
              <w:ind w:right="1549"/>
              <w:spacing w:after="0"/>
              <w:rPr>
                <w:sz w:val="20"/>
                <w:szCs w:val="20"/>
                <w:color w:val="auto"/>
              </w:rPr>
            </w:pPr>
            <w:r>
              <w:rPr>
                <w:rFonts w:ascii="Times New Roman" w:cs="Times New Roman" w:eastAsia="Times New Roman" w:hAnsi="Times New Roman"/>
                <w:sz w:val="13"/>
                <w:szCs w:val="13"/>
                <w:b w:val="1"/>
                <w:bCs w:val="1"/>
                <w:color w:val="auto"/>
              </w:rPr>
              <w:t>1691 Michigan Avenue</w:t>
            </w:r>
          </w:p>
        </w:tc>
        <w:tc>
          <w:tcPr>
            <w:tcW w:w="3620" w:type="dxa"/>
            <w:vAlign w:val="bottom"/>
          </w:tcPr>
          <w:p>
            <w:pPr>
              <w:spacing w:after="0"/>
              <w:rPr>
                <w:sz w:val="24"/>
                <w:szCs w:val="24"/>
                <w:color w:val="auto"/>
              </w:rPr>
            </w:pPr>
          </w:p>
        </w:tc>
      </w:tr>
      <w:tr>
        <w:trPr>
          <w:trHeight w:val="191"/>
        </w:trPr>
        <w:tc>
          <w:tcPr>
            <w:tcW w:w="6940" w:type="dxa"/>
            <w:vAlign w:val="bottom"/>
          </w:tcPr>
          <w:p>
            <w:pPr>
              <w:jc w:val="center"/>
              <w:ind w:right="1569"/>
              <w:spacing w:after="0"/>
              <w:rPr>
                <w:sz w:val="20"/>
                <w:szCs w:val="20"/>
                <w:color w:val="auto"/>
              </w:rPr>
            </w:pPr>
            <w:r>
              <w:rPr>
                <w:rFonts w:ascii="Times New Roman" w:cs="Times New Roman" w:eastAsia="Times New Roman" w:hAnsi="Times New Roman"/>
                <w:sz w:val="13"/>
                <w:szCs w:val="13"/>
                <w:b w:val="1"/>
                <w:bCs w:val="1"/>
                <w:color w:val="auto"/>
              </w:rPr>
              <w:t>Miami Beach, Florida</w:t>
            </w:r>
          </w:p>
        </w:tc>
        <w:tc>
          <w:tcPr>
            <w:tcW w:w="3620" w:type="dxa"/>
            <w:vAlign w:val="bottom"/>
          </w:tcPr>
          <w:p>
            <w:pPr>
              <w:jc w:val="center"/>
              <w:ind w:right="1376"/>
              <w:spacing w:after="0"/>
              <w:rPr>
                <w:sz w:val="20"/>
                <w:szCs w:val="20"/>
                <w:color w:val="auto"/>
              </w:rPr>
            </w:pPr>
            <w:r>
              <w:rPr>
                <w:rFonts w:ascii="Times New Roman" w:cs="Times New Roman" w:eastAsia="Times New Roman" w:hAnsi="Times New Roman"/>
                <w:sz w:val="13"/>
                <w:szCs w:val="13"/>
                <w:b w:val="1"/>
                <w:bCs w:val="1"/>
                <w:color w:val="auto"/>
              </w:rPr>
              <w:t>33139</w:t>
            </w:r>
          </w:p>
        </w:tc>
      </w:tr>
      <w:tr>
        <w:trPr>
          <w:trHeight w:val="142"/>
        </w:trPr>
        <w:tc>
          <w:tcPr>
            <w:tcW w:w="6940" w:type="dxa"/>
            <w:vAlign w:val="bottom"/>
          </w:tcPr>
          <w:p>
            <w:pPr>
              <w:jc w:val="center"/>
              <w:ind w:right="1569"/>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3620" w:type="dxa"/>
            <w:vAlign w:val="bottom"/>
          </w:tcPr>
          <w:p>
            <w:pPr>
              <w:jc w:val="center"/>
              <w:ind w:right="1376"/>
              <w:spacing w:after="0"/>
              <w:rPr>
                <w:sz w:val="20"/>
                <w:szCs w:val="20"/>
                <w:color w:val="auto"/>
              </w:rPr>
            </w:pPr>
            <w:r>
              <w:rPr>
                <w:rFonts w:ascii="Times New Roman" w:cs="Times New Roman" w:eastAsia="Times New Roman" w:hAnsi="Times New Roman"/>
                <w:sz w:val="11"/>
                <w:szCs w:val="11"/>
                <w:b w:val="1"/>
                <w:bCs w:val="1"/>
                <w:color w:val="auto"/>
                <w:w w:val="97"/>
              </w:rPr>
              <w:t>(Zip Code)</w:t>
            </w:r>
          </w:p>
        </w:tc>
      </w:tr>
      <w:tr>
        <w:trPr>
          <w:trHeight w:val="266"/>
        </w:trPr>
        <w:tc>
          <w:tcPr>
            <w:tcW w:w="6940" w:type="dxa"/>
            <w:vAlign w:val="bottom"/>
          </w:tcPr>
          <w:p>
            <w:pPr>
              <w:jc w:val="center"/>
              <w:ind w:left="3569"/>
              <w:spacing w:after="0"/>
              <w:rPr>
                <w:sz w:val="20"/>
                <w:szCs w:val="20"/>
                <w:color w:val="auto"/>
              </w:rPr>
            </w:pPr>
            <w:r>
              <w:rPr>
                <w:rFonts w:ascii="Times New Roman" w:cs="Times New Roman" w:eastAsia="Times New Roman" w:hAnsi="Times New Roman"/>
                <w:sz w:val="13"/>
                <w:szCs w:val="13"/>
                <w:b w:val="1"/>
                <w:bCs w:val="1"/>
                <w:color w:val="auto"/>
              </w:rPr>
              <w:t>(786) 297-9500</w:t>
            </w:r>
          </w:p>
        </w:tc>
        <w:tc>
          <w:tcPr>
            <w:tcW w:w="3620" w:type="dxa"/>
            <w:vAlign w:val="bottom"/>
          </w:tcPr>
          <w:p>
            <w:pPr>
              <w:spacing w:after="0"/>
              <w:rPr>
                <w:sz w:val="23"/>
                <w:szCs w:val="23"/>
                <w:color w:val="auto"/>
              </w:rPr>
            </w:pPr>
          </w:p>
        </w:tc>
      </w:tr>
      <w:tr>
        <w:trPr>
          <w:trHeight w:val="142"/>
        </w:trPr>
        <w:tc>
          <w:tcPr>
            <w:tcW w:w="6940" w:type="dxa"/>
            <w:vAlign w:val="bottom"/>
          </w:tcPr>
          <w:p>
            <w:pPr>
              <w:jc w:val="center"/>
              <w:ind w:left="3569"/>
              <w:spacing w:after="0"/>
              <w:rPr>
                <w:sz w:val="20"/>
                <w:szCs w:val="20"/>
                <w:color w:val="auto"/>
              </w:rPr>
            </w:pPr>
            <w:r>
              <w:rPr>
                <w:rFonts w:ascii="Times New Roman" w:cs="Times New Roman" w:eastAsia="Times New Roman" w:hAnsi="Times New Roman"/>
                <w:sz w:val="11"/>
                <w:szCs w:val="11"/>
                <w:b w:val="1"/>
                <w:bCs w:val="1"/>
                <w:color w:val="auto"/>
                <w:w w:val="98"/>
              </w:rPr>
              <w:t>(Registrant’s Telephone Number, Including Area Code)</w:t>
            </w:r>
          </w:p>
        </w:tc>
        <w:tc>
          <w:tcPr>
            <w:tcW w:w="3620" w:type="dxa"/>
            <w:vAlign w:val="bottom"/>
          </w:tcPr>
          <w:p>
            <w:pPr>
              <w:spacing w:after="0"/>
              <w:rPr>
                <w:sz w:val="12"/>
                <w:szCs w:val="12"/>
                <w:color w:val="auto"/>
              </w:rPr>
            </w:pPr>
          </w:p>
        </w:tc>
      </w:tr>
    </w:tbl>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54610</wp:posOffset>
            </wp:positionV>
            <wp:extent cx="67075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50" w:lineRule="exact"/>
        <w:rPr>
          <w:sz w:val="24"/>
          <w:szCs w:val="24"/>
          <w:color w:val="auto"/>
        </w:rPr>
      </w:pPr>
    </w:p>
    <w:tbl>
      <w:tblPr>
        <w:tblLayout w:type="fixed"/>
        <w:tblInd w:w="460" w:type="dxa"/>
        <w:tblCellMar>
          <w:top w:w="0" w:type="dxa"/>
          <w:left w:w="0" w:type="dxa"/>
          <w:bottom w:w="0" w:type="dxa"/>
          <w:right w:w="0" w:type="dxa"/>
        </w:tblCellMar>
      </w:tblPr>
      <w:tr>
        <w:trPr>
          <w:trHeight w:val="172"/>
        </w:trPr>
        <w:tc>
          <w:tcPr>
            <w:tcW w:w="3660" w:type="dxa"/>
            <w:vAlign w:val="bottom"/>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254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320"/>
        </w:trPr>
        <w:tc>
          <w:tcPr>
            <w:tcW w:w="3660" w:type="dxa"/>
            <w:vAlign w:val="bottom"/>
          </w:tcPr>
          <w:p>
            <w:pPr>
              <w:jc w:val="center"/>
              <w:ind w:right="974"/>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540" w:type="dxa"/>
            <w:vAlign w:val="bottom"/>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3440" w:type="dxa"/>
            <w:vAlign w:val="bottom"/>
          </w:tcPr>
          <w:p>
            <w:pPr>
              <w:jc w:val="center"/>
              <w:ind w:left="791"/>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88"/>
        </w:trPr>
        <w:tc>
          <w:tcPr>
            <w:tcW w:w="3660" w:type="dxa"/>
            <w:vAlign w:val="bottom"/>
          </w:tcPr>
          <w:p>
            <w:pPr>
              <w:jc w:val="center"/>
              <w:ind w:right="954"/>
              <w:spacing w:after="0"/>
              <w:rPr>
                <w:sz w:val="20"/>
                <w:szCs w:val="20"/>
                <w:color w:val="auto"/>
              </w:rPr>
            </w:pPr>
            <w:r>
              <w:rPr>
                <w:rFonts w:ascii="Times New Roman" w:cs="Times New Roman" w:eastAsia="Times New Roman" w:hAnsi="Times New Roman"/>
                <w:sz w:val="13"/>
                <w:szCs w:val="13"/>
                <w:color w:val="auto"/>
              </w:rPr>
              <w:t>Common Stock, par value $0.001 per share</w:t>
            </w:r>
          </w:p>
        </w:tc>
        <w:tc>
          <w:tcPr>
            <w:tcW w:w="2540" w:type="dxa"/>
            <w:vAlign w:val="bottom"/>
          </w:tcPr>
          <w:p>
            <w:pPr>
              <w:jc w:val="center"/>
              <w:ind w:right="134"/>
              <w:spacing w:after="0"/>
              <w:rPr>
                <w:sz w:val="20"/>
                <w:szCs w:val="20"/>
                <w:color w:val="auto"/>
              </w:rPr>
            </w:pPr>
            <w:r>
              <w:rPr>
                <w:rFonts w:ascii="Times New Roman" w:cs="Times New Roman" w:eastAsia="Times New Roman" w:hAnsi="Times New Roman"/>
                <w:sz w:val="13"/>
                <w:szCs w:val="13"/>
                <w:color w:val="auto"/>
                <w:w w:val="98"/>
              </w:rPr>
              <w:t>PFLT</w:t>
            </w:r>
          </w:p>
        </w:tc>
        <w:tc>
          <w:tcPr>
            <w:tcW w:w="3440" w:type="dxa"/>
            <w:vAlign w:val="bottom"/>
          </w:tcPr>
          <w:p>
            <w:pPr>
              <w:jc w:val="center"/>
              <w:ind w:left="791"/>
              <w:spacing w:after="0"/>
              <w:rPr>
                <w:sz w:val="20"/>
                <w:szCs w:val="20"/>
                <w:color w:val="auto"/>
              </w:rPr>
            </w:pPr>
            <w:r>
              <w:rPr>
                <w:rFonts w:ascii="Times New Roman" w:cs="Times New Roman" w:eastAsia="Times New Roman" w:hAnsi="Times New Roman"/>
                <w:sz w:val="14"/>
                <w:szCs w:val="14"/>
                <w:color w:val="auto"/>
              </w:rPr>
              <w:t>The New York Stock Exchange</w:t>
            </w:r>
          </w:p>
        </w:tc>
      </w:tr>
    </w:tbl>
    <w:p>
      <w:pPr>
        <w:spacing w:after="0" w:line="136" w:lineRule="exact"/>
        <w:rPr>
          <w:sz w:val="24"/>
          <w:szCs w:val="24"/>
          <w:color w:val="auto"/>
        </w:rPr>
      </w:pPr>
    </w:p>
    <w:p>
      <w:pPr>
        <w:ind w:firstLine="444"/>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21" w:lineRule="exact"/>
        <w:rPr>
          <w:sz w:val="24"/>
          <w:szCs w:val="24"/>
          <w:color w:val="auto"/>
        </w:rPr>
      </w:pPr>
    </w:p>
    <w:p>
      <w:pPr>
        <w:ind w:right="360" w:firstLine="444"/>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21" w:lineRule="exact"/>
        <w:rPr>
          <w:sz w:val="24"/>
          <w:szCs w:val="24"/>
          <w:color w:val="auto"/>
        </w:rPr>
      </w:pPr>
    </w:p>
    <w:p>
      <w:pPr>
        <w:ind w:right="180" w:firstLine="444"/>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20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420" w:type="dxa"/>
            <w:vAlign w:val="bottom"/>
          </w:tcPr>
          <w:p>
            <w:pPr>
              <w:ind w:left="560"/>
              <w:spacing w:after="0" w:line="131" w:lineRule="exact"/>
              <w:rPr>
                <w:sz w:val="20"/>
                <w:szCs w:val="20"/>
                <w:color w:val="auto"/>
              </w:rPr>
            </w:pPr>
            <w:r>
              <w:rPr>
                <w:rFonts w:ascii="MS PGothic" w:cs="MS PGothic" w:eastAsia="MS PGothic" w:hAnsi="MS PGothic"/>
                <w:sz w:val="13"/>
                <w:szCs w:val="13"/>
                <w:color w:val="auto"/>
              </w:rPr>
              <w:t>☑</w:t>
            </w:r>
          </w:p>
        </w:tc>
        <w:tc>
          <w:tcPr>
            <w:tcW w:w="4560" w:type="dxa"/>
            <w:vAlign w:val="bottom"/>
          </w:tcPr>
          <w:p>
            <w:pPr>
              <w:ind w:left="2740"/>
              <w:spacing w:after="0"/>
              <w:rPr>
                <w:sz w:val="20"/>
                <w:szCs w:val="20"/>
                <w:color w:val="auto"/>
              </w:rPr>
            </w:pPr>
            <w:r>
              <w:rPr>
                <w:rFonts w:ascii="Times New Roman" w:cs="Times New Roman" w:eastAsia="Times New Roman" w:hAnsi="Times New Roman"/>
                <w:sz w:val="13"/>
                <w:szCs w:val="13"/>
                <w:color w:val="auto"/>
              </w:rPr>
              <w:t>Accelerated filer</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76"/>
        </w:trPr>
        <w:tc>
          <w:tcPr>
            <w:tcW w:w="20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420" w:type="dxa"/>
            <w:vAlign w:val="bottom"/>
          </w:tcPr>
          <w:p>
            <w:pPr>
              <w:ind w:left="560"/>
              <w:spacing w:after="0" w:line="131" w:lineRule="exact"/>
              <w:rPr>
                <w:sz w:val="20"/>
                <w:szCs w:val="20"/>
                <w:color w:val="auto"/>
              </w:rPr>
            </w:pPr>
            <w:r>
              <w:rPr>
                <w:rFonts w:ascii="MS PGothic" w:cs="MS PGothic" w:eastAsia="MS PGothic" w:hAnsi="MS PGothic"/>
                <w:sz w:val="13"/>
                <w:szCs w:val="13"/>
                <w:color w:val="auto"/>
              </w:rPr>
              <w:t>☐</w:t>
            </w:r>
          </w:p>
        </w:tc>
        <w:tc>
          <w:tcPr>
            <w:tcW w:w="4560" w:type="dxa"/>
            <w:vAlign w:val="bottom"/>
          </w:tcPr>
          <w:p>
            <w:pPr>
              <w:ind w:left="27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76"/>
        </w:trPr>
        <w:tc>
          <w:tcPr>
            <w:tcW w:w="200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420" w:type="dxa"/>
            <w:vAlign w:val="bottom"/>
          </w:tcPr>
          <w:p>
            <w:pPr>
              <w:ind w:left="560"/>
              <w:spacing w:after="0" w:line="131" w:lineRule="exact"/>
              <w:rPr>
                <w:sz w:val="20"/>
                <w:szCs w:val="20"/>
                <w:color w:val="auto"/>
              </w:rPr>
            </w:pPr>
            <w:r>
              <w:rPr>
                <w:rFonts w:ascii="MS PGothic" w:cs="MS PGothic" w:eastAsia="MS PGothic" w:hAnsi="MS PGothic"/>
                <w:sz w:val="13"/>
                <w:szCs w:val="13"/>
                <w:color w:val="auto"/>
              </w:rPr>
              <w:t>☐</w:t>
            </w:r>
          </w:p>
        </w:tc>
        <w:tc>
          <w:tcPr>
            <w:tcW w:w="45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84" w:lineRule="exact"/>
        <w:rPr>
          <w:sz w:val="24"/>
          <w:szCs w:val="24"/>
          <w:color w:val="auto"/>
        </w:rPr>
      </w:pPr>
    </w:p>
    <w:p>
      <w:pPr>
        <w:ind w:right="320" w:firstLine="444"/>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54" w:lineRule="exact"/>
        <w:rPr>
          <w:sz w:val="24"/>
          <w:szCs w:val="24"/>
          <w:color w:val="auto"/>
        </w:rPr>
      </w:pPr>
    </w:p>
    <w:p>
      <w:pPr>
        <w:ind w:left="46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5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3"/>
          <w:szCs w:val="13"/>
          <w:color w:val="auto"/>
        </w:rPr>
        <w:t>The number of shares of the registrant’s common stock, $0.001 par value per share, outstanding as of February 10, 2025 was 87,955,896.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72390</wp:posOffset>
            </wp:positionV>
            <wp:extent cx="670750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730250</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7" w:right="68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FORM 10-Q FOR THE QUARTER ENDED 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TABLE OF CONTENTS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60" w:type="dxa"/>
            <w:vAlign w:val="bottom"/>
            <w:gridSpan w:val="13"/>
          </w:tcPr>
          <w:p>
            <w:pPr>
              <w:jc w:val="center"/>
              <w:ind w:right="1900"/>
              <w:spacing w:after="0"/>
              <w:rPr>
                <w:rFonts w:ascii="Times New Roman" w:cs="Times New Roman" w:eastAsia="Times New Roman" w:hAnsi="Times New Roman"/>
                <w:sz w:val="13"/>
                <w:szCs w:val="13"/>
                <w:b w:val="1"/>
                <w:bCs w:val="1"/>
                <w:color w:val="0000FF"/>
              </w:rPr>
            </w:pPr>
            <w:hyperlink w:anchor="page3">
              <w:r>
                <w:rPr>
                  <w:rFonts w:ascii="Times New Roman" w:cs="Times New Roman" w:eastAsia="Times New Roman" w:hAnsi="Times New Roman"/>
                  <w:sz w:val="13"/>
                  <w:szCs w:val="13"/>
                  <w:b w:val="1"/>
                  <w:bCs w:val="1"/>
                  <w:color w:val="0000FF"/>
                </w:rPr>
                <w:t>PART I. CONSOLIDATED FINANCIAL INFORMATION</w:t>
              </w:r>
            </w:hyperlink>
          </w:p>
        </w:tc>
        <w:tc>
          <w:tcPr>
            <w:tcW w:w="2000" w:type="dxa"/>
            <w:vAlign w:val="bottom"/>
          </w:tcPr>
          <w:p>
            <w:pPr>
              <w:spacing w:after="0"/>
              <w:rPr>
                <w:sz w:val="12"/>
                <w:szCs w:val="12"/>
                <w:color w:val="auto"/>
              </w:rPr>
            </w:pPr>
          </w:p>
        </w:tc>
      </w:tr>
      <w:tr>
        <w:trPr>
          <w:trHeight w:val="292"/>
        </w:trPr>
        <w:tc>
          <w:tcPr>
            <w:tcW w:w="3300" w:type="dxa"/>
            <w:vAlign w:val="bottom"/>
            <w:gridSpan w:val="12"/>
          </w:tcPr>
          <w:p>
            <w:pPr>
              <w:ind w:left="20"/>
              <w:spacing w:after="0"/>
              <w:rPr>
                <w:rFonts w:ascii="Times New Roman" w:cs="Times New Roman" w:eastAsia="Times New Roman" w:hAnsi="Times New Roman"/>
                <w:sz w:val="13"/>
                <w:szCs w:val="13"/>
                <w:b w:val="1"/>
                <w:bCs w:val="1"/>
                <w:color w:val="0000FF"/>
              </w:rPr>
            </w:pPr>
            <w:hyperlink w:anchor="page4">
              <w:r>
                <w:rPr>
                  <w:rFonts w:ascii="Times New Roman" w:cs="Times New Roman" w:eastAsia="Times New Roman" w:hAnsi="Times New Roman"/>
                  <w:sz w:val="13"/>
                  <w:szCs w:val="13"/>
                  <w:b w:val="1"/>
                  <w:bCs w:val="1"/>
                  <w:color w:val="0000FF"/>
                </w:rPr>
                <w:t>Item 1. Consolidated Financial Statements</w:t>
              </w:r>
            </w:hyperlink>
          </w:p>
        </w:tc>
        <w:tc>
          <w:tcPr>
            <w:tcW w:w="3360" w:type="dxa"/>
            <w:vAlign w:val="bottom"/>
            <w:tcBorders>
              <w:top w:val="single" w:sz="8" w:color="0000EE"/>
            </w:tcBorders>
            <w:gridSpan w:val="11"/>
          </w:tcPr>
          <w:p>
            <w:pPr>
              <w:spacing w:after="0"/>
              <w:rPr>
                <w:sz w:val="24"/>
                <w:szCs w:val="24"/>
                <w:color w:val="auto"/>
              </w:rPr>
            </w:pPr>
          </w:p>
        </w:tc>
        <w:tc>
          <w:tcPr>
            <w:tcW w:w="1900" w:type="dxa"/>
            <w:vAlign w:val="bottom"/>
            <w:gridSpan w:val="2"/>
          </w:tcPr>
          <w:p>
            <w:pPr>
              <w:spacing w:after="0"/>
              <w:rPr>
                <w:sz w:val="24"/>
                <w:szCs w:val="24"/>
                <w:color w:val="auto"/>
              </w:rPr>
            </w:pPr>
          </w:p>
        </w:tc>
        <w:tc>
          <w:tcPr>
            <w:tcW w:w="2000" w:type="dxa"/>
            <w:vAlign w:val="bottom"/>
          </w:tcPr>
          <w:p>
            <w:pPr>
              <w:spacing w:after="0"/>
              <w:rPr>
                <w:sz w:val="24"/>
                <w:szCs w:val="24"/>
                <w:color w:val="auto"/>
              </w:rPr>
            </w:pPr>
          </w:p>
        </w:tc>
      </w:tr>
      <w:tr>
        <w:trPr>
          <w:trHeight w:val="20"/>
        </w:trPr>
        <w:tc>
          <w:tcPr>
            <w:tcW w:w="4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92"/>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940" w:type="dxa"/>
            <w:vAlign w:val="bottom"/>
            <w:tcBorders>
              <w:bottom w:val="single" w:sz="8" w:color="0000EE"/>
            </w:tcBorders>
            <w:gridSpan w:val="20"/>
          </w:tcPr>
          <w:p>
            <w:pPr>
              <w:spacing w:after="0"/>
              <w:rPr>
                <w:rFonts w:ascii="Times New Roman" w:cs="Times New Roman" w:eastAsia="Times New Roman" w:hAnsi="Times New Roman"/>
                <w:sz w:val="13"/>
                <w:szCs w:val="13"/>
                <w:color w:val="0000FF"/>
              </w:rPr>
            </w:pPr>
            <w:hyperlink w:anchor="page4">
              <w:r>
                <w:rPr>
                  <w:rFonts w:ascii="Times New Roman" w:cs="Times New Roman" w:eastAsia="Times New Roman" w:hAnsi="Times New Roman"/>
                  <w:sz w:val="13"/>
                  <w:szCs w:val="13"/>
                  <w:color w:val="0000FF"/>
                </w:rPr>
                <w:t>Consolidated Statements of Assets and Liabilities as of December 31, 2024 (unaudited) and September 30, 2024</w:t>
              </w:r>
            </w:hyperlink>
          </w:p>
        </w:tc>
        <w:tc>
          <w:tcPr>
            <w:tcW w:w="2280" w:type="dxa"/>
            <w:vAlign w:val="bottom"/>
            <w:gridSpan w:val="3"/>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292"/>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20" w:type="dxa"/>
            <w:vAlign w:val="bottom"/>
            <w:gridSpan w:val="23"/>
          </w:tcPr>
          <w:p>
            <w:pPr>
              <w:spacing w:after="0"/>
              <w:rPr>
                <w:rFonts w:ascii="Times New Roman" w:cs="Times New Roman" w:eastAsia="Times New Roman" w:hAnsi="Times New Roman"/>
                <w:sz w:val="13"/>
                <w:szCs w:val="13"/>
                <w:color w:val="0000FF"/>
              </w:rPr>
            </w:pPr>
            <w:hyperlink w:anchor="page5">
              <w:r>
                <w:rPr>
                  <w:rFonts w:ascii="Times New Roman" w:cs="Times New Roman" w:eastAsia="Times New Roman" w:hAnsi="Times New Roman"/>
                  <w:sz w:val="13"/>
                  <w:szCs w:val="13"/>
                  <w:color w:val="0000FF"/>
                </w:rPr>
                <w:t>Consolidated Statements of Operations for the three months ended December 31, 2024 and 2023 (unaudited)</w:t>
              </w:r>
            </w:hyperlink>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20"/>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92"/>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60" w:type="dxa"/>
            <w:vAlign w:val="bottom"/>
            <w:tcBorders>
              <w:bottom w:val="single" w:sz="8" w:color="0000EE"/>
            </w:tcBorders>
            <w:gridSpan w:val="22"/>
          </w:tcPr>
          <w:p>
            <w:pPr>
              <w:spacing w:after="0"/>
              <w:rPr>
                <w:rFonts w:ascii="Times New Roman" w:cs="Times New Roman" w:eastAsia="Times New Roman" w:hAnsi="Times New Roman"/>
                <w:sz w:val="13"/>
                <w:szCs w:val="13"/>
                <w:color w:val="0000FF"/>
              </w:rPr>
            </w:pPr>
            <w:hyperlink w:anchor="page6">
              <w:r>
                <w:rPr>
                  <w:rFonts w:ascii="Times New Roman" w:cs="Times New Roman" w:eastAsia="Times New Roman" w:hAnsi="Times New Roman"/>
                  <w:sz w:val="13"/>
                  <w:szCs w:val="13"/>
                  <w:color w:val="0000FF"/>
                </w:rPr>
                <w:t>Consolidated Statements of Changes in Net Assets for the three months ended December 31, 2024 and 2023 (unaudited)</w:t>
              </w:r>
            </w:hyperlink>
          </w:p>
        </w:tc>
        <w:tc>
          <w:tcPr>
            <w:tcW w:w="18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292"/>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20" w:type="dxa"/>
            <w:vAlign w:val="bottom"/>
            <w:tcBorders>
              <w:bottom w:val="single" w:sz="8" w:color="0000EE"/>
            </w:tcBorders>
            <w:gridSpan w:val="19"/>
          </w:tcPr>
          <w:p>
            <w:pPr>
              <w:spacing w:after="0"/>
              <w:rPr>
                <w:rFonts w:ascii="Times New Roman" w:cs="Times New Roman" w:eastAsia="Times New Roman" w:hAnsi="Times New Roman"/>
                <w:sz w:val="13"/>
                <w:szCs w:val="13"/>
                <w:color w:val="0000FF"/>
              </w:rPr>
            </w:pPr>
            <w:hyperlink w:anchor="page7">
              <w:r>
                <w:rPr>
                  <w:rFonts w:ascii="Times New Roman" w:cs="Times New Roman" w:eastAsia="Times New Roman" w:hAnsi="Times New Roman"/>
                  <w:sz w:val="13"/>
                  <w:szCs w:val="13"/>
                  <w:color w:val="0000FF"/>
                </w:rPr>
                <w:t>Consolidated Statements of Cash Flows for the three months ended December 31, 2024 and 2023 (unaudited)</w:t>
              </w:r>
            </w:hyperlink>
          </w:p>
        </w:tc>
        <w:tc>
          <w:tcPr>
            <w:tcW w:w="2400" w:type="dxa"/>
            <w:vAlign w:val="bottom"/>
            <w:gridSpan w:val="4"/>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292"/>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0" w:type="dxa"/>
            <w:vAlign w:val="bottom"/>
            <w:tcBorders>
              <w:bottom w:val="single" w:sz="8" w:color="0000EE"/>
            </w:tcBorders>
            <w:gridSpan w:val="16"/>
          </w:tcPr>
          <w:p>
            <w:pPr>
              <w:spacing w:after="0"/>
              <w:rPr>
                <w:rFonts w:ascii="Times New Roman" w:cs="Times New Roman" w:eastAsia="Times New Roman" w:hAnsi="Times New Roman"/>
                <w:sz w:val="13"/>
                <w:szCs w:val="13"/>
                <w:color w:val="0000FF"/>
              </w:rPr>
            </w:pPr>
            <w:hyperlink w:anchor="page8">
              <w:r>
                <w:rPr>
                  <w:rFonts w:ascii="Times New Roman" w:cs="Times New Roman" w:eastAsia="Times New Roman" w:hAnsi="Times New Roman"/>
                  <w:sz w:val="13"/>
                  <w:szCs w:val="13"/>
                  <w:color w:val="0000FF"/>
                </w:rPr>
                <w:t>Consolidated Schedules of Investments as of December 31, 2024 (unaudited) and September 30, 2024</w:t>
              </w:r>
            </w:hyperlink>
          </w:p>
        </w:tc>
        <w:tc>
          <w:tcPr>
            <w:tcW w:w="2820" w:type="dxa"/>
            <w:vAlign w:val="bottom"/>
            <w:gridSpan w:val="7"/>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292"/>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tcBorders>
              <w:bottom w:val="single" w:sz="8" w:color="0000EE"/>
            </w:tcBorders>
            <w:gridSpan w:val="10"/>
          </w:tcPr>
          <w:p>
            <w:pPr>
              <w:spacing w:after="0"/>
              <w:rPr>
                <w:rFonts w:ascii="Times New Roman" w:cs="Times New Roman" w:eastAsia="Times New Roman" w:hAnsi="Times New Roman"/>
                <w:sz w:val="13"/>
                <w:szCs w:val="13"/>
                <w:color w:val="0000FF"/>
              </w:rPr>
            </w:pPr>
            <w:hyperlink w:anchor="page24">
              <w:r>
                <w:rPr>
                  <w:rFonts w:ascii="Times New Roman" w:cs="Times New Roman" w:eastAsia="Times New Roman" w:hAnsi="Times New Roman"/>
                  <w:sz w:val="13"/>
                  <w:szCs w:val="13"/>
                  <w:color w:val="0000FF"/>
                </w:rPr>
                <w:t>Notes to Consolidated Financial Statements (unaudited)</w:t>
              </w:r>
            </w:hyperlink>
          </w:p>
        </w:tc>
        <w:tc>
          <w:tcPr>
            <w:tcW w:w="5260" w:type="dxa"/>
            <w:vAlign w:val="bottom"/>
            <w:gridSpan w:val="13"/>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316"/>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0" w:type="dxa"/>
            <w:vAlign w:val="bottom"/>
            <w:tcBorders>
              <w:bottom w:val="single" w:sz="8" w:color="0000EE"/>
            </w:tcBorders>
            <w:gridSpan w:val="14"/>
          </w:tcPr>
          <w:p>
            <w:pPr>
              <w:spacing w:after="0"/>
              <w:rPr>
                <w:rFonts w:ascii="Times New Roman" w:cs="Times New Roman" w:eastAsia="Times New Roman" w:hAnsi="Times New Roman"/>
                <w:sz w:val="13"/>
                <w:szCs w:val="13"/>
                <w:color w:val="0000FF"/>
              </w:rPr>
            </w:pPr>
            <w:hyperlink w:anchor="page47">
              <w:r>
                <w:rPr>
                  <w:rFonts w:ascii="Times New Roman" w:cs="Times New Roman" w:eastAsia="Times New Roman" w:hAnsi="Times New Roman"/>
                  <w:sz w:val="13"/>
                  <w:szCs w:val="13"/>
                  <w:color w:val="0000FF"/>
                </w:rPr>
                <w:t>Report of Independent Registered Public Accounting Firm (PCAOB ID 49)</w:t>
              </w:r>
            </w:hyperlink>
          </w:p>
        </w:tc>
        <w:tc>
          <w:tcPr>
            <w:tcW w:w="4220" w:type="dxa"/>
            <w:vAlign w:val="bottom"/>
            <w:gridSpan w:val="9"/>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292"/>
        </w:trPr>
        <w:tc>
          <w:tcPr>
            <w:tcW w:w="40" w:type="dxa"/>
            <w:vAlign w:val="bottom"/>
          </w:tcPr>
          <w:p>
            <w:pPr>
              <w:spacing w:after="0"/>
              <w:rPr>
                <w:sz w:val="24"/>
                <w:szCs w:val="24"/>
                <w:color w:val="auto"/>
              </w:rPr>
            </w:pPr>
          </w:p>
        </w:tc>
        <w:tc>
          <w:tcPr>
            <w:tcW w:w="8520" w:type="dxa"/>
            <w:vAlign w:val="bottom"/>
            <w:gridSpan w:val="24"/>
          </w:tcPr>
          <w:p>
            <w:pPr>
              <w:spacing w:after="0"/>
              <w:rPr>
                <w:rFonts w:ascii="Times New Roman" w:cs="Times New Roman" w:eastAsia="Times New Roman" w:hAnsi="Times New Roman"/>
                <w:sz w:val="13"/>
                <w:szCs w:val="13"/>
                <w:b w:val="1"/>
                <w:bCs w:val="1"/>
                <w:color w:val="0000FF"/>
              </w:rPr>
            </w:pPr>
            <w:hyperlink w:anchor="page49">
              <w:r>
                <w:rPr>
                  <w:rFonts w:ascii="Times New Roman" w:cs="Times New Roman" w:eastAsia="Times New Roman" w:hAnsi="Times New Roman"/>
                  <w:sz w:val="13"/>
                  <w:szCs w:val="13"/>
                  <w:b w:val="1"/>
                  <w:bCs w:val="1"/>
                  <w:color w:val="0000FF"/>
                </w:rPr>
                <w:t>Item 2. Management’s Discussion and Analysis of Financial Condition and Results of Operations</w:t>
              </w:r>
            </w:hyperlink>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292"/>
        </w:trPr>
        <w:tc>
          <w:tcPr>
            <w:tcW w:w="40" w:type="dxa"/>
            <w:vAlign w:val="bottom"/>
          </w:tcPr>
          <w:p>
            <w:pPr>
              <w:spacing w:after="0"/>
              <w:rPr>
                <w:sz w:val="24"/>
                <w:szCs w:val="24"/>
                <w:color w:val="auto"/>
              </w:rPr>
            </w:pPr>
          </w:p>
        </w:tc>
        <w:tc>
          <w:tcPr>
            <w:tcW w:w="384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3"/>
                <w:szCs w:val="13"/>
                <w:b w:val="1"/>
                <w:bCs w:val="1"/>
                <w:color w:val="0000FF"/>
              </w:rPr>
            </w:pPr>
            <w:hyperlink w:anchor="page66">
              <w:r>
                <w:rPr>
                  <w:rFonts w:ascii="Times New Roman" w:cs="Times New Roman" w:eastAsia="Times New Roman" w:hAnsi="Times New Roman"/>
                  <w:sz w:val="13"/>
                  <w:szCs w:val="13"/>
                  <w:b w:val="1"/>
                  <w:bCs w:val="1"/>
                  <w:color w:val="0000FF"/>
                </w:rPr>
                <w:t>Item 3. Quantitative and Qualitative Disclosures About Market Risk</w:t>
              </w:r>
            </w:hyperlink>
          </w:p>
        </w:tc>
        <w:tc>
          <w:tcPr>
            <w:tcW w:w="1580" w:type="dxa"/>
            <w:vAlign w:val="bottom"/>
            <w:tcBorders>
              <w:top w:val="single" w:sz="8" w:color="0000EE"/>
            </w:tcBorders>
            <w:gridSpan w:val="3"/>
          </w:tcPr>
          <w:p>
            <w:pPr>
              <w:spacing w:after="0"/>
              <w:rPr>
                <w:sz w:val="24"/>
                <w:szCs w:val="24"/>
                <w:color w:val="auto"/>
              </w:rPr>
            </w:pPr>
          </w:p>
        </w:tc>
        <w:tc>
          <w:tcPr>
            <w:tcW w:w="3100" w:type="dxa"/>
            <w:vAlign w:val="bottom"/>
            <w:gridSpan w:val="8"/>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292"/>
        </w:trPr>
        <w:tc>
          <w:tcPr>
            <w:tcW w:w="40" w:type="dxa"/>
            <w:vAlign w:val="bottom"/>
          </w:tcPr>
          <w:p>
            <w:pPr>
              <w:spacing w:after="0"/>
              <w:rPr>
                <w:sz w:val="24"/>
                <w:szCs w:val="24"/>
                <w:color w:val="auto"/>
              </w:rPr>
            </w:pPr>
          </w:p>
        </w:tc>
        <w:tc>
          <w:tcPr>
            <w:tcW w:w="8520" w:type="dxa"/>
            <w:vAlign w:val="bottom"/>
            <w:gridSpan w:val="24"/>
          </w:tcPr>
          <w:p>
            <w:pPr>
              <w:spacing w:after="0"/>
              <w:rPr>
                <w:rFonts w:ascii="Times New Roman" w:cs="Times New Roman" w:eastAsia="Times New Roman" w:hAnsi="Times New Roman"/>
                <w:sz w:val="13"/>
                <w:szCs w:val="13"/>
                <w:b w:val="1"/>
                <w:bCs w:val="1"/>
                <w:color w:val="0000FF"/>
              </w:rPr>
            </w:pPr>
            <w:hyperlink w:anchor="page66">
              <w:r>
                <w:rPr>
                  <w:rFonts w:ascii="Times New Roman" w:cs="Times New Roman" w:eastAsia="Times New Roman" w:hAnsi="Times New Roman"/>
                  <w:sz w:val="13"/>
                  <w:szCs w:val="13"/>
                  <w:b w:val="1"/>
                  <w:bCs w:val="1"/>
                  <w:color w:val="0000FF"/>
                </w:rPr>
                <w:t>Item 4. Controls and Procedures</w:t>
              </w:r>
            </w:hyperlink>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292"/>
        </w:trPr>
        <w:tc>
          <w:tcPr>
            <w:tcW w:w="4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0" w:type="dxa"/>
            <w:vAlign w:val="bottom"/>
            <w:gridSpan w:val="10"/>
          </w:tcPr>
          <w:p>
            <w:pPr>
              <w:jc w:val="center"/>
              <w:ind w:right="2560"/>
              <w:spacing w:after="0"/>
              <w:rPr>
                <w:rFonts w:ascii="Times New Roman" w:cs="Times New Roman" w:eastAsia="Times New Roman" w:hAnsi="Times New Roman"/>
                <w:sz w:val="13"/>
                <w:szCs w:val="13"/>
                <w:b w:val="1"/>
                <w:bCs w:val="1"/>
                <w:color w:val="0000FF"/>
              </w:rPr>
            </w:pPr>
            <w:hyperlink w:anchor="page67">
              <w:r>
                <w:rPr>
                  <w:rFonts w:ascii="Times New Roman" w:cs="Times New Roman" w:eastAsia="Times New Roman" w:hAnsi="Times New Roman"/>
                  <w:sz w:val="13"/>
                  <w:szCs w:val="13"/>
                  <w:b w:val="1"/>
                  <w:bCs w:val="1"/>
                  <w:color w:val="0000FF"/>
                </w:rPr>
                <w:t>PART II. OTHER INFORMATION</w:t>
              </w:r>
            </w:hyperlink>
          </w:p>
        </w:tc>
        <w:tc>
          <w:tcPr>
            <w:tcW w:w="2000" w:type="dxa"/>
            <w:vAlign w:val="bottom"/>
          </w:tcPr>
          <w:p>
            <w:pPr>
              <w:spacing w:after="0"/>
              <w:rPr>
                <w:sz w:val="24"/>
                <w:szCs w:val="24"/>
                <w:color w:val="auto"/>
              </w:rPr>
            </w:pPr>
          </w:p>
        </w:tc>
      </w:tr>
      <w:tr>
        <w:trPr>
          <w:trHeight w:val="292"/>
        </w:trPr>
        <w:tc>
          <w:tcPr>
            <w:tcW w:w="40" w:type="dxa"/>
            <w:vAlign w:val="bottom"/>
          </w:tcPr>
          <w:p>
            <w:pPr>
              <w:spacing w:after="0"/>
              <w:rPr>
                <w:sz w:val="24"/>
                <w:szCs w:val="24"/>
                <w:color w:val="auto"/>
              </w:rPr>
            </w:pPr>
          </w:p>
        </w:tc>
        <w:tc>
          <w:tcPr>
            <w:tcW w:w="3920" w:type="dxa"/>
            <w:vAlign w:val="bottom"/>
            <w:gridSpan w:val="14"/>
          </w:tcPr>
          <w:p>
            <w:pPr>
              <w:spacing w:after="0"/>
              <w:rPr>
                <w:rFonts w:ascii="Times New Roman" w:cs="Times New Roman" w:eastAsia="Times New Roman" w:hAnsi="Times New Roman"/>
                <w:sz w:val="13"/>
                <w:szCs w:val="13"/>
                <w:b w:val="1"/>
                <w:bCs w:val="1"/>
                <w:color w:val="0000FF"/>
              </w:rPr>
            </w:pPr>
            <w:hyperlink w:anchor="page67">
              <w:r>
                <w:rPr>
                  <w:rFonts w:ascii="Times New Roman" w:cs="Times New Roman" w:eastAsia="Times New Roman" w:hAnsi="Times New Roman"/>
                  <w:sz w:val="13"/>
                  <w:szCs w:val="13"/>
                  <w:b w:val="1"/>
                  <w:bCs w:val="1"/>
                  <w:color w:val="0000FF"/>
                </w:rPr>
                <w:t>Item 1. Legal Proceedings</w:t>
              </w:r>
            </w:hyperlink>
          </w:p>
        </w:tc>
        <w:tc>
          <w:tcPr>
            <w:tcW w:w="2040" w:type="dxa"/>
            <w:vAlign w:val="bottom"/>
            <w:tcBorders>
              <w:top w:val="single" w:sz="8" w:color="0000EE"/>
            </w:tcBorders>
            <w:gridSpan w:val="4"/>
          </w:tcPr>
          <w:p>
            <w:pPr>
              <w:spacing w:after="0"/>
              <w:rPr>
                <w:sz w:val="24"/>
                <w:szCs w:val="24"/>
                <w:color w:val="auto"/>
              </w:rPr>
            </w:pPr>
          </w:p>
        </w:tc>
        <w:tc>
          <w:tcPr>
            <w:tcW w:w="2560" w:type="dxa"/>
            <w:vAlign w:val="bottom"/>
            <w:gridSpan w:val="6"/>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292"/>
        </w:trPr>
        <w:tc>
          <w:tcPr>
            <w:tcW w:w="40" w:type="dxa"/>
            <w:vAlign w:val="bottom"/>
          </w:tcPr>
          <w:p>
            <w:pPr>
              <w:spacing w:after="0"/>
              <w:rPr>
                <w:sz w:val="24"/>
                <w:szCs w:val="24"/>
                <w:color w:val="auto"/>
              </w:rPr>
            </w:pPr>
          </w:p>
        </w:tc>
        <w:tc>
          <w:tcPr>
            <w:tcW w:w="1440" w:type="dxa"/>
            <w:vAlign w:val="bottom"/>
            <w:tcBorders>
              <w:top w:val="single" w:sz="8" w:color="0000EE"/>
            </w:tcBorders>
            <w:gridSpan w:val="5"/>
          </w:tcPr>
          <w:p>
            <w:pPr>
              <w:spacing w:after="0"/>
              <w:rPr>
                <w:rFonts w:ascii="Times New Roman" w:cs="Times New Roman" w:eastAsia="Times New Roman" w:hAnsi="Times New Roman"/>
                <w:sz w:val="13"/>
                <w:szCs w:val="13"/>
                <w:b w:val="1"/>
                <w:bCs w:val="1"/>
                <w:color w:val="0000FF"/>
              </w:rPr>
            </w:pPr>
            <w:hyperlink w:anchor="page67">
              <w:r>
                <w:rPr>
                  <w:rFonts w:ascii="Times New Roman" w:cs="Times New Roman" w:eastAsia="Times New Roman" w:hAnsi="Times New Roman"/>
                  <w:sz w:val="13"/>
                  <w:szCs w:val="13"/>
                  <w:b w:val="1"/>
                  <w:bCs w:val="1"/>
                  <w:color w:val="0000FF"/>
                </w:rPr>
                <w:t>Item 1A. Risk Factors</w:t>
              </w:r>
            </w:hyperlink>
          </w:p>
        </w:tc>
        <w:tc>
          <w:tcPr>
            <w:tcW w:w="7080" w:type="dxa"/>
            <w:vAlign w:val="bottom"/>
            <w:gridSpan w:val="19"/>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20"/>
        </w:trPr>
        <w:tc>
          <w:tcPr>
            <w:tcW w:w="40" w:type="dxa"/>
            <w:vAlign w:val="bottom"/>
            <w:tcBorders>
              <w:right w:val="single" w:sz="8" w:color="0000EE"/>
            </w:tcBorders>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4740" w:type="dxa"/>
            <w:vAlign w:val="bottom"/>
            <w:gridSpan w:val="1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92"/>
        </w:trPr>
        <w:tc>
          <w:tcPr>
            <w:tcW w:w="40" w:type="dxa"/>
            <w:vAlign w:val="bottom"/>
          </w:tcPr>
          <w:p>
            <w:pPr>
              <w:spacing w:after="0"/>
              <w:rPr>
                <w:sz w:val="24"/>
                <w:szCs w:val="24"/>
                <w:color w:val="auto"/>
              </w:rPr>
            </w:pPr>
          </w:p>
        </w:tc>
        <w:tc>
          <w:tcPr>
            <w:tcW w:w="3780" w:type="dxa"/>
            <w:vAlign w:val="bottom"/>
            <w:tcBorders>
              <w:bottom w:val="single" w:sz="8" w:color="0000EE"/>
            </w:tcBorders>
            <w:gridSpan w:val="12"/>
          </w:tcPr>
          <w:p>
            <w:pPr>
              <w:spacing w:after="0"/>
              <w:rPr>
                <w:rFonts w:ascii="Times New Roman" w:cs="Times New Roman" w:eastAsia="Times New Roman" w:hAnsi="Times New Roman"/>
                <w:sz w:val="13"/>
                <w:szCs w:val="13"/>
                <w:b w:val="1"/>
                <w:bCs w:val="1"/>
                <w:color w:val="0000FF"/>
              </w:rPr>
            </w:pPr>
            <w:hyperlink w:anchor="page68">
              <w:r>
                <w:rPr>
                  <w:rFonts w:ascii="Times New Roman" w:cs="Times New Roman" w:eastAsia="Times New Roman" w:hAnsi="Times New Roman"/>
                  <w:sz w:val="13"/>
                  <w:szCs w:val="13"/>
                  <w:b w:val="1"/>
                  <w:bCs w:val="1"/>
                  <w:color w:val="0000FF"/>
                </w:rPr>
                <w:t>Item 2. Unregistered Sales of Equity Securities and Use of Proceeds</w:t>
              </w:r>
            </w:hyperlink>
          </w:p>
        </w:tc>
        <w:tc>
          <w:tcPr>
            <w:tcW w:w="4740" w:type="dxa"/>
            <w:vAlign w:val="bottom"/>
            <w:gridSpan w:val="12"/>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292"/>
        </w:trPr>
        <w:tc>
          <w:tcPr>
            <w:tcW w:w="40" w:type="dxa"/>
            <w:vAlign w:val="bottom"/>
          </w:tcPr>
          <w:p>
            <w:pPr>
              <w:spacing w:after="0"/>
              <w:rPr>
                <w:sz w:val="24"/>
                <w:szCs w:val="24"/>
                <w:color w:val="auto"/>
              </w:rPr>
            </w:pPr>
          </w:p>
        </w:tc>
        <w:tc>
          <w:tcPr>
            <w:tcW w:w="2220" w:type="dxa"/>
            <w:vAlign w:val="bottom"/>
            <w:tcBorders>
              <w:bottom w:val="single" w:sz="8" w:color="0000EE"/>
            </w:tcBorders>
            <w:gridSpan w:val="9"/>
          </w:tcPr>
          <w:p>
            <w:pPr>
              <w:spacing w:after="0"/>
              <w:rPr>
                <w:rFonts w:ascii="Times New Roman" w:cs="Times New Roman" w:eastAsia="Times New Roman" w:hAnsi="Times New Roman"/>
                <w:sz w:val="13"/>
                <w:szCs w:val="13"/>
                <w:b w:val="1"/>
                <w:bCs w:val="1"/>
                <w:color w:val="0000FF"/>
              </w:rPr>
            </w:pPr>
            <w:hyperlink w:anchor="page68">
              <w:r>
                <w:rPr>
                  <w:rFonts w:ascii="Times New Roman" w:cs="Times New Roman" w:eastAsia="Times New Roman" w:hAnsi="Times New Roman"/>
                  <w:sz w:val="13"/>
                  <w:szCs w:val="13"/>
                  <w:b w:val="1"/>
                  <w:bCs w:val="1"/>
                  <w:color w:val="0000FF"/>
                </w:rPr>
                <w:t>Item 3. Defaults Upon Senior Securities</w:t>
              </w:r>
            </w:hyperlink>
          </w:p>
        </w:tc>
        <w:tc>
          <w:tcPr>
            <w:tcW w:w="6300" w:type="dxa"/>
            <w:vAlign w:val="bottom"/>
            <w:gridSpan w:val="15"/>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292"/>
        </w:trPr>
        <w:tc>
          <w:tcPr>
            <w:tcW w:w="40" w:type="dxa"/>
            <w:vAlign w:val="bottom"/>
          </w:tcPr>
          <w:p>
            <w:pPr>
              <w:spacing w:after="0"/>
              <w:rPr>
                <w:sz w:val="24"/>
                <w:szCs w:val="24"/>
                <w:color w:val="auto"/>
              </w:rPr>
            </w:pPr>
          </w:p>
        </w:tc>
        <w:tc>
          <w:tcPr>
            <w:tcW w:w="8520" w:type="dxa"/>
            <w:vAlign w:val="bottom"/>
            <w:gridSpan w:val="24"/>
          </w:tcPr>
          <w:p>
            <w:pPr>
              <w:spacing w:after="0"/>
              <w:rPr>
                <w:rFonts w:ascii="Times New Roman" w:cs="Times New Roman" w:eastAsia="Times New Roman" w:hAnsi="Times New Roman"/>
                <w:sz w:val="13"/>
                <w:szCs w:val="13"/>
                <w:b w:val="1"/>
                <w:bCs w:val="1"/>
                <w:color w:val="0000FF"/>
              </w:rPr>
            </w:pPr>
            <w:hyperlink w:anchor="page68">
              <w:r>
                <w:rPr>
                  <w:rFonts w:ascii="Times New Roman" w:cs="Times New Roman" w:eastAsia="Times New Roman" w:hAnsi="Times New Roman"/>
                  <w:sz w:val="13"/>
                  <w:szCs w:val="13"/>
                  <w:b w:val="1"/>
                  <w:bCs w:val="1"/>
                  <w:color w:val="0000FF"/>
                </w:rPr>
                <w:t>Item 4. Mine Safety Disclosures</w:t>
              </w:r>
            </w:hyperlink>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292"/>
        </w:trPr>
        <w:tc>
          <w:tcPr>
            <w:tcW w:w="40" w:type="dxa"/>
            <w:vAlign w:val="bottom"/>
          </w:tcPr>
          <w:p>
            <w:pPr>
              <w:spacing w:after="0"/>
              <w:rPr>
                <w:sz w:val="24"/>
                <w:szCs w:val="24"/>
                <w:color w:val="auto"/>
              </w:rPr>
            </w:pPr>
          </w:p>
        </w:tc>
        <w:tc>
          <w:tcPr>
            <w:tcW w:w="148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3"/>
                <w:szCs w:val="13"/>
                <w:b w:val="1"/>
                <w:bCs w:val="1"/>
                <w:color w:val="0000FF"/>
                <w:w w:val="99"/>
              </w:rPr>
            </w:pPr>
            <w:hyperlink w:anchor="page68">
              <w:r>
                <w:rPr>
                  <w:rFonts w:ascii="Times New Roman" w:cs="Times New Roman" w:eastAsia="Times New Roman" w:hAnsi="Times New Roman"/>
                  <w:sz w:val="13"/>
                  <w:szCs w:val="13"/>
                  <w:b w:val="1"/>
                  <w:bCs w:val="1"/>
                  <w:color w:val="0000FF"/>
                  <w:w w:val="99"/>
                </w:rPr>
                <w:t>Item 5. Other Information</w:t>
              </w:r>
            </w:hyperlink>
          </w:p>
        </w:tc>
        <w:tc>
          <w:tcPr>
            <w:tcW w:w="280" w:type="dxa"/>
            <w:vAlign w:val="bottom"/>
            <w:tcBorders>
              <w:top w:val="single" w:sz="8" w:color="0000EE"/>
            </w:tcBorders>
          </w:tcPr>
          <w:p>
            <w:pPr>
              <w:spacing w:after="0"/>
              <w:rPr>
                <w:sz w:val="24"/>
                <w:szCs w:val="24"/>
                <w:color w:val="auto"/>
              </w:rPr>
            </w:pPr>
          </w:p>
        </w:tc>
        <w:tc>
          <w:tcPr>
            <w:tcW w:w="6760" w:type="dxa"/>
            <w:vAlign w:val="bottom"/>
            <w:gridSpan w:val="17"/>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292"/>
        </w:trPr>
        <w:tc>
          <w:tcPr>
            <w:tcW w:w="40" w:type="dxa"/>
            <w:vAlign w:val="bottom"/>
          </w:tcPr>
          <w:p>
            <w:pPr>
              <w:spacing w:after="0"/>
              <w:rPr>
                <w:sz w:val="24"/>
                <w:szCs w:val="24"/>
                <w:color w:val="auto"/>
              </w:rPr>
            </w:pPr>
          </w:p>
        </w:tc>
        <w:tc>
          <w:tcPr>
            <w:tcW w:w="900" w:type="dxa"/>
            <w:vAlign w:val="bottom"/>
            <w:tcBorders>
              <w:bottom w:val="single" w:sz="8" w:color="0000EE"/>
            </w:tcBorders>
            <w:gridSpan w:val="3"/>
          </w:tcPr>
          <w:p>
            <w:pPr>
              <w:spacing w:after="0"/>
              <w:rPr>
                <w:rFonts w:ascii="Times New Roman" w:cs="Times New Roman" w:eastAsia="Times New Roman" w:hAnsi="Times New Roman"/>
                <w:sz w:val="13"/>
                <w:szCs w:val="13"/>
                <w:b w:val="1"/>
                <w:bCs w:val="1"/>
                <w:color w:val="0000FF"/>
                <w:w w:val="99"/>
              </w:rPr>
            </w:pPr>
            <w:hyperlink w:anchor="page69">
              <w:r>
                <w:rPr>
                  <w:rFonts w:ascii="Times New Roman" w:cs="Times New Roman" w:eastAsia="Times New Roman" w:hAnsi="Times New Roman"/>
                  <w:sz w:val="13"/>
                  <w:szCs w:val="13"/>
                  <w:b w:val="1"/>
                  <w:bCs w:val="1"/>
                  <w:color w:val="0000FF"/>
                  <w:w w:val="99"/>
                </w:rPr>
                <w:t>Item 6. Exhibits</w:t>
              </w:r>
            </w:hyperlink>
          </w:p>
        </w:tc>
        <w:tc>
          <w:tcPr>
            <w:tcW w:w="7620" w:type="dxa"/>
            <w:vAlign w:val="bottom"/>
            <w:gridSpan w:val="21"/>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292"/>
        </w:trPr>
        <w:tc>
          <w:tcPr>
            <w:tcW w:w="40" w:type="dxa"/>
            <w:vAlign w:val="bottom"/>
          </w:tcPr>
          <w:p>
            <w:pPr>
              <w:spacing w:after="0"/>
              <w:rPr>
                <w:sz w:val="24"/>
                <w:szCs w:val="24"/>
                <w:color w:val="auto"/>
              </w:rPr>
            </w:pPr>
          </w:p>
        </w:tc>
        <w:tc>
          <w:tcPr>
            <w:tcW w:w="8520" w:type="dxa"/>
            <w:vAlign w:val="bottom"/>
            <w:gridSpan w:val="24"/>
          </w:tcPr>
          <w:p>
            <w:pPr>
              <w:spacing w:after="0"/>
              <w:rPr>
                <w:rFonts w:ascii="Times New Roman" w:cs="Times New Roman" w:eastAsia="Times New Roman" w:hAnsi="Times New Roman"/>
                <w:sz w:val="13"/>
                <w:szCs w:val="13"/>
                <w:b w:val="1"/>
                <w:bCs w:val="1"/>
                <w:color w:val="0000FF"/>
              </w:rPr>
            </w:pPr>
            <w:hyperlink w:anchor="page70">
              <w:r>
                <w:rPr>
                  <w:rFonts w:ascii="Times New Roman" w:cs="Times New Roman" w:eastAsia="Times New Roman" w:hAnsi="Times New Roman"/>
                  <w:sz w:val="13"/>
                  <w:szCs w:val="13"/>
                  <w:b w:val="1"/>
                  <w:bCs w:val="1"/>
                  <w:color w:val="0000FF"/>
                </w:rPr>
                <w:t>SIGNATURES</w:t>
              </w:r>
            </w:hyperlink>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500"/>
        </w:trPr>
        <w:tc>
          <w:tcPr>
            <w:tcW w:w="40" w:type="dxa"/>
            <w:vAlign w:val="bottom"/>
          </w:tcPr>
          <w:p>
            <w:pPr>
              <w:spacing w:after="0"/>
              <w:rPr>
                <w:sz w:val="24"/>
                <w:szCs w:val="24"/>
                <w:color w:val="auto"/>
              </w:rPr>
            </w:pPr>
          </w:p>
        </w:tc>
        <w:tc>
          <w:tcPr>
            <w:tcW w:w="840" w:type="dxa"/>
            <w:vAlign w:val="bottom"/>
            <w:tcBorders>
              <w:top w:val="single" w:sz="8" w:color="0000EE"/>
            </w:tcBorders>
            <w:gridSpan w:val="2"/>
          </w:tcPr>
          <w:p>
            <w:pPr>
              <w:spacing w:after="0"/>
              <w:rPr>
                <w:sz w:val="24"/>
                <w:szCs w:val="24"/>
                <w:color w:val="auto"/>
              </w:rPr>
            </w:pPr>
          </w:p>
        </w:tc>
        <w:tc>
          <w:tcPr>
            <w:tcW w:w="4580" w:type="dxa"/>
            <w:vAlign w:val="bottom"/>
            <w:gridSpan w:val="14"/>
          </w:tcPr>
          <w:p>
            <w:pPr>
              <w:jc w:val="right"/>
              <w:ind w:right="140"/>
              <w:spacing w:after="0"/>
              <w:rPr>
                <w:sz w:val="20"/>
                <w:szCs w:val="20"/>
                <w:color w:val="auto"/>
              </w:rPr>
            </w:pPr>
            <w:r>
              <w:rPr>
                <w:rFonts w:ascii="Times New Roman" w:cs="Times New Roman" w:eastAsia="Times New Roman" w:hAnsi="Times New Roman"/>
                <w:sz w:val="13"/>
                <w:szCs w:val="13"/>
                <w:color w:val="auto"/>
              </w:rPr>
              <w:t>2</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680"/>
        </w:trPr>
        <w:tc>
          <w:tcPr>
            <w:tcW w:w="4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860" w:type="dxa"/>
            <w:vAlign w:val="bottom"/>
            <w:tcBorders>
              <w:bottom w:val="single" w:sz="8" w:color="EEEEEE"/>
            </w:tcBorders>
          </w:tcPr>
          <w:p>
            <w:pPr>
              <w:spacing w:after="0"/>
              <w:rPr>
                <w:sz w:val="24"/>
                <w:szCs w:val="24"/>
                <w:color w:val="auto"/>
              </w:rPr>
            </w:pPr>
          </w:p>
        </w:tc>
        <w:tc>
          <w:tcPr>
            <w:tcW w:w="20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64" w:right="680"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PART I—CONSOLIDATED FINANCIAL INFORMATION</w:t>
      </w:r>
    </w:p>
    <w:p>
      <w:pPr>
        <w:spacing w:after="0" w:line="23" w:lineRule="exact"/>
        <w:rPr>
          <w:sz w:val="20"/>
          <w:szCs w:val="20"/>
          <w:color w:val="auto"/>
        </w:rPr>
      </w:pPr>
    </w:p>
    <w:p>
      <w:pPr>
        <w:ind w:right="120" w:firstLine="420"/>
        <w:spacing w:after="0" w:line="252" w:lineRule="auto"/>
        <w:rPr>
          <w:sz w:val="20"/>
          <w:szCs w:val="20"/>
          <w:color w:val="auto"/>
        </w:rPr>
      </w:pPr>
      <w:r>
        <w:rPr>
          <w:rFonts w:ascii="Times New Roman" w:cs="Times New Roman" w:eastAsia="Times New Roman" w:hAnsi="Times New Roman"/>
          <w:sz w:val="13"/>
          <w:szCs w:val="13"/>
          <w:color w:val="auto"/>
        </w:rPr>
        <w:t>We are filing this Quarterly Report on Form 10-Q, or the Report, in compliance with Rule 13a-13 as promulgated by the Securities and Exchange Commission, or the SEC, under the Securities Exchange Act of 1934, as amended, or the Exchange Act. In this Report, except where the context suggests otherwise, the terms “Company,” “we,” “our” or “us” refers to PennantPark Floating Rate Capital Ltd. and its wholly-owned consolidated subsidiaries; “Funding I” refers to PennantPark Floating Rate Funding I, LLC; “Taxable Subsidiary” refers to collectively our consolidated subsidiaries PFLT Investment Holdings II, LLC and PFLT Investment Holdings, LLC; “PSSL” refers to PennantPark Senior Secured Loan Fund I LLC, an unconsolidated joint venture; “PTSF” refers to PennantPark -TSO Senior Loan Fund, LP, an unconsolidated limited partnership; “PennantPark Investment Advisers” or “Investment Adviser” refer to PennantPark Investment Advisers, LLC; “PennantPark Investment Administration” or “Administrator” refers to PennantPark Investment Administration, LLC; “2023 Notes” refers to our 4.3% Series A notes due 2023; “2026 Notes” refers to our 4.25% Notes due 2026; “1940 Act” refers to the Investment Company Act of 1940, as amended; “SBCAA” refers to the Small Business Credit Availability Act; “Code”</w:t>
      </w:r>
    </w:p>
    <w:p>
      <w:pPr>
        <w:spacing w:after="0" w:line="4" w:lineRule="exact"/>
        <w:rPr>
          <w:sz w:val="20"/>
          <w:szCs w:val="20"/>
          <w:color w:val="auto"/>
        </w:rPr>
      </w:pPr>
    </w:p>
    <w:p>
      <w:pPr>
        <w:ind w:right="140"/>
        <w:spacing w:after="0" w:line="158" w:lineRule="exact"/>
        <w:rPr>
          <w:sz w:val="20"/>
          <w:szCs w:val="20"/>
          <w:color w:val="auto"/>
        </w:rPr>
      </w:pPr>
      <w:r>
        <w:rPr>
          <w:rFonts w:ascii="Times New Roman" w:cs="Times New Roman" w:eastAsia="Times New Roman" w:hAnsi="Times New Roman"/>
          <w:sz w:val="13"/>
          <w:szCs w:val="13"/>
          <w:color w:val="auto"/>
        </w:rPr>
        <w:t>refers to the Internal Revenue Code of 1986, as amended; “RIC” refers to a regulated investment company under the Code; “BDC” refers to a business development company under the 1940 Act; “Credit Facility” refers to our multi-currency senior secured revolving credit facility, as amended from time to time, with Truist Bank and other lenders, or the “Lenders,” entered into on August 12, 2021;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 the issuance of the Class A -1 Senior Secured Floating Rate Notes due 2031, the Class A-2 Senior Secured Fixed Rate Notes due 2031, the Class B-1 Senior Secured Floating Rate Notes due 2031, the Class B-2 Senior Secured Fixed Rate Notes due 2031, the Class C- 1 Secured Deferrable Floating Rate Notes due 2031, the Class C- 2 Notes Secured Deferrable Fixed Rate Notes due 2031, and the Class D Secured Deferrable Floating Notes due 2031 and (ii) the borrowing of the Class A</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1 Senior Secured Floating Rate Notes due 2031 by the Securitization Issuers in connection with the Debt Securitization; and “Depositor” refers to PennantPark CLO I Depositor, LLC.</w:t>
      </w:r>
    </w:p>
    <w:p>
      <w:pPr>
        <w:spacing w:after="0" w:line="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3"/>
          <w:szCs w:val="13"/>
          <w:color w:val="auto"/>
        </w:rPr>
        <w:t>2036 Securitization Issuer refers to PennantPark CLO VIII, LLC; “2036-Debt Securitization” refers to the $350.6 million term debt securitization completed by the "2036 Securitization Issuers"; “2036 Asset-Backed Debt” refers to the issuance of the AAA(sf) Class A-1 Notes, AAA(sf) Class A-2 Notes, AA(sf) Class B Notes, A(sf) Class C Notes, BBB-(sf) Class D Notes, and the borrowing issuance of AAA(sf) Class A -1 floating rate loans. (the "Class A-1 Loans" with the 2036-Secured Notes.); “2036-R Securitization Issuers” refers to Securitization Issuer and PennantPark CLO I LLC; “2036-R Indenture” refers to that certain indenture, dated September 19, 2019, by and among the 2036-R Securitization Issuers and U.S. Bank Trust Company, National Association, as amended by the second supplemental indenture, dated June 25, 2024; “2036-R Asset-Backed Debt” refers to the issuance by the 2036-R Securitization Issuers of the following classes of notes pursuant the 2036-R Indenture (i) $203 million of A-1-R Notes, which bear interest at the three- month secured overnight financing rate (“SOFR”) plus 1.75%, (ii) $10.5 million of A -2-R Notes, which bear interest at three-month SOFR plus 1.90%, (iii) $12 million of Class B-R Notes, which bear interest at three-month SOFR plus 2.05%, (iv) $28 million of C-R Notes, which bear interest at three-month SOFR plus</w:t>
      </w:r>
    </w:p>
    <w:p>
      <w:pPr>
        <w:spacing w:after="0" w:line="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3"/>
          <w:szCs w:val="13"/>
          <w:color w:val="auto"/>
        </w:rPr>
        <w:t>2.75% and (v) $21 million of D-R Notes, which bear interest at three-month SOFR plus 4.30% (collectively, the “Secured Notes”), (B) the issuance by a 2036-R Securitization Issuer of $64 million of subordinated notes pursuant to the 2036-R Indenture (the “Subordinated Notes”) and (C) the borrowing by the Securitization Issuer of $12.5 million of Class B -R Loans, which bear interest at three-month SOFR plus 2.05% (the “Class B-R Loans”). References to our portfolio, our investments, our multi-currency, senior secured revolving credit facility, as amended and restated, or the Credit Facility, and our business include investments we make through our subsidiaries.</w:t>
      </w:r>
    </w:p>
    <w:p>
      <w:pPr>
        <w:spacing w:after="0" w:line="1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264" w:right="6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b w:val="1"/>
          <w:bCs w:val="1"/>
          <w:color w:val="auto"/>
        </w:rPr>
        <w:t>Item 1.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ASSETS AND LIABILITIES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Pr>
          <w:p>
            <w:pPr>
              <w:spacing w:after="0"/>
              <w:rPr>
                <w:sz w:val="13"/>
                <w:szCs w:val="1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September 30, 2024</w:t>
            </w:r>
          </w:p>
        </w:tc>
      </w:tr>
      <w:tr>
        <w:trPr>
          <w:trHeight w:val="170"/>
        </w:trPr>
        <w:tc>
          <w:tcPr>
            <w:tcW w:w="7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7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20" w:type="dxa"/>
            <w:vAlign w:val="bottom"/>
            <w:shd w:val="clear" w:color="auto" w:fill="CCECFF"/>
          </w:tcPr>
          <w:p>
            <w:pPr>
              <w:spacing w:after="0"/>
              <w:rPr>
                <w:sz w:val="13"/>
                <w:szCs w:val="13"/>
                <w:color w:val="auto"/>
              </w:rPr>
            </w:pPr>
          </w:p>
        </w:tc>
        <w:tc>
          <w:tcPr>
            <w:tcW w:w="1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 at fair value</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75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Non-controlled, non-affiliated investments (amortized cost— $1,894,793 and $1,622,669, respectively)</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1,907,349</w:t>
            </w:r>
          </w:p>
        </w:tc>
        <w:tc>
          <w:tcPr>
            <w:tcW w:w="240" w:type="dxa"/>
            <w:vAlign w:val="bottom"/>
            <w:shd w:val="clear" w:color="auto" w:fill="CCECFF"/>
          </w:tcPr>
          <w:p>
            <w:pPr>
              <w:spacing w:after="0"/>
              <w:rPr>
                <w:sz w:val="13"/>
                <w:szCs w:val="13"/>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1,632,269</w:t>
            </w:r>
          </w:p>
        </w:tc>
        <w:tc>
          <w:tcPr>
            <w:tcW w:w="80" w:type="dxa"/>
            <w:vAlign w:val="bottom"/>
            <w:shd w:val="clear" w:color="auto" w:fill="CCECFF"/>
          </w:tcPr>
          <w:p>
            <w:pPr>
              <w:spacing w:after="0"/>
              <w:rPr>
                <w:sz w:val="13"/>
                <w:szCs w:val="13"/>
                <w:color w:val="auto"/>
              </w:rPr>
            </w:pPr>
          </w:p>
        </w:tc>
      </w:tr>
      <w:tr>
        <w:trPr>
          <w:trHeight w:val="156"/>
        </w:trPr>
        <w:tc>
          <w:tcPr>
            <w:tcW w:w="7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Controlled, affiliated investments (amortized cost— $339,500 and $372,271, respectively)</w:t>
            </w: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286,561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351,235</w:t>
            </w:r>
          </w:p>
        </w:tc>
        <w:tc>
          <w:tcPr>
            <w:tcW w:w="80" w:type="dxa"/>
            <w:vAlign w:val="bottom"/>
          </w:tcPr>
          <w:p>
            <w:pPr>
              <w:spacing w:after="0"/>
              <w:rPr>
                <w:sz w:val="13"/>
                <w:szCs w:val="13"/>
                <w:color w:val="auto"/>
              </w:rPr>
            </w:pPr>
          </w:p>
        </w:tc>
      </w:tr>
      <w:tr>
        <w:trPr>
          <w:trHeight w:val="156"/>
        </w:trPr>
        <w:tc>
          <w:tcPr>
            <w:tcW w:w="75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Total investments (amortized cost— $2,234,293 and $1,994,940, respectively)</w:t>
            </w:r>
          </w:p>
        </w:tc>
        <w:tc>
          <w:tcPr>
            <w:tcW w:w="120" w:type="dxa"/>
            <w:vAlign w:val="bottom"/>
            <w:shd w:val="clear" w:color="auto" w:fill="CCECFF"/>
          </w:tcPr>
          <w:p>
            <w:pPr>
              <w:spacing w:after="0"/>
              <w:rPr>
                <w:sz w:val="13"/>
                <w:szCs w:val="13"/>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2,193,910</w:t>
            </w:r>
          </w:p>
        </w:tc>
        <w:tc>
          <w:tcPr>
            <w:tcW w:w="2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1,983,504</w:t>
            </w:r>
          </w:p>
        </w:tc>
        <w:tc>
          <w:tcPr>
            <w:tcW w:w="80" w:type="dxa"/>
            <w:vAlign w:val="bottom"/>
            <w:shd w:val="clear" w:color="auto" w:fill="CCECFF"/>
          </w:tcPr>
          <w:p>
            <w:pPr>
              <w:spacing w:after="0"/>
              <w:rPr>
                <w:sz w:val="13"/>
                <w:szCs w:val="13"/>
                <w:color w:val="auto"/>
              </w:rPr>
            </w:pPr>
          </w:p>
        </w:tc>
      </w:tr>
      <w:tr>
        <w:trPr>
          <w:trHeight w:val="156"/>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(cost— $102,273 and $112,046, respectively)</w:t>
            </w: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102,262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112,050</w:t>
            </w:r>
          </w:p>
        </w:tc>
        <w:tc>
          <w:tcPr>
            <w:tcW w:w="80" w:type="dxa"/>
            <w:vAlign w:val="bottom"/>
          </w:tcPr>
          <w:p>
            <w:pPr>
              <w:spacing w:after="0"/>
              <w:rPr>
                <w:sz w:val="13"/>
                <w:szCs w:val="13"/>
                <w:color w:val="auto"/>
              </w:rPr>
            </w:pPr>
          </w:p>
        </w:tc>
      </w:tr>
      <w:tr>
        <w:trPr>
          <w:trHeight w:val="156"/>
        </w:trPr>
        <w:tc>
          <w:tcPr>
            <w:tcW w:w="7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receivable</w:t>
            </w:r>
          </w:p>
        </w:tc>
        <w:tc>
          <w:tcPr>
            <w:tcW w:w="120" w:type="dxa"/>
            <w:vAlign w:val="bottom"/>
            <w:shd w:val="clear" w:color="auto" w:fill="CCECFF"/>
          </w:tcPr>
          <w:p>
            <w:pPr>
              <w:spacing w:after="0"/>
              <w:rPr>
                <w:sz w:val="13"/>
                <w:szCs w:val="13"/>
                <w:color w:val="auto"/>
              </w:rPr>
            </w:pPr>
          </w:p>
        </w:tc>
        <w:tc>
          <w:tcPr>
            <w:tcW w:w="14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13,024</w:t>
            </w:r>
          </w:p>
        </w:tc>
        <w:tc>
          <w:tcPr>
            <w:tcW w:w="120" w:type="dxa"/>
            <w:vAlign w:val="bottom"/>
            <w:shd w:val="clear" w:color="auto" w:fill="CCECFF"/>
          </w:tcPr>
          <w:p>
            <w:pPr>
              <w:spacing w:after="0"/>
              <w:rPr>
                <w:sz w:val="13"/>
                <w:szCs w:val="13"/>
                <w:color w:val="auto"/>
              </w:rPr>
            </w:pPr>
          </w:p>
        </w:tc>
        <w:tc>
          <w:tcPr>
            <w:tcW w:w="13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12,167</w:t>
            </w:r>
          </w:p>
        </w:tc>
      </w:tr>
      <w:tr>
        <w:trPr>
          <w:trHeight w:val="156"/>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Receivables from investments sold</w:t>
            </w:r>
          </w:p>
        </w:tc>
        <w:tc>
          <w:tcPr>
            <w:tcW w:w="120" w:type="dxa"/>
            <w:vAlign w:val="bottom"/>
          </w:tcPr>
          <w:p>
            <w:pPr>
              <w:spacing w:after="0"/>
              <w:rPr>
                <w:sz w:val="13"/>
                <w:szCs w:val="13"/>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29,090</w:t>
            </w:r>
          </w:p>
        </w:tc>
        <w:tc>
          <w:tcPr>
            <w:tcW w:w="120" w:type="dxa"/>
            <w:vAlign w:val="bottom"/>
          </w:tcPr>
          <w:p>
            <w:pPr>
              <w:spacing w:after="0"/>
              <w:rPr>
                <w:sz w:val="13"/>
                <w:szCs w:val="13"/>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7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Distributions receivable</w:t>
            </w:r>
          </w:p>
        </w:tc>
        <w:tc>
          <w:tcPr>
            <w:tcW w:w="120" w:type="dxa"/>
            <w:vAlign w:val="bottom"/>
            <w:shd w:val="clear" w:color="auto" w:fill="CCECFF"/>
          </w:tcPr>
          <w:p>
            <w:pPr>
              <w:spacing w:after="0"/>
              <w:rPr>
                <w:sz w:val="13"/>
                <w:szCs w:val="13"/>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577</w:t>
            </w:r>
          </w:p>
        </w:tc>
        <w:tc>
          <w:tcPr>
            <w:tcW w:w="2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80" w:type="dxa"/>
            <w:vAlign w:val="bottom"/>
            <w:shd w:val="clear" w:color="auto" w:fill="CCECFF"/>
          </w:tcPr>
          <w:p>
            <w:pPr>
              <w:spacing w:after="0"/>
              <w:rPr>
                <w:sz w:val="13"/>
                <w:szCs w:val="13"/>
                <w:color w:val="auto"/>
              </w:rPr>
            </w:pPr>
          </w:p>
        </w:tc>
      </w:tr>
      <w:tr>
        <w:trPr>
          <w:trHeight w:val="156"/>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from affiliates</w:t>
            </w: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80" w:type="dxa"/>
            <w:vAlign w:val="bottom"/>
          </w:tcPr>
          <w:p>
            <w:pPr>
              <w:spacing w:after="0"/>
              <w:rPr>
                <w:sz w:val="13"/>
                <w:szCs w:val="13"/>
                <w:color w:val="auto"/>
              </w:rPr>
            </w:pPr>
          </w:p>
        </w:tc>
      </w:tr>
      <w:tr>
        <w:trPr>
          <w:trHeight w:val="156"/>
        </w:trPr>
        <w:tc>
          <w:tcPr>
            <w:tcW w:w="7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20" w:type="dxa"/>
            <w:vAlign w:val="bottom"/>
            <w:shd w:val="clear" w:color="auto" w:fill="CCECFF"/>
          </w:tcPr>
          <w:p>
            <w:pPr>
              <w:spacing w:after="0"/>
              <w:rPr>
                <w:sz w:val="13"/>
                <w:szCs w:val="13"/>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5,026</w:t>
            </w:r>
          </w:p>
        </w:tc>
        <w:tc>
          <w:tcPr>
            <w:tcW w:w="2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80" w:type="dxa"/>
            <w:vAlign w:val="bottom"/>
            <w:shd w:val="clear" w:color="auto" w:fill="CCECFF"/>
          </w:tcPr>
          <w:p>
            <w:pPr>
              <w:spacing w:after="0"/>
              <w:rPr>
                <w:sz w:val="13"/>
                <w:szCs w:val="13"/>
                <w:color w:val="auto"/>
              </w:rPr>
            </w:pPr>
          </w:p>
        </w:tc>
      </w:tr>
      <w:tr>
        <w:trPr>
          <w:trHeight w:val="156"/>
        </w:trPr>
        <w:tc>
          <w:tcPr>
            <w:tcW w:w="75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2,344,201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2,108,845</w:t>
            </w:r>
          </w:p>
        </w:tc>
        <w:tc>
          <w:tcPr>
            <w:tcW w:w="80" w:type="dxa"/>
            <w:vAlign w:val="bottom"/>
          </w:tcPr>
          <w:p>
            <w:pPr>
              <w:spacing w:after="0"/>
              <w:rPr>
                <w:sz w:val="13"/>
                <w:szCs w:val="13"/>
                <w:color w:val="auto"/>
              </w:rPr>
            </w:pPr>
          </w:p>
        </w:tc>
      </w:tr>
      <w:tr>
        <w:trPr>
          <w:trHeight w:val="156"/>
        </w:trPr>
        <w:tc>
          <w:tcPr>
            <w:tcW w:w="7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20" w:type="dxa"/>
            <w:vAlign w:val="bottom"/>
            <w:shd w:val="clear" w:color="auto" w:fill="CCECFF"/>
          </w:tcPr>
          <w:p>
            <w:pPr>
              <w:spacing w:after="0"/>
              <w:rPr>
                <w:sz w:val="13"/>
                <w:szCs w:val="13"/>
                <w:color w:val="auto"/>
              </w:rPr>
            </w:pPr>
          </w:p>
        </w:tc>
        <w:tc>
          <w:tcPr>
            <w:tcW w:w="1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Credit Facility payable, at fair value (cost— $608,855 and $443,855, respectively)</w:t>
            </w: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608,791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443,880</w:t>
            </w:r>
          </w:p>
        </w:tc>
        <w:tc>
          <w:tcPr>
            <w:tcW w:w="80" w:type="dxa"/>
            <w:vAlign w:val="bottom"/>
          </w:tcPr>
          <w:p>
            <w:pPr>
              <w:spacing w:after="0"/>
              <w:rPr>
                <w:sz w:val="13"/>
                <w:szCs w:val="13"/>
                <w:color w:val="auto"/>
              </w:rPr>
            </w:pPr>
          </w:p>
        </w:tc>
      </w:tr>
      <w:tr>
        <w:trPr>
          <w:trHeight w:val="156"/>
        </w:trPr>
        <w:tc>
          <w:tcPr>
            <w:tcW w:w="7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2026 Notes payable, net (par—$185,000)</w:t>
            </w:r>
          </w:p>
        </w:tc>
        <w:tc>
          <w:tcPr>
            <w:tcW w:w="120" w:type="dxa"/>
            <w:vAlign w:val="bottom"/>
            <w:shd w:val="clear" w:color="auto" w:fill="CCECFF"/>
          </w:tcPr>
          <w:p>
            <w:pPr>
              <w:spacing w:after="0"/>
              <w:rPr>
                <w:sz w:val="13"/>
                <w:szCs w:val="13"/>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184,026</w:t>
            </w:r>
          </w:p>
        </w:tc>
        <w:tc>
          <w:tcPr>
            <w:tcW w:w="2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183,832</w:t>
            </w:r>
          </w:p>
        </w:tc>
        <w:tc>
          <w:tcPr>
            <w:tcW w:w="80" w:type="dxa"/>
            <w:vAlign w:val="bottom"/>
            <w:shd w:val="clear" w:color="auto" w:fill="CCECFF"/>
          </w:tcPr>
          <w:p>
            <w:pPr>
              <w:spacing w:after="0"/>
              <w:rPr>
                <w:sz w:val="13"/>
                <w:szCs w:val="13"/>
                <w:color w:val="auto"/>
              </w:rPr>
            </w:pPr>
          </w:p>
        </w:tc>
      </w:tr>
      <w:tr>
        <w:trPr>
          <w:trHeight w:val="156"/>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2036 Asset-Backed Debt, net (par—$287,000)</w:t>
            </w: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284,222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284,086</w:t>
            </w:r>
          </w:p>
        </w:tc>
        <w:tc>
          <w:tcPr>
            <w:tcW w:w="80" w:type="dxa"/>
            <w:vAlign w:val="bottom"/>
          </w:tcPr>
          <w:p>
            <w:pPr>
              <w:spacing w:after="0"/>
              <w:rPr>
                <w:sz w:val="13"/>
                <w:szCs w:val="13"/>
                <w:color w:val="auto"/>
              </w:rPr>
            </w:pPr>
          </w:p>
        </w:tc>
      </w:tr>
      <w:tr>
        <w:trPr>
          <w:trHeight w:val="156"/>
        </w:trPr>
        <w:tc>
          <w:tcPr>
            <w:tcW w:w="7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2036-R Asset-Backed Debt, net (par— $266,000)</w:t>
            </w:r>
          </w:p>
        </w:tc>
        <w:tc>
          <w:tcPr>
            <w:tcW w:w="120" w:type="dxa"/>
            <w:vAlign w:val="bottom"/>
            <w:shd w:val="clear" w:color="auto" w:fill="CCECFF"/>
          </w:tcPr>
          <w:p>
            <w:pPr>
              <w:spacing w:after="0"/>
              <w:rPr>
                <w:sz w:val="13"/>
                <w:szCs w:val="13"/>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265,268</w:t>
            </w:r>
          </w:p>
        </w:tc>
        <w:tc>
          <w:tcPr>
            <w:tcW w:w="2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265,235</w:t>
            </w:r>
          </w:p>
        </w:tc>
        <w:tc>
          <w:tcPr>
            <w:tcW w:w="80" w:type="dxa"/>
            <w:vAlign w:val="bottom"/>
            <w:shd w:val="clear" w:color="auto" w:fill="CCECFF"/>
          </w:tcPr>
          <w:p>
            <w:pPr>
              <w:spacing w:after="0"/>
              <w:rPr>
                <w:sz w:val="13"/>
                <w:szCs w:val="13"/>
                <w:color w:val="auto"/>
              </w:rPr>
            </w:pPr>
          </w:p>
        </w:tc>
      </w:tr>
      <w:tr>
        <w:trPr>
          <w:trHeight w:val="156"/>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20,363</w:t>
            </w:r>
          </w:p>
        </w:tc>
      </w:tr>
      <w:tr>
        <w:trPr>
          <w:trHeight w:val="156"/>
        </w:trPr>
        <w:tc>
          <w:tcPr>
            <w:tcW w:w="7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payable on debt</w:t>
            </w:r>
          </w:p>
        </w:tc>
        <w:tc>
          <w:tcPr>
            <w:tcW w:w="120" w:type="dxa"/>
            <w:vAlign w:val="bottom"/>
            <w:shd w:val="clear" w:color="auto" w:fill="CCECFF"/>
          </w:tcPr>
          <w:p>
            <w:pPr>
              <w:spacing w:after="0"/>
              <w:rPr>
                <w:sz w:val="13"/>
                <w:szCs w:val="13"/>
                <w:color w:val="auto"/>
              </w:rPr>
            </w:pPr>
          </w:p>
        </w:tc>
        <w:tc>
          <w:tcPr>
            <w:tcW w:w="14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13,318</w:t>
            </w:r>
          </w:p>
        </w:tc>
        <w:tc>
          <w:tcPr>
            <w:tcW w:w="120" w:type="dxa"/>
            <w:vAlign w:val="bottom"/>
            <w:shd w:val="clear" w:color="auto" w:fill="CCECFF"/>
          </w:tcPr>
          <w:p>
            <w:pPr>
              <w:spacing w:after="0"/>
              <w:rPr>
                <w:sz w:val="13"/>
                <w:szCs w:val="13"/>
                <w:color w:val="auto"/>
              </w:rPr>
            </w:pPr>
          </w:p>
        </w:tc>
        <w:tc>
          <w:tcPr>
            <w:tcW w:w="13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14,645</w:t>
            </w:r>
          </w:p>
        </w:tc>
      </w:tr>
      <w:tr>
        <w:trPr>
          <w:trHeight w:val="156"/>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payable</w:t>
            </w: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7,834</w:t>
            </w:r>
          </w:p>
        </w:tc>
        <w:tc>
          <w:tcPr>
            <w:tcW w:w="80" w:type="dxa"/>
            <w:vAlign w:val="bottom"/>
          </w:tcPr>
          <w:p>
            <w:pPr>
              <w:spacing w:after="0"/>
              <w:rPr>
                <w:sz w:val="13"/>
                <w:szCs w:val="13"/>
                <w:color w:val="auto"/>
              </w:rPr>
            </w:pPr>
          </w:p>
        </w:tc>
      </w:tr>
      <w:tr>
        <w:trPr>
          <w:trHeight w:val="156"/>
        </w:trPr>
        <w:tc>
          <w:tcPr>
            <w:tcW w:w="7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Base management fee payable</w:t>
            </w:r>
          </w:p>
        </w:tc>
        <w:tc>
          <w:tcPr>
            <w:tcW w:w="120" w:type="dxa"/>
            <w:vAlign w:val="bottom"/>
            <w:shd w:val="clear" w:color="auto" w:fill="CCECFF"/>
          </w:tcPr>
          <w:p>
            <w:pPr>
              <w:spacing w:after="0"/>
              <w:rPr>
                <w:sz w:val="13"/>
                <w:szCs w:val="13"/>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5,264</w:t>
            </w:r>
          </w:p>
        </w:tc>
        <w:tc>
          <w:tcPr>
            <w:tcW w:w="2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4,588</w:t>
            </w:r>
          </w:p>
        </w:tc>
        <w:tc>
          <w:tcPr>
            <w:tcW w:w="80" w:type="dxa"/>
            <w:vAlign w:val="bottom"/>
            <w:shd w:val="clear" w:color="auto" w:fill="CCECFF"/>
          </w:tcPr>
          <w:p>
            <w:pPr>
              <w:spacing w:after="0"/>
              <w:rPr>
                <w:sz w:val="13"/>
                <w:szCs w:val="13"/>
                <w:color w:val="auto"/>
              </w:rPr>
            </w:pPr>
          </w:p>
        </w:tc>
      </w:tr>
      <w:tr>
        <w:trPr>
          <w:trHeight w:val="156"/>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Incentive fee payable</w:t>
            </w: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3,189</w:t>
            </w:r>
          </w:p>
        </w:tc>
        <w:tc>
          <w:tcPr>
            <w:tcW w:w="80" w:type="dxa"/>
            <w:vAlign w:val="bottom"/>
          </w:tcPr>
          <w:p>
            <w:pPr>
              <w:spacing w:after="0"/>
              <w:rPr>
                <w:sz w:val="13"/>
                <w:szCs w:val="13"/>
                <w:color w:val="auto"/>
              </w:rPr>
            </w:pPr>
          </w:p>
        </w:tc>
      </w:tr>
      <w:tr>
        <w:trPr>
          <w:trHeight w:val="156"/>
        </w:trPr>
        <w:tc>
          <w:tcPr>
            <w:tcW w:w="7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120" w:type="dxa"/>
            <w:vAlign w:val="bottom"/>
            <w:shd w:val="clear" w:color="auto" w:fill="CCECFF"/>
          </w:tcPr>
          <w:p>
            <w:pPr>
              <w:spacing w:after="0"/>
              <w:rPr>
                <w:sz w:val="13"/>
                <w:szCs w:val="13"/>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2,920</w:t>
            </w:r>
          </w:p>
        </w:tc>
        <w:tc>
          <w:tcPr>
            <w:tcW w:w="2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2,187</w:t>
            </w:r>
          </w:p>
        </w:tc>
        <w:tc>
          <w:tcPr>
            <w:tcW w:w="80" w:type="dxa"/>
            <w:vAlign w:val="bottom"/>
            <w:shd w:val="clear" w:color="auto" w:fill="CCECFF"/>
          </w:tcPr>
          <w:p>
            <w:pPr>
              <w:spacing w:after="0"/>
              <w:rPr>
                <w:sz w:val="13"/>
                <w:szCs w:val="13"/>
                <w:color w:val="auto"/>
              </w:rPr>
            </w:pPr>
          </w:p>
        </w:tc>
      </w:tr>
      <w:tr>
        <w:trPr>
          <w:trHeight w:val="156"/>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 liability</w:t>
            </w: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1,712</w:t>
            </w:r>
          </w:p>
        </w:tc>
        <w:tc>
          <w:tcPr>
            <w:tcW w:w="80" w:type="dxa"/>
            <w:vAlign w:val="bottom"/>
          </w:tcPr>
          <w:p>
            <w:pPr>
              <w:spacing w:after="0"/>
              <w:rPr>
                <w:sz w:val="13"/>
                <w:szCs w:val="13"/>
                <w:color w:val="auto"/>
              </w:rPr>
            </w:pPr>
          </w:p>
        </w:tc>
      </w:tr>
      <w:tr>
        <w:trPr>
          <w:trHeight w:val="156"/>
        </w:trPr>
        <w:tc>
          <w:tcPr>
            <w:tcW w:w="75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20" w:type="dxa"/>
            <w:vAlign w:val="bottom"/>
            <w:shd w:val="clear" w:color="auto" w:fill="CCECFF"/>
          </w:tcPr>
          <w:p>
            <w:pPr>
              <w:spacing w:after="0"/>
              <w:rPr>
                <w:sz w:val="13"/>
                <w:szCs w:val="13"/>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1,381,550</w:t>
            </w:r>
          </w:p>
        </w:tc>
        <w:tc>
          <w:tcPr>
            <w:tcW w:w="2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1,231,551</w:t>
            </w:r>
          </w:p>
        </w:tc>
        <w:tc>
          <w:tcPr>
            <w:tcW w:w="80" w:type="dxa"/>
            <w:vAlign w:val="bottom"/>
            <w:shd w:val="clear" w:color="auto" w:fill="CCECFF"/>
          </w:tcPr>
          <w:p>
            <w:pPr>
              <w:spacing w:after="0"/>
              <w:rPr>
                <w:sz w:val="13"/>
                <w:szCs w:val="13"/>
                <w:color w:val="auto"/>
              </w:rPr>
            </w:pPr>
          </w:p>
        </w:tc>
      </w:tr>
      <w:tr>
        <w:trPr>
          <w:trHeight w:val="156"/>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(See Note 12)</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7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120" w:type="dxa"/>
            <w:vAlign w:val="bottom"/>
            <w:shd w:val="clear" w:color="auto" w:fill="CCECFF"/>
          </w:tcPr>
          <w:p>
            <w:pPr>
              <w:spacing w:after="0"/>
              <w:rPr>
                <w:sz w:val="13"/>
                <w:szCs w:val="13"/>
                <w:color w:val="auto"/>
              </w:rPr>
            </w:pPr>
          </w:p>
        </w:tc>
        <w:tc>
          <w:tcPr>
            <w:tcW w:w="1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44"/>
        </w:trPr>
        <w:tc>
          <w:tcPr>
            <w:tcW w:w="75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Common stock, 84,855,896 and 77,579,896 shares issued and outstanding, respectively</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8"/>
        </w:trPr>
        <w:tc>
          <w:tcPr>
            <w:tcW w:w="75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Par value $0.001 per share and 200,000,000 shares authorized</w:t>
            </w: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Pr>
          <w:p>
            <w:pPr>
              <w:spacing w:after="0"/>
              <w:rPr>
                <w:sz w:val="14"/>
                <w:szCs w:val="14"/>
                <w:color w:val="auto"/>
              </w:rPr>
            </w:pPr>
          </w:p>
        </w:tc>
      </w:tr>
      <w:tr>
        <w:trPr>
          <w:trHeight w:val="156"/>
        </w:trPr>
        <w:tc>
          <w:tcPr>
            <w:tcW w:w="7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Paid-in capital in excess of par value</w:t>
            </w:r>
          </w:p>
        </w:tc>
        <w:tc>
          <w:tcPr>
            <w:tcW w:w="120" w:type="dxa"/>
            <w:vAlign w:val="bottom"/>
            <w:shd w:val="clear" w:color="auto" w:fill="CCECFF"/>
          </w:tcPr>
          <w:p>
            <w:pPr>
              <w:spacing w:after="0"/>
              <w:rPr>
                <w:sz w:val="13"/>
                <w:szCs w:val="13"/>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1,058,949</w:t>
            </w:r>
          </w:p>
        </w:tc>
        <w:tc>
          <w:tcPr>
            <w:tcW w:w="2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976,744</w:t>
            </w:r>
          </w:p>
        </w:tc>
        <w:tc>
          <w:tcPr>
            <w:tcW w:w="80" w:type="dxa"/>
            <w:vAlign w:val="bottom"/>
            <w:shd w:val="clear" w:color="auto" w:fill="CCECFF"/>
          </w:tcPr>
          <w:p>
            <w:pPr>
              <w:spacing w:after="0"/>
              <w:rPr>
                <w:sz w:val="13"/>
                <w:szCs w:val="13"/>
                <w:color w:val="auto"/>
              </w:rPr>
            </w:pPr>
          </w:p>
        </w:tc>
      </w:tr>
      <w:tr>
        <w:trPr>
          <w:trHeight w:val="156"/>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Accumulated deficit</w:t>
            </w:r>
          </w:p>
        </w:tc>
        <w:tc>
          <w:tcPr>
            <w:tcW w:w="120" w:type="dxa"/>
            <w:vAlign w:val="bottom"/>
          </w:tcPr>
          <w:p>
            <w:pPr>
              <w:spacing w:after="0"/>
              <w:rPr>
                <w:sz w:val="13"/>
                <w:szCs w:val="13"/>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(96,383)</w:t>
            </w:r>
          </w:p>
        </w:tc>
        <w:tc>
          <w:tcPr>
            <w:tcW w:w="120" w:type="dxa"/>
            <w:vAlign w:val="bottom"/>
          </w:tcPr>
          <w:p>
            <w:pPr>
              <w:spacing w:after="0"/>
              <w:rPr>
                <w:sz w:val="13"/>
                <w:szCs w:val="13"/>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(99,528)</w:t>
            </w:r>
          </w:p>
        </w:tc>
      </w:tr>
      <w:tr>
        <w:trPr>
          <w:trHeight w:val="156"/>
        </w:trPr>
        <w:tc>
          <w:tcPr>
            <w:tcW w:w="75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net assets</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962,651</w:t>
            </w:r>
          </w:p>
        </w:tc>
        <w:tc>
          <w:tcPr>
            <w:tcW w:w="240" w:type="dxa"/>
            <w:vAlign w:val="bottom"/>
            <w:shd w:val="clear" w:color="auto" w:fill="CCECFF"/>
          </w:tcPr>
          <w:p>
            <w:pPr>
              <w:spacing w:after="0"/>
              <w:rPr>
                <w:sz w:val="13"/>
                <w:szCs w:val="13"/>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877,294</w:t>
            </w:r>
          </w:p>
        </w:tc>
        <w:tc>
          <w:tcPr>
            <w:tcW w:w="80" w:type="dxa"/>
            <w:vAlign w:val="bottom"/>
            <w:shd w:val="clear" w:color="auto" w:fill="CCECFF"/>
          </w:tcPr>
          <w:p>
            <w:pPr>
              <w:spacing w:after="0"/>
              <w:rPr>
                <w:sz w:val="13"/>
                <w:szCs w:val="13"/>
                <w:color w:val="auto"/>
              </w:rPr>
            </w:pPr>
          </w:p>
        </w:tc>
      </w:tr>
      <w:tr>
        <w:trPr>
          <w:trHeight w:val="156"/>
        </w:trPr>
        <w:tc>
          <w:tcPr>
            <w:tcW w:w="752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b w:val="1"/>
                <w:bCs w:val="1"/>
                <w:color w:val="auto"/>
              </w:rPr>
              <w:t>Total liabilities and net assets</w:t>
            </w:r>
          </w:p>
        </w:tc>
        <w:tc>
          <w:tcPr>
            <w:tcW w:w="1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2,344,201</w:t>
            </w:r>
          </w:p>
        </w:tc>
        <w:tc>
          <w:tcPr>
            <w:tcW w:w="24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2,108,845</w:t>
            </w:r>
          </w:p>
        </w:tc>
        <w:tc>
          <w:tcPr>
            <w:tcW w:w="80" w:type="dxa"/>
            <w:vAlign w:val="bottom"/>
          </w:tcPr>
          <w:p>
            <w:pPr>
              <w:spacing w:after="0"/>
              <w:rPr>
                <w:sz w:val="13"/>
                <w:szCs w:val="13"/>
                <w:color w:val="auto"/>
              </w:rPr>
            </w:pPr>
          </w:p>
        </w:tc>
      </w:tr>
      <w:tr>
        <w:trPr>
          <w:trHeight w:val="20"/>
        </w:trPr>
        <w:tc>
          <w:tcPr>
            <w:tcW w:w="7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2"/>
        </w:trPr>
        <w:tc>
          <w:tcPr>
            <w:tcW w:w="7520" w:type="dxa"/>
            <w:vAlign w:val="bottom"/>
            <w:tcBorders>
              <w:bottom w:val="single" w:sz="8" w:color="CCECFF"/>
            </w:tcBorders>
            <w:shd w:val="clear" w:color="auto" w:fill="CCECFF"/>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Net asset value per share</w:t>
            </w:r>
          </w:p>
        </w:tc>
        <w:tc>
          <w:tcPr>
            <w:tcW w:w="12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11.34</w:t>
            </w:r>
          </w:p>
        </w:tc>
        <w:tc>
          <w:tcPr>
            <w:tcW w:w="24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11.31</w:t>
            </w:r>
          </w:p>
        </w:tc>
        <w:tc>
          <w:tcPr>
            <w:tcW w:w="80" w:type="dxa"/>
            <w:vAlign w:val="bottom"/>
            <w:tcBorders>
              <w:bottom w:val="single" w:sz="8" w:color="CCECFF"/>
            </w:tcBorders>
            <w:shd w:val="clear" w:color="auto" w:fill="CCECFF"/>
          </w:tcPr>
          <w:p>
            <w:pPr>
              <w:spacing w:after="0"/>
              <w:rPr>
                <w:sz w:val="14"/>
                <w:szCs w:val="14"/>
                <w:color w:val="auto"/>
              </w:rPr>
            </w:pPr>
          </w:p>
        </w:tc>
      </w:tr>
    </w:tbl>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per share data)</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260" w:type="dxa"/>
            <w:vAlign w:val="bottom"/>
          </w:tcPr>
          <w:p>
            <w:pPr>
              <w:spacing w:after="0"/>
              <w:rPr>
                <w:sz w:val="13"/>
                <w:szCs w:val="13"/>
                <w:color w:val="auto"/>
              </w:rPr>
            </w:pPr>
          </w:p>
        </w:tc>
        <w:tc>
          <w:tcPr>
            <w:tcW w:w="2740" w:type="dxa"/>
            <w:vAlign w:val="bottom"/>
            <w:gridSpan w:val="4"/>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2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2023</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726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From non-controlled, non-affiliated investments:</w:t>
            </w:r>
          </w:p>
        </w:tc>
        <w:tc>
          <w:tcPr>
            <w:tcW w:w="980" w:type="dxa"/>
            <w:vAlign w:val="bottom"/>
            <w:shd w:val="clear" w:color="auto" w:fill="CCECFF"/>
          </w:tcPr>
          <w:p>
            <w:pPr>
              <w:spacing w:after="0"/>
              <w:rPr>
                <w:sz w:val="13"/>
                <w:szCs w:val="13"/>
                <w:color w:val="auto"/>
              </w:rPr>
            </w:pPr>
          </w:p>
        </w:tc>
        <w:tc>
          <w:tcPr>
            <w:tcW w:w="5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4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980" w:type="dxa"/>
            <w:vAlign w:val="bottom"/>
          </w:tcPr>
          <w:p>
            <w:pPr>
              <w:jc w:val="right"/>
              <w:ind w:right="83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47,463</w:t>
            </w:r>
          </w:p>
        </w:tc>
        <w:tc>
          <w:tcPr>
            <w:tcW w:w="260" w:type="dxa"/>
            <w:vAlign w:val="bottom"/>
          </w:tcPr>
          <w:p>
            <w:pPr>
              <w:spacing w:after="0"/>
              <w:rPr>
                <w:sz w:val="13"/>
                <w:szCs w:val="13"/>
                <w:color w:val="auto"/>
              </w:rPr>
            </w:pPr>
          </w:p>
        </w:tc>
        <w:tc>
          <w:tcPr>
            <w:tcW w:w="1000" w:type="dxa"/>
            <w:vAlign w:val="bottom"/>
          </w:tcPr>
          <w:p>
            <w:pPr>
              <w:jc w:val="right"/>
              <w:ind w:right="85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23,768</w:t>
            </w:r>
          </w:p>
        </w:tc>
        <w:tc>
          <w:tcPr>
            <w:tcW w:w="0" w:type="dxa"/>
            <w:vAlign w:val="bottom"/>
          </w:tcPr>
          <w:p>
            <w:pPr>
              <w:spacing w:after="0"/>
              <w:rPr>
                <w:sz w:val="1"/>
                <w:szCs w:val="1"/>
                <w:color w:val="auto"/>
              </w:rPr>
            </w:pPr>
          </w:p>
        </w:tc>
      </w:tr>
      <w:tr>
        <w:trPr>
          <w:trHeight w:val="156"/>
        </w:trPr>
        <w:tc>
          <w:tcPr>
            <w:tcW w:w="72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Dividend</w:t>
            </w:r>
          </w:p>
        </w:tc>
        <w:tc>
          <w:tcPr>
            <w:tcW w:w="98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577</w:t>
            </w:r>
          </w:p>
        </w:tc>
        <w:tc>
          <w:tcPr>
            <w:tcW w:w="26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508</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9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1,480</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From controlled, affiliated investments:</w:t>
            </w:r>
          </w:p>
        </w:tc>
        <w:tc>
          <w:tcPr>
            <w:tcW w:w="980" w:type="dxa"/>
            <w:vAlign w:val="bottom"/>
            <w:shd w:val="clear" w:color="auto" w:fill="CCECFF"/>
          </w:tcPr>
          <w:p>
            <w:pPr>
              <w:spacing w:after="0"/>
              <w:rPr>
                <w:sz w:val="13"/>
                <w:szCs w:val="13"/>
                <w:color w:val="auto"/>
              </w:rPr>
            </w:pPr>
          </w:p>
        </w:tc>
        <w:tc>
          <w:tcPr>
            <w:tcW w:w="5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4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9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12,808</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8,434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Dividend</w:t>
            </w:r>
          </w:p>
        </w:tc>
        <w:tc>
          <w:tcPr>
            <w:tcW w:w="98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4,375</w:t>
            </w:r>
          </w:p>
        </w:tc>
        <w:tc>
          <w:tcPr>
            <w:tcW w:w="26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3,500</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9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72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98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67,009</w:t>
            </w:r>
          </w:p>
        </w:tc>
        <w:tc>
          <w:tcPr>
            <w:tcW w:w="26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5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37,973</w:t>
            </w:r>
          </w:p>
        </w:tc>
        <w:tc>
          <w:tcPr>
            <w:tcW w:w="0" w:type="dxa"/>
            <w:vAlign w:val="bottom"/>
          </w:tcPr>
          <w:p>
            <w:pPr>
              <w:spacing w:after="0"/>
              <w:rPr>
                <w:sz w:val="1"/>
                <w:szCs w:val="1"/>
                <w:color w:val="auto"/>
              </w:rPr>
            </w:pPr>
          </w:p>
        </w:tc>
      </w:tr>
      <w:tr>
        <w:trPr>
          <w:trHeight w:val="174"/>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7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72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 and expenses on debt</w:t>
            </w:r>
          </w:p>
        </w:tc>
        <w:tc>
          <w:tcPr>
            <w:tcW w:w="98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22,361</w:t>
            </w:r>
          </w:p>
        </w:tc>
        <w:tc>
          <w:tcPr>
            <w:tcW w:w="26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8,942</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Performance-based incentive fee</w:t>
            </w:r>
          </w:p>
        </w:tc>
        <w:tc>
          <w:tcPr>
            <w:tcW w:w="9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7,492</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Base management fee</w:t>
            </w:r>
          </w:p>
        </w:tc>
        <w:tc>
          <w:tcPr>
            <w:tcW w:w="98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5,264</w:t>
            </w:r>
          </w:p>
        </w:tc>
        <w:tc>
          <w:tcPr>
            <w:tcW w:w="26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2,951</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9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Administrative services expenses</w:t>
            </w:r>
          </w:p>
        </w:tc>
        <w:tc>
          <w:tcPr>
            <w:tcW w:w="98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26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626</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2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Expenses before provision for taxes and financing costs</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36,817</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18,370</w:t>
            </w:r>
          </w:p>
        </w:tc>
        <w:tc>
          <w:tcPr>
            <w:tcW w:w="0" w:type="dxa"/>
            <w:vAlign w:val="bottom"/>
          </w:tcPr>
          <w:p>
            <w:pPr>
              <w:spacing w:after="0"/>
              <w:rPr>
                <w:sz w:val="1"/>
                <w:szCs w:val="1"/>
                <w:color w:val="auto"/>
              </w:rPr>
            </w:pPr>
          </w:p>
        </w:tc>
      </w:tr>
      <w:tr>
        <w:trPr>
          <w:trHeight w:val="156"/>
        </w:trPr>
        <w:tc>
          <w:tcPr>
            <w:tcW w:w="72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Provision for taxes on net investment income</w:t>
            </w:r>
          </w:p>
        </w:tc>
        <w:tc>
          <w:tcPr>
            <w:tcW w:w="98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26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Total expenses</w:t>
            </w:r>
          </w:p>
        </w:tc>
        <w:tc>
          <w:tcPr>
            <w:tcW w:w="9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37,042</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18,524</w:t>
            </w:r>
          </w:p>
        </w:tc>
        <w:tc>
          <w:tcPr>
            <w:tcW w:w="0" w:type="dxa"/>
            <w:vAlign w:val="bottom"/>
          </w:tcPr>
          <w:p>
            <w:pPr>
              <w:spacing w:after="0"/>
              <w:rPr>
                <w:sz w:val="1"/>
                <w:szCs w:val="1"/>
                <w:color w:val="auto"/>
              </w:rPr>
            </w:pPr>
          </w:p>
        </w:tc>
      </w:tr>
      <w:tr>
        <w:trPr>
          <w:trHeight w:val="156"/>
        </w:trPr>
        <w:tc>
          <w:tcPr>
            <w:tcW w:w="72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98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29,967</w:t>
            </w:r>
          </w:p>
        </w:tc>
        <w:tc>
          <w:tcPr>
            <w:tcW w:w="26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5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19,449</w:t>
            </w:r>
          </w:p>
        </w:tc>
        <w:tc>
          <w:tcPr>
            <w:tcW w:w="0" w:type="dxa"/>
            <w:vAlign w:val="bottom"/>
          </w:tcPr>
          <w:p>
            <w:pPr>
              <w:spacing w:after="0"/>
              <w:rPr>
                <w:sz w:val="1"/>
                <w:szCs w:val="1"/>
                <w:color w:val="auto"/>
              </w:rPr>
            </w:pPr>
          </w:p>
        </w:tc>
      </w:tr>
      <w:tr>
        <w:trPr>
          <w:trHeight w:val="156"/>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Realized and unrealized gain (loss) on investments and debt:</w:t>
            </w: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realized gain (loss) on:</w:t>
            </w:r>
          </w:p>
        </w:tc>
        <w:tc>
          <w:tcPr>
            <w:tcW w:w="980" w:type="dxa"/>
            <w:vAlign w:val="bottom"/>
            <w:shd w:val="clear" w:color="auto" w:fill="CCECFF"/>
          </w:tcPr>
          <w:p>
            <w:pPr>
              <w:spacing w:after="0"/>
              <w:rPr>
                <w:sz w:val="13"/>
                <w:szCs w:val="13"/>
                <w:color w:val="auto"/>
              </w:rPr>
            </w:pPr>
          </w:p>
        </w:tc>
        <w:tc>
          <w:tcPr>
            <w:tcW w:w="5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4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9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1,181</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(3,089)</w:t>
            </w:r>
          </w:p>
        </w:tc>
        <w:tc>
          <w:tcPr>
            <w:tcW w:w="0" w:type="dxa"/>
            <w:vAlign w:val="bottom"/>
          </w:tcPr>
          <w:p>
            <w:pPr>
              <w:spacing w:after="0"/>
              <w:rPr>
                <w:sz w:val="1"/>
                <w:szCs w:val="1"/>
                <w:color w:val="auto"/>
              </w:rPr>
            </w:pPr>
          </w:p>
        </w:tc>
      </w:tr>
      <w:tr>
        <w:trPr>
          <w:trHeight w:val="156"/>
        </w:trPr>
        <w:tc>
          <w:tcPr>
            <w:tcW w:w="72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Non-controlled and controlled, affiliated investments</w:t>
            </w:r>
          </w:p>
        </w:tc>
        <w:tc>
          <w:tcPr>
            <w:tcW w:w="98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25,493</w:t>
            </w:r>
          </w:p>
        </w:tc>
        <w:tc>
          <w:tcPr>
            <w:tcW w:w="26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5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7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Provision for taxes on realized gain on investments</w:t>
            </w:r>
          </w:p>
        </w:tc>
        <w:tc>
          <w:tcPr>
            <w:tcW w:w="98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(73)</w:t>
            </w:r>
          </w:p>
        </w:tc>
        <w:tc>
          <w:tcPr>
            <w:tcW w:w="100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72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Net realized gain (loss) on investments</w:t>
            </w:r>
          </w:p>
        </w:tc>
        <w:tc>
          <w:tcPr>
            <w:tcW w:w="98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26,601</w:t>
            </w:r>
          </w:p>
        </w:tc>
        <w:tc>
          <w:tcPr>
            <w:tcW w:w="26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5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(3,089)</w:t>
            </w:r>
          </w:p>
        </w:tc>
        <w:tc>
          <w:tcPr>
            <w:tcW w:w="0" w:type="dxa"/>
            <w:vAlign w:val="bottom"/>
          </w:tcPr>
          <w:p>
            <w:pPr>
              <w:spacing w:after="0"/>
              <w:rPr>
                <w:sz w:val="1"/>
                <w:szCs w:val="1"/>
                <w:color w:val="auto"/>
              </w:rPr>
            </w:pPr>
          </w:p>
        </w:tc>
      </w:tr>
      <w:tr>
        <w:trPr>
          <w:trHeight w:val="156"/>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(depreciation) on:</w:t>
            </w: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98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2,943</w:t>
            </w:r>
          </w:p>
        </w:tc>
        <w:tc>
          <w:tcPr>
            <w:tcW w:w="26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5,228</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Controlled and non-controlled, affiliated investments</w:t>
            </w:r>
          </w:p>
        </w:tc>
        <w:tc>
          <w:tcPr>
            <w:tcW w:w="98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(31,904)</w:t>
            </w: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2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Provision for taxes on unrealized appreciation (depreciation) on investments</w:t>
            </w:r>
          </w:p>
        </w:tc>
        <w:tc>
          <w:tcPr>
            <w:tcW w:w="980" w:type="dxa"/>
            <w:vAlign w:val="bottom"/>
            <w:shd w:val="clear" w:color="auto" w:fill="CCECFF"/>
          </w:tcPr>
          <w:p>
            <w:pPr>
              <w:spacing w:after="0"/>
              <w:rPr>
                <w:sz w:val="14"/>
                <w:szCs w:val="14"/>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632</w:t>
            </w: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5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7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Debt appreciation (depreciation)</w:t>
            </w:r>
          </w:p>
        </w:tc>
        <w:tc>
          <w:tcPr>
            <w:tcW w:w="9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156"/>
        </w:trPr>
        <w:tc>
          <w:tcPr>
            <w:tcW w:w="72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Net change in unrealized appreciation (depreciation) on investments and debt</w:t>
            </w:r>
          </w:p>
        </w:tc>
        <w:tc>
          <w:tcPr>
            <w:tcW w:w="980" w:type="dxa"/>
            <w:vAlign w:val="bottom"/>
            <w:shd w:val="clear" w:color="auto" w:fill="CCECFF"/>
          </w:tcPr>
          <w:p>
            <w:pPr>
              <w:spacing w:after="0"/>
              <w:rPr>
                <w:sz w:val="13"/>
                <w:szCs w:val="13"/>
                <w:color w:val="auto"/>
              </w:rPr>
            </w:pPr>
          </w:p>
        </w:tc>
        <w:tc>
          <w:tcPr>
            <w:tcW w:w="7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(28,239)</w:t>
            </w:r>
          </w:p>
        </w:tc>
        <w:tc>
          <w:tcPr>
            <w:tcW w:w="100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6,109</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from investments and debt</w:t>
            </w:r>
          </w:p>
        </w:tc>
        <w:tc>
          <w:tcPr>
            <w:tcW w:w="98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(1,638)</w:t>
            </w: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2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w:t>
            </w:r>
          </w:p>
        </w:tc>
        <w:tc>
          <w:tcPr>
            <w:tcW w:w="980" w:type="dxa"/>
            <w:vAlign w:val="bottom"/>
            <w:tcBorders>
              <w:bottom w:val="single" w:sz="8" w:color="auto"/>
            </w:tcBorders>
            <w:shd w:val="clear" w:color="auto" w:fill="CCECFF"/>
          </w:tcPr>
          <w:p>
            <w:pPr>
              <w:jc w:val="right"/>
              <w:ind w:right="83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28,329</w:t>
            </w:r>
          </w:p>
        </w:tc>
        <w:tc>
          <w:tcPr>
            <w:tcW w:w="260" w:type="dxa"/>
            <w:vAlign w:val="bottom"/>
            <w:tcBorders>
              <w:bottom w:val="single" w:sz="8" w:color="CCECFF"/>
            </w:tcBorders>
            <w:shd w:val="clear" w:color="auto" w:fill="CCECFF"/>
          </w:tcPr>
          <w:p>
            <w:pPr>
              <w:spacing w:after="0"/>
              <w:rPr>
                <w:sz w:val="17"/>
                <w:szCs w:val="17"/>
                <w:color w:val="auto"/>
              </w:rPr>
            </w:pPr>
          </w:p>
        </w:tc>
        <w:tc>
          <w:tcPr>
            <w:tcW w:w="1000" w:type="dxa"/>
            <w:vAlign w:val="bottom"/>
            <w:tcBorders>
              <w:bottom w:val="single" w:sz="8" w:color="auto"/>
            </w:tcBorders>
            <w:shd w:val="clear" w:color="auto" w:fill="CCECFF"/>
          </w:tcPr>
          <w:p>
            <w:pPr>
              <w:jc w:val="right"/>
              <w:ind w:right="854"/>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22,469</w:t>
            </w: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726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 per common share (See Note 7)</w:t>
            </w:r>
          </w:p>
        </w:tc>
        <w:tc>
          <w:tcPr>
            <w:tcW w:w="980" w:type="dxa"/>
            <w:vAlign w:val="bottom"/>
            <w:tcBorders>
              <w:bottom w:val="single" w:sz="8" w:color="auto"/>
            </w:tcBorders>
          </w:tcPr>
          <w:p>
            <w:pPr>
              <w:jc w:val="right"/>
              <w:ind w:right="8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0.35</w:t>
            </w:r>
          </w:p>
        </w:tc>
        <w:tc>
          <w:tcPr>
            <w:tcW w:w="260" w:type="dxa"/>
            <w:vAlign w:val="bottom"/>
          </w:tcPr>
          <w:p>
            <w:pPr>
              <w:spacing w:after="0"/>
              <w:rPr>
                <w:sz w:val="11"/>
                <w:szCs w:val="11"/>
                <w:color w:val="auto"/>
              </w:rPr>
            </w:pPr>
          </w:p>
        </w:tc>
        <w:tc>
          <w:tcPr>
            <w:tcW w:w="1000" w:type="dxa"/>
            <w:vAlign w:val="bottom"/>
            <w:tcBorders>
              <w:bottom w:val="single" w:sz="8" w:color="auto"/>
            </w:tcBorders>
          </w:tcPr>
          <w:p>
            <w:pPr>
              <w:jc w:val="right"/>
              <w:ind w:right="85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0.38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260" w:type="dxa"/>
            <w:vAlign w:val="bottom"/>
            <w:tcBorders>
              <w:bottom w:val="single" w:sz="8" w:color="CCECFF"/>
            </w:tcBorders>
            <w:shd w:val="clear" w:color="auto" w:fill="CCECFF"/>
          </w:tcPr>
          <w:p>
            <w:pPr>
              <w:ind w:left="20"/>
              <w:spacing w:after="0" w:line="133" w:lineRule="exact"/>
              <w:rPr>
                <w:sz w:val="20"/>
                <w:szCs w:val="20"/>
                <w:color w:val="auto"/>
              </w:rPr>
            </w:pPr>
            <w:r>
              <w:rPr>
                <w:rFonts w:ascii="Times New Roman" w:cs="Times New Roman" w:eastAsia="Times New Roman" w:hAnsi="Times New Roman"/>
                <w:sz w:val="13"/>
                <w:szCs w:val="13"/>
                <w:color w:val="auto"/>
              </w:rPr>
              <w:t>Net investment income per common share</w:t>
            </w:r>
          </w:p>
        </w:tc>
        <w:tc>
          <w:tcPr>
            <w:tcW w:w="980" w:type="dxa"/>
            <w:vAlign w:val="bottom"/>
            <w:tcBorders>
              <w:top w:val="single" w:sz="8" w:color="auto"/>
              <w:bottom w:val="single" w:sz="8" w:color="auto"/>
            </w:tcBorders>
            <w:shd w:val="clear" w:color="auto" w:fill="CCECFF"/>
          </w:tcPr>
          <w:p>
            <w:pPr>
              <w:jc w:val="right"/>
              <w:ind w:right="8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0.37</w:t>
            </w:r>
          </w:p>
        </w:tc>
        <w:tc>
          <w:tcPr>
            <w:tcW w:w="260" w:type="dxa"/>
            <w:vAlign w:val="bottom"/>
            <w:tcBorders>
              <w:bottom w:val="single" w:sz="8" w:color="CCECFF"/>
            </w:tcBorders>
            <w:shd w:val="clear" w:color="auto" w:fill="CCECFF"/>
          </w:tcPr>
          <w:p>
            <w:pPr>
              <w:spacing w:after="0"/>
              <w:rPr>
                <w:sz w:val="14"/>
                <w:szCs w:val="14"/>
                <w:color w:val="auto"/>
              </w:rPr>
            </w:pPr>
          </w:p>
        </w:tc>
        <w:tc>
          <w:tcPr>
            <w:tcW w:w="1000" w:type="dxa"/>
            <w:vAlign w:val="bottom"/>
            <w:tcBorders>
              <w:top w:val="single" w:sz="8" w:color="auto"/>
              <w:bottom w:val="single" w:sz="8" w:color="auto"/>
            </w:tcBorders>
            <w:shd w:val="clear" w:color="auto" w:fill="CCECFF"/>
          </w:tcPr>
          <w:p>
            <w:pPr>
              <w:jc w:val="right"/>
              <w:ind w:right="85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0.33</w:t>
            </w:r>
          </w:p>
        </w:tc>
        <w:tc>
          <w:tcPr>
            <w:tcW w:w="8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CHANGES IN NET ASSETS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issue data)</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260" w:type="dxa"/>
            <w:vAlign w:val="bottom"/>
          </w:tcPr>
          <w:p>
            <w:pPr>
              <w:spacing w:after="0"/>
              <w:rPr>
                <w:sz w:val="13"/>
                <w:szCs w:val="13"/>
                <w:color w:val="auto"/>
              </w:rPr>
            </w:pPr>
          </w:p>
        </w:tc>
        <w:tc>
          <w:tcPr>
            <w:tcW w:w="2700" w:type="dxa"/>
            <w:vAlign w:val="bottom"/>
            <w:gridSpan w:val="4"/>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7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from operations:</w:t>
            </w:r>
          </w:p>
        </w:tc>
        <w:tc>
          <w:tcPr>
            <w:tcW w:w="920" w:type="dxa"/>
            <w:vAlign w:val="bottom"/>
            <w:shd w:val="clear" w:color="auto" w:fill="CCECFF"/>
          </w:tcPr>
          <w:p>
            <w:pPr>
              <w:spacing w:after="0"/>
              <w:rPr>
                <w:sz w:val="13"/>
                <w:szCs w:val="13"/>
                <w:color w:val="auto"/>
              </w:rPr>
            </w:pPr>
          </w:p>
        </w:tc>
        <w:tc>
          <w:tcPr>
            <w:tcW w:w="5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7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investment income</w:t>
            </w:r>
          </w:p>
        </w:tc>
        <w:tc>
          <w:tcPr>
            <w:tcW w:w="920" w:type="dxa"/>
            <w:vAlign w:val="bottom"/>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29,967</w:t>
            </w:r>
          </w:p>
        </w:tc>
        <w:tc>
          <w:tcPr>
            <w:tcW w:w="960" w:type="dxa"/>
            <w:vAlign w:val="bottom"/>
          </w:tcPr>
          <w:p>
            <w:pPr>
              <w:jc w:val="right"/>
              <w:ind w:right="81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19,449</w:t>
            </w:r>
          </w:p>
        </w:tc>
      </w:tr>
      <w:tr>
        <w:trPr>
          <w:trHeight w:val="156"/>
        </w:trPr>
        <w:tc>
          <w:tcPr>
            <w:tcW w:w="72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92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26,674</w:t>
            </w:r>
          </w:p>
        </w:tc>
        <w:tc>
          <w:tcPr>
            <w:tcW w:w="960" w:type="dxa"/>
            <w:vAlign w:val="bottom"/>
            <w:shd w:val="clear" w:color="auto" w:fill="CCECFF"/>
          </w:tcPr>
          <w:p>
            <w:pPr>
              <w:spacing w:after="0"/>
              <w:rPr>
                <w:sz w:val="13"/>
                <w:szCs w:val="13"/>
                <w:color w:val="auto"/>
              </w:rPr>
            </w:pPr>
          </w:p>
        </w:tc>
        <w:tc>
          <w:tcPr>
            <w:tcW w:w="6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(3,089)</w:t>
            </w:r>
          </w:p>
        </w:tc>
      </w:tr>
      <w:tr>
        <w:trPr>
          <w:trHeight w:val="156"/>
        </w:trPr>
        <w:tc>
          <w:tcPr>
            <w:tcW w:w="7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92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(28,961)</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6,171</w:t>
            </w:r>
          </w:p>
        </w:tc>
        <w:tc>
          <w:tcPr>
            <w:tcW w:w="80" w:type="dxa"/>
            <w:vAlign w:val="bottom"/>
          </w:tcPr>
          <w:p>
            <w:pPr>
              <w:spacing w:after="0"/>
              <w:rPr>
                <w:sz w:val="13"/>
                <w:szCs w:val="13"/>
                <w:color w:val="auto"/>
              </w:rPr>
            </w:pPr>
          </w:p>
        </w:tc>
      </w:tr>
      <w:tr>
        <w:trPr>
          <w:trHeight w:val="156"/>
        </w:trPr>
        <w:tc>
          <w:tcPr>
            <w:tcW w:w="72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Net change in provision for taxes on realized and unrealized appreciation (depreciation) on investments</w:t>
            </w:r>
          </w:p>
        </w:tc>
        <w:tc>
          <w:tcPr>
            <w:tcW w:w="92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559</w:t>
            </w:r>
          </w:p>
        </w:tc>
        <w:tc>
          <w:tcPr>
            <w:tcW w:w="26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6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7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change in unrealized appreciation (depreciation) on debt</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(62)</w:t>
            </w:r>
          </w:p>
        </w:tc>
      </w:tr>
      <w:tr>
        <w:trPr>
          <w:trHeight w:val="156"/>
        </w:trPr>
        <w:tc>
          <w:tcPr>
            <w:tcW w:w="72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w:t>
            </w:r>
          </w:p>
        </w:tc>
        <w:tc>
          <w:tcPr>
            <w:tcW w:w="92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28,329</w:t>
            </w:r>
          </w:p>
        </w:tc>
        <w:tc>
          <w:tcPr>
            <w:tcW w:w="960" w:type="dxa"/>
            <w:vAlign w:val="bottom"/>
            <w:shd w:val="clear" w:color="auto" w:fill="CCECFF"/>
          </w:tcPr>
          <w:p>
            <w:pPr>
              <w:spacing w:after="0"/>
              <w:rPr>
                <w:sz w:val="13"/>
                <w:szCs w:val="13"/>
                <w:color w:val="auto"/>
              </w:rPr>
            </w:pPr>
          </w:p>
        </w:tc>
        <w:tc>
          <w:tcPr>
            <w:tcW w:w="6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22,469</w:t>
            </w:r>
          </w:p>
        </w:tc>
      </w:tr>
      <w:tr>
        <w:trPr>
          <w:trHeight w:val="156"/>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Distributions to stockholders:</w:t>
            </w: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72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Distribution of net investment income</w:t>
            </w:r>
          </w:p>
        </w:tc>
        <w:tc>
          <w:tcPr>
            <w:tcW w:w="92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(25,181)</w:t>
            </w:r>
          </w:p>
        </w:tc>
        <w:tc>
          <w:tcPr>
            <w:tcW w:w="960" w:type="dxa"/>
            <w:vAlign w:val="bottom"/>
            <w:shd w:val="clear" w:color="auto" w:fill="CCECFF"/>
          </w:tcPr>
          <w:p>
            <w:pPr>
              <w:spacing w:after="0"/>
              <w:rPr>
                <w:sz w:val="13"/>
                <w:szCs w:val="13"/>
                <w:color w:val="auto"/>
              </w:rPr>
            </w:pPr>
          </w:p>
        </w:tc>
        <w:tc>
          <w:tcPr>
            <w:tcW w:w="6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(18,061)</w:t>
            </w:r>
          </w:p>
        </w:tc>
      </w:tr>
      <w:tr>
        <w:trPr>
          <w:trHeight w:val="156"/>
        </w:trPr>
        <w:tc>
          <w:tcPr>
            <w:tcW w:w="72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Total distributions to stockholders</w:t>
            </w:r>
          </w:p>
        </w:tc>
        <w:tc>
          <w:tcPr>
            <w:tcW w:w="92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(25,181)</w:t>
            </w:r>
          </w:p>
        </w:tc>
        <w:tc>
          <w:tcPr>
            <w:tcW w:w="9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(18,061)</w:t>
            </w:r>
          </w:p>
        </w:tc>
      </w:tr>
      <w:tr>
        <w:trPr>
          <w:trHeight w:val="156"/>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Capital transactions</w:t>
            </w:r>
          </w:p>
        </w:tc>
        <w:tc>
          <w:tcPr>
            <w:tcW w:w="920" w:type="dxa"/>
            <w:vAlign w:val="bottom"/>
            <w:shd w:val="clear" w:color="auto" w:fill="CCECFF"/>
          </w:tcPr>
          <w:p>
            <w:pPr>
              <w:spacing w:after="0"/>
              <w:rPr>
                <w:sz w:val="13"/>
                <w:szCs w:val="13"/>
                <w:color w:val="auto"/>
              </w:rPr>
            </w:pPr>
          </w:p>
        </w:tc>
        <w:tc>
          <w:tcPr>
            <w:tcW w:w="5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7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Public offering</w:t>
            </w:r>
          </w:p>
        </w:tc>
        <w:tc>
          <w:tcPr>
            <w:tcW w:w="92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82,708</w:t>
            </w:r>
          </w:p>
        </w:tc>
        <w:tc>
          <w:tcPr>
            <w:tcW w:w="9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72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Offering costs</w:t>
            </w:r>
          </w:p>
        </w:tc>
        <w:tc>
          <w:tcPr>
            <w:tcW w:w="92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(499 )</w:t>
            </w:r>
          </w:p>
        </w:tc>
        <w:tc>
          <w:tcPr>
            <w:tcW w:w="960" w:type="dxa"/>
            <w:vAlign w:val="bottom"/>
            <w:shd w:val="clear" w:color="auto" w:fill="CCECFF"/>
          </w:tcPr>
          <w:p>
            <w:pPr>
              <w:spacing w:after="0"/>
              <w:rPr>
                <w:sz w:val="13"/>
                <w:szCs w:val="13"/>
                <w:color w:val="auto"/>
              </w:rPr>
            </w:pPr>
          </w:p>
        </w:tc>
        <w:tc>
          <w:tcPr>
            <w:tcW w:w="6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72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increase in net assets resulting from capital transactions</w:t>
            </w:r>
          </w:p>
        </w:tc>
        <w:tc>
          <w:tcPr>
            <w:tcW w:w="92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82,209</w:t>
            </w:r>
          </w:p>
        </w:tc>
        <w:tc>
          <w:tcPr>
            <w:tcW w:w="9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w:t>
            </w:r>
          </w:p>
        </w:tc>
        <w:tc>
          <w:tcPr>
            <w:tcW w:w="92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85,357</w:t>
            </w:r>
          </w:p>
        </w:tc>
        <w:tc>
          <w:tcPr>
            <w:tcW w:w="96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4,408</w:t>
            </w:r>
          </w:p>
        </w:tc>
        <w:tc>
          <w:tcPr>
            <w:tcW w:w="80" w:type="dxa"/>
            <w:vAlign w:val="bottom"/>
            <w:shd w:val="clear" w:color="auto" w:fill="CCECFF"/>
          </w:tcPr>
          <w:p>
            <w:pPr>
              <w:spacing w:after="0"/>
              <w:rPr>
                <w:sz w:val="13"/>
                <w:szCs w:val="13"/>
                <w:color w:val="auto"/>
              </w:rPr>
            </w:pPr>
          </w:p>
        </w:tc>
      </w:tr>
      <w:tr>
        <w:trPr>
          <w:trHeight w:val="156"/>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72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Beginning of period</w:t>
            </w:r>
          </w:p>
        </w:tc>
        <w:tc>
          <w:tcPr>
            <w:tcW w:w="92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877,294</w:t>
            </w:r>
          </w:p>
        </w:tc>
        <w:tc>
          <w:tcPr>
            <w:tcW w:w="26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653,605</w:t>
            </w:r>
          </w:p>
        </w:tc>
        <w:tc>
          <w:tcPr>
            <w:tcW w:w="80" w:type="dxa"/>
            <w:vAlign w:val="bottom"/>
            <w:shd w:val="clear" w:color="auto" w:fill="CCECFF"/>
          </w:tcPr>
          <w:p>
            <w:pPr>
              <w:spacing w:after="0"/>
              <w:rPr>
                <w:sz w:val="13"/>
                <w:szCs w:val="13"/>
                <w:color w:val="auto"/>
              </w:rPr>
            </w:pPr>
          </w:p>
        </w:tc>
      </w:tr>
      <w:tr>
        <w:trPr>
          <w:trHeight w:val="156"/>
        </w:trPr>
        <w:tc>
          <w:tcPr>
            <w:tcW w:w="7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End of period</w:t>
            </w:r>
          </w:p>
        </w:tc>
        <w:tc>
          <w:tcPr>
            <w:tcW w:w="92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962,651</w:t>
            </w:r>
          </w:p>
        </w:tc>
        <w:tc>
          <w:tcPr>
            <w:tcW w:w="260" w:type="dxa"/>
            <w:vAlign w:val="bottom"/>
          </w:tcPr>
          <w:p>
            <w:pPr>
              <w:spacing w:after="0"/>
              <w:rPr>
                <w:sz w:val="13"/>
                <w:szCs w:val="13"/>
                <w:color w:val="auto"/>
              </w:rPr>
            </w:pPr>
          </w:p>
        </w:tc>
        <w:tc>
          <w:tcPr>
            <w:tcW w:w="96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658,013</w:t>
            </w:r>
          </w:p>
        </w:tc>
        <w:tc>
          <w:tcPr>
            <w:tcW w:w="80" w:type="dxa"/>
            <w:vAlign w:val="bottom"/>
          </w:tcPr>
          <w:p>
            <w:pPr>
              <w:spacing w:after="0"/>
              <w:rPr>
                <w:sz w:val="13"/>
                <w:szCs w:val="13"/>
                <w:color w:val="auto"/>
              </w:rPr>
            </w:pPr>
          </w:p>
        </w:tc>
      </w:tr>
      <w:tr>
        <w:trPr>
          <w:trHeight w:val="20"/>
        </w:trPr>
        <w:tc>
          <w:tcPr>
            <w:tcW w:w="7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4"/>
        </w:trPr>
        <w:tc>
          <w:tcPr>
            <w:tcW w:w="72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Capital share activity:</w:t>
            </w:r>
          </w:p>
        </w:tc>
        <w:tc>
          <w:tcPr>
            <w:tcW w:w="920" w:type="dxa"/>
            <w:vAlign w:val="bottom"/>
            <w:tcBorders>
              <w:bottom w:val="single" w:sz="8" w:color="CCECFF"/>
            </w:tcBorders>
            <w:shd w:val="clear" w:color="auto" w:fill="CCECFF"/>
          </w:tcPr>
          <w:p>
            <w:pPr>
              <w:spacing w:after="0"/>
              <w:rPr>
                <w:sz w:val="16"/>
                <w:szCs w:val="16"/>
                <w:color w:val="auto"/>
              </w:rPr>
            </w:pPr>
          </w:p>
        </w:tc>
        <w:tc>
          <w:tcPr>
            <w:tcW w:w="560" w:type="dxa"/>
            <w:vAlign w:val="bottom"/>
            <w:tcBorders>
              <w:bottom w:val="single" w:sz="8" w:color="CCECFF"/>
            </w:tcBorders>
            <w:shd w:val="clear" w:color="auto" w:fill="CCECFF"/>
          </w:tcPr>
          <w:p>
            <w:pPr>
              <w:spacing w:after="0"/>
              <w:rPr>
                <w:sz w:val="16"/>
                <w:szCs w:val="16"/>
                <w:color w:val="auto"/>
              </w:rPr>
            </w:pPr>
          </w:p>
        </w:tc>
        <w:tc>
          <w:tcPr>
            <w:tcW w:w="260" w:type="dxa"/>
            <w:vAlign w:val="bottom"/>
            <w:tcBorders>
              <w:bottom w:val="single" w:sz="8" w:color="CCECFF"/>
            </w:tcBorders>
            <w:shd w:val="clear" w:color="auto" w:fill="CCECFF"/>
          </w:tcPr>
          <w:p>
            <w:pPr>
              <w:spacing w:after="0"/>
              <w:rPr>
                <w:sz w:val="16"/>
                <w:szCs w:val="16"/>
                <w:color w:val="auto"/>
              </w:rPr>
            </w:pPr>
          </w:p>
        </w:tc>
        <w:tc>
          <w:tcPr>
            <w:tcW w:w="960" w:type="dxa"/>
            <w:vAlign w:val="bottom"/>
            <w:tcBorders>
              <w:bottom w:val="single" w:sz="8" w:color="CCECFF"/>
            </w:tcBorders>
            <w:shd w:val="clear" w:color="auto" w:fill="CCECFF"/>
          </w:tcPr>
          <w:p>
            <w:pPr>
              <w:spacing w:after="0"/>
              <w:rPr>
                <w:sz w:val="16"/>
                <w:szCs w:val="16"/>
                <w:color w:val="auto"/>
              </w:rPr>
            </w:pPr>
          </w:p>
        </w:tc>
        <w:tc>
          <w:tcPr>
            <w:tcW w:w="520" w:type="dxa"/>
            <w:vAlign w:val="bottom"/>
            <w:tcBorders>
              <w:bottom w:val="single" w:sz="8" w:color="CCECFF"/>
            </w:tcBorders>
            <w:shd w:val="clear" w:color="auto" w:fill="CCECFF"/>
          </w:tcPr>
          <w:p>
            <w:pPr>
              <w:spacing w:after="0"/>
              <w:rPr>
                <w:sz w:val="16"/>
                <w:szCs w:val="16"/>
                <w:color w:val="auto"/>
              </w:rPr>
            </w:pPr>
          </w:p>
        </w:tc>
        <w:tc>
          <w:tcPr>
            <w:tcW w:w="80" w:type="dxa"/>
            <w:vAlign w:val="bottom"/>
            <w:tcBorders>
              <w:bottom w:val="single" w:sz="8" w:color="CCECFF"/>
            </w:tcBorders>
            <w:shd w:val="clear" w:color="auto" w:fill="CCECFF"/>
          </w:tcPr>
          <w:p>
            <w:pPr>
              <w:spacing w:after="0"/>
              <w:rPr>
                <w:sz w:val="16"/>
                <w:szCs w:val="16"/>
                <w:color w:val="auto"/>
              </w:rPr>
            </w:pPr>
          </w:p>
        </w:tc>
      </w:tr>
      <w:tr>
        <w:trPr>
          <w:trHeight w:val="156"/>
        </w:trPr>
        <w:tc>
          <w:tcPr>
            <w:tcW w:w="7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Shares issued from public offering</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7,276,000</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7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00" w:type="dxa"/>
            <w:vAlign w:val="bottom"/>
            <w:gridSpan w:val="5"/>
          </w:tcPr>
          <w:p>
            <w:pPr>
              <w:ind w:left="26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0" w:type="dxa"/>
            <w:vAlign w:val="bottom"/>
          </w:tcPr>
          <w:p>
            <w:pPr>
              <w:spacing w:after="0"/>
              <w:rPr>
                <w:sz w:val="1"/>
                <w:szCs w:val="1"/>
                <w:color w:val="auto"/>
              </w:rPr>
            </w:pPr>
          </w:p>
        </w:tc>
      </w:tr>
      <w:tr>
        <w:trPr>
          <w:trHeight w:val="170"/>
        </w:trPr>
        <w:tc>
          <w:tcPr>
            <w:tcW w:w="7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340" w:type="dxa"/>
            <w:vAlign w:val="bottom"/>
            <w:shd w:val="clear" w:color="auto" w:fill="CCECFF"/>
          </w:tcPr>
          <w:p>
            <w:pPr>
              <w:spacing w:after="0"/>
              <w:rPr>
                <w:sz w:val="13"/>
                <w:szCs w:val="13"/>
                <w:color w:val="auto"/>
              </w:rPr>
            </w:pPr>
          </w:p>
        </w:tc>
        <w:tc>
          <w:tcPr>
            <w:tcW w:w="11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3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28,329</w:t>
            </w: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22,469</w:t>
            </w:r>
          </w:p>
        </w:tc>
        <w:tc>
          <w:tcPr>
            <w:tcW w:w="0" w:type="dxa"/>
            <w:vAlign w:val="bottom"/>
          </w:tcPr>
          <w:p>
            <w:pPr>
              <w:spacing w:after="0"/>
              <w:rPr>
                <w:sz w:val="1"/>
                <w:szCs w:val="1"/>
                <w:color w:val="auto"/>
              </w:rPr>
            </w:pPr>
          </w:p>
        </w:tc>
      </w:tr>
      <w:tr>
        <w:trPr>
          <w:trHeight w:val="144"/>
        </w:trPr>
        <w:tc>
          <w:tcPr>
            <w:tcW w:w="7320" w:type="dxa"/>
            <w:vAlign w:val="bottom"/>
            <w:shd w:val="clear" w:color="auto" w:fill="CCECFF"/>
          </w:tcPr>
          <w:p>
            <w:pPr>
              <w:ind w:left="340"/>
              <w:spacing w:after="0" w:line="144" w:lineRule="exact"/>
              <w:rPr>
                <w:sz w:val="20"/>
                <w:szCs w:val="20"/>
                <w:color w:val="auto"/>
              </w:rPr>
            </w:pPr>
            <w:r>
              <w:rPr>
                <w:rFonts w:ascii="Times New Roman" w:cs="Times New Roman" w:eastAsia="Times New Roman" w:hAnsi="Times New Roman"/>
                <w:sz w:val="13"/>
                <w:szCs w:val="13"/>
                <w:color w:val="auto"/>
              </w:rPr>
              <w:t>Adjustments to reconcile net increase (decrease) in net assets resulting from operations to net cash</w:t>
            </w:r>
          </w:p>
        </w:tc>
        <w:tc>
          <w:tcPr>
            <w:tcW w:w="34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32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3"/>
                <w:szCs w:val="13"/>
                <w:color w:val="auto"/>
              </w:rPr>
              <w:t>provided by (used in) operating activities:</w:t>
            </w:r>
          </w:p>
        </w:tc>
        <w:tc>
          <w:tcPr>
            <w:tcW w:w="340" w:type="dxa"/>
            <w:vAlign w:val="bottom"/>
            <w:shd w:val="clear" w:color="auto" w:fill="CCECFF"/>
          </w:tcPr>
          <w:p>
            <w:pPr>
              <w:spacing w:after="0"/>
              <w:rPr>
                <w:sz w:val="14"/>
                <w:szCs w:val="14"/>
                <w:color w:val="auto"/>
              </w:rPr>
            </w:pPr>
          </w:p>
        </w:tc>
        <w:tc>
          <w:tcPr>
            <w:tcW w:w="11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3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340" w:type="dxa"/>
            <w:vAlign w:val="bottom"/>
          </w:tcPr>
          <w:p>
            <w:pPr>
              <w:spacing w:after="0"/>
              <w:rPr>
                <w:sz w:val="13"/>
                <w:szCs w:val="13"/>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28,961</w:t>
            </w:r>
          </w:p>
        </w:tc>
        <w:tc>
          <w:tcPr>
            <w:tcW w:w="320" w:type="dxa"/>
            <w:vAlign w:val="bottom"/>
          </w:tcPr>
          <w:p>
            <w:pPr>
              <w:spacing w:after="0"/>
              <w:rPr>
                <w:sz w:val="13"/>
                <w:szCs w:val="13"/>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(6,171)</w:t>
            </w:r>
          </w:p>
        </w:tc>
        <w:tc>
          <w:tcPr>
            <w:tcW w:w="0" w:type="dxa"/>
            <w:vAlign w:val="bottom"/>
          </w:tcPr>
          <w:p>
            <w:pPr>
              <w:spacing w:after="0"/>
              <w:rPr>
                <w:sz w:val="1"/>
                <w:szCs w:val="1"/>
                <w:color w:val="auto"/>
              </w:rPr>
            </w:pPr>
          </w:p>
        </w:tc>
      </w:tr>
      <w:tr>
        <w:trPr>
          <w:trHeight w:val="156"/>
        </w:trPr>
        <w:tc>
          <w:tcPr>
            <w:tcW w:w="73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color w:val="auto"/>
              </w:rPr>
              <w:t>Net change in unrealized appreciation (depreciation) on debt</w:t>
            </w:r>
          </w:p>
        </w:tc>
        <w:tc>
          <w:tcPr>
            <w:tcW w:w="340" w:type="dxa"/>
            <w:vAlign w:val="bottom"/>
            <w:shd w:val="clear" w:color="auto" w:fill="CCECFF"/>
          </w:tcPr>
          <w:p>
            <w:pPr>
              <w:spacing w:after="0"/>
              <w:rPr>
                <w:sz w:val="13"/>
                <w:szCs w:val="13"/>
                <w:color w:val="auto"/>
              </w:rPr>
            </w:pPr>
          </w:p>
        </w:tc>
        <w:tc>
          <w:tcPr>
            <w:tcW w:w="13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(90)</w:t>
            </w:r>
          </w:p>
        </w:tc>
        <w:tc>
          <w:tcPr>
            <w:tcW w:w="320" w:type="dxa"/>
            <w:vAlign w:val="bottom"/>
            <w:shd w:val="clear" w:color="auto" w:fill="CCECFF"/>
          </w:tcPr>
          <w:p>
            <w:pPr>
              <w:spacing w:after="0"/>
              <w:rPr>
                <w:sz w:val="13"/>
                <w:szCs w:val="13"/>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340" w:type="dxa"/>
            <w:vAlign w:val="bottom"/>
          </w:tcPr>
          <w:p>
            <w:pPr>
              <w:spacing w:after="0"/>
              <w:rPr>
                <w:sz w:val="13"/>
                <w:szCs w:val="13"/>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(26,674)</w:t>
            </w:r>
          </w:p>
        </w:tc>
        <w:tc>
          <w:tcPr>
            <w:tcW w:w="3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color w:val="auto"/>
              </w:rPr>
              <w:t>Net accretion of discount and amortization of premium</w:t>
            </w:r>
          </w:p>
        </w:tc>
        <w:tc>
          <w:tcPr>
            <w:tcW w:w="340" w:type="dxa"/>
            <w:vAlign w:val="bottom"/>
            <w:shd w:val="clear" w:color="auto" w:fill="CCECFF"/>
          </w:tcPr>
          <w:p>
            <w:pPr>
              <w:spacing w:after="0"/>
              <w:rPr>
                <w:sz w:val="13"/>
                <w:szCs w:val="13"/>
                <w:color w:val="auto"/>
              </w:rPr>
            </w:pPr>
          </w:p>
        </w:tc>
        <w:tc>
          <w:tcPr>
            <w:tcW w:w="13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(5,687)</w:t>
            </w:r>
          </w:p>
        </w:tc>
        <w:tc>
          <w:tcPr>
            <w:tcW w:w="320" w:type="dxa"/>
            <w:vAlign w:val="bottom"/>
            <w:shd w:val="clear" w:color="auto" w:fill="CCECFF"/>
          </w:tcPr>
          <w:p>
            <w:pPr>
              <w:spacing w:after="0"/>
              <w:rPr>
                <w:sz w:val="13"/>
                <w:szCs w:val="13"/>
                <w:color w:val="auto"/>
              </w:rPr>
            </w:pPr>
          </w:p>
        </w:tc>
        <w:tc>
          <w:tcPr>
            <w:tcW w:w="12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(1,026)</w:t>
            </w:r>
          </w:p>
        </w:tc>
        <w:tc>
          <w:tcPr>
            <w:tcW w:w="0" w:type="dxa"/>
            <w:vAlign w:val="bottom"/>
          </w:tcPr>
          <w:p>
            <w:pPr>
              <w:spacing w:after="0"/>
              <w:rPr>
                <w:sz w:val="1"/>
                <w:szCs w:val="1"/>
                <w:color w:val="auto"/>
              </w:rPr>
            </w:pPr>
          </w:p>
        </w:tc>
      </w:tr>
      <w:tr>
        <w:trPr>
          <w:trHeight w:val="156"/>
        </w:trPr>
        <w:tc>
          <w:tcPr>
            <w:tcW w:w="73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Purchases of investments</w:t>
            </w:r>
          </w:p>
        </w:tc>
        <w:tc>
          <w:tcPr>
            <w:tcW w:w="340" w:type="dxa"/>
            <w:vAlign w:val="bottom"/>
          </w:tcPr>
          <w:p>
            <w:pPr>
              <w:spacing w:after="0"/>
              <w:rPr>
                <w:sz w:val="13"/>
                <w:szCs w:val="13"/>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(606,916)</w:t>
            </w:r>
          </w:p>
        </w:tc>
        <w:tc>
          <w:tcPr>
            <w:tcW w:w="320" w:type="dxa"/>
            <w:vAlign w:val="bottom"/>
          </w:tcPr>
          <w:p>
            <w:pPr>
              <w:spacing w:after="0"/>
              <w:rPr>
                <w:sz w:val="13"/>
                <w:szCs w:val="13"/>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(302,598)</w:t>
            </w:r>
          </w:p>
        </w:tc>
        <w:tc>
          <w:tcPr>
            <w:tcW w:w="0" w:type="dxa"/>
            <w:vAlign w:val="bottom"/>
          </w:tcPr>
          <w:p>
            <w:pPr>
              <w:spacing w:after="0"/>
              <w:rPr>
                <w:sz w:val="1"/>
                <w:szCs w:val="1"/>
                <w:color w:val="auto"/>
              </w:rPr>
            </w:pPr>
          </w:p>
        </w:tc>
      </w:tr>
      <w:tr>
        <w:trPr>
          <w:trHeight w:val="156"/>
        </w:trPr>
        <w:tc>
          <w:tcPr>
            <w:tcW w:w="73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color w:val="auto"/>
              </w:rPr>
              <w:t>Payment-in-kind interest</w:t>
            </w:r>
          </w:p>
        </w:tc>
        <w:tc>
          <w:tcPr>
            <w:tcW w:w="340" w:type="dxa"/>
            <w:vAlign w:val="bottom"/>
            <w:shd w:val="clear" w:color="auto" w:fill="CCECFF"/>
          </w:tcPr>
          <w:p>
            <w:pPr>
              <w:spacing w:after="0"/>
              <w:rPr>
                <w:sz w:val="13"/>
                <w:szCs w:val="13"/>
                <w:color w:val="auto"/>
              </w:rPr>
            </w:pPr>
          </w:p>
        </w:tc>
        <w:tc>
          <w:tcPr>
            <w:tcW w:w="13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(1,378)</w:t>
            </w:r>
          </w:p>
        </w:tc>
        <w:tc>
          <w:tcPr>
            <w:tcW w:w="320" w:type="dxa"/>
            <w:vAlign w:val="bottom"/>
            <w:shd w:val="clear" w:color="auto" w:fill="CCECFF"/>
          </w:tcPr>
          <w:p>
            <w:pPr>
              <w:spacing w:after="0"/>
              <w:rPr>
                <w:sz w:val="13"/>
                <w:szCs w:val="13"/>
                <w:color w:val="auto"/>
              </w:rPr>
            </w:pPr>
          </w:p>
        </w:tc>
        <w:tc>
          <w:tcPr>
            <w:tcW w:w="12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(867 )</w:t>
            </w:r>
          </w:p>
        </w:tc>
        <w:tc>
          <w:tcPr>
            <w:tcW w:w="0" w:type="dxa"/>
            <w:vAlign w:val="bottom"/>
          </w:tcPr>
          <w:p>
            <w:pPr>
              <w:spacing w:after="0"/>
              <w:rPr>
                <w:sz w:val="1"/>
                <w:szCs w:val="1"/>
                <w:color w:val="auto"/>
              </w:rPr>
            </w:pPr>
          </w:p>
        </w:tc>
      </w:tr>
      <w:tr>
        <w:trPr>
          <w:trHeight w:val="156"/>
        </w:trPr>
        <w:tc>
          <w:tcPr>
            <w:tcW w:w="73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Proceeds from dispositions of investments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401,300</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103,803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340" w:type="dxa"/>
            <w:vAlign w:val="bottom"/>
            <w:shd w:val="clear" w:color="auto" w:fill="CCECFF"/>
          </w:tcPr>
          <w:p>
            <w:pPr>
              <w:spacing w:after="0"/>
              <w:rPr>
                <w:sz w:val="13"/>
                <w:szCs w:val="13"/>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28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(Increase) decrease in:</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Interest receivable</w:t>
            </w:r>
          </w:p>
        </w:tc>
        <w:tc>
          <w:tcPr>
            <w:tcW w:w="340" w:type="dxa"/>
            <w:vAlign w:val="bottom"/>
            <w:shd w:val="clear" w:color="auto" w:fill="CCECFF"/>
          </w:tcPr>
          <w:p>
            <w:pPr>
              <w:spacing w:after="0"/>
              <w:rPr>
                <w:sz w:val="13"/>
                <w:szCs w:val="13"/>
                <w:color w:val="auto"/>
              </w:rPr>
            </w:pPr>
          </w:p>
        </w:tc>
        <w:tc>
          <w:tcPr>
            <w:tcW w:w="13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(857 )</w:t>
            </w:r>
          </w:p>
        </w:tc>
        <w:tc>
          <w:tcPr>
            <w:tcW w:w="320" w:type="dxa"/>
            <w:vAlign w:val="bottom"/>
            <w:shd w:val="clear" w:color="auto" w:fill="CCECFF"/>
          </w:tcPr>
          <w:p>
            <w:pPr>
              <w:spacing w:after="0"/>
              <w:rPr>
                <w:sz w:val="13"/>
                <w:szCs w:val="13"/>
                <w:color w:val="auto"/>
              </w:rPr>
            </w:pPr>
          </w:p>
        </w:tc>
        <w:tc>
          <w:tcPr>
            <w:tcW w:w="12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(1,213)</w:t>
            </w:r>
          </w:p>
        </w:tc>
        <w:tc>
          <w:tcPr>
            <w:tcW w:w="0" w:type="dxa"/>
            <w:vAlign w:val="bottom"/>
          </w:tcPr>
          <w:p>
            <w:pPr>
              <w:spacing w:after="0"/>
              <w:rPr>
                <w:sz w:val="1"/>
                <w:szCs w:val="1"/>
                <w:color w:val="auto"/>
              </w:rPr>
            </w:pPr>
          </w:p>
        </w:tc>
      </w:tr>
      <w:tr>
        <w:trPr>
          <w:trHeight w:val="156"/>
        </w:trPr>
        <w:tc>
          <w:tcPr>
            <w:tcW w:w="73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Distribution receivable</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Receivable for investments sold</w:t>
            </w:r>
          </w:p>
        </w:tc>
        <w:tc>
          <w:tcPr>
            <w:tcW w:w="340" w:type="dxa"/>
            <w:vAlign w:val="bottom"/>
            <w:shd w:val="clear" w:color="auto" w:fill="CCECFF"/>
          </w:tcPr>
          <w:p>
            <w:pPr>
              <w:spacing w:after="0"/>
              <w:rPr>
                <w:sz w:val="13"/>
                <w:szCs w:val="13"/>
                <w:color w:val="auto"/>
              </w:rPr>
            </w:pPr>
          </w:p>
        </w:tc>
        <w:tc>
          <w:tcPr>
            <w:tcW w:w="13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(29,090)</w:t>
            </w:r>
          </w:p>
        </w:tc>
        <w:tc>
          <w:tcPr>
            <w:tcW w:w="320" w:type="dxa"/>
            <w:vAlign w:val="bottom"/>
            <w:shd w:val="clear" w:color="auto" w:fill="CCECFF"/>
          </w:tcPr>
          <w:p>
            <w:pPr>
              <w:spacing w:after="0"/>
              <w:rPr>
                <w:sz w:val="13"/>
                <w:szCs w:val="13"/>
                <w:color w:val="auto"/>
              </w:rPr>
            </w:pPr>
          </w:p>
        </w:tc>
        <w:tc>
          <w:tcPr>
            <w:tcW w:w="12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73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340" w:type="dxa"/>
            <w:vAlign w:val="bottom"/>
          </w:tcPr>
          <w:p>
            <w:pPr>
              <w:spacing w:after="0"/>
              <w:rPr>
                <w:sz w:val="13"/>
                <w:szCs w:val="13"/>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(4,828)</w:t>
            </w:r>
          </w:p>
        </w:tc>
        <w:tc>
          <w:tcPr>
            <w:tcW w:w="3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Due from affiliate</w:t>
            </w:r>
          </w:p>
        </w:tc>
        <w:tc>
          <w:tcPr>
            <w:tcW w:w="340" w:type="dxa"/>
            <w:vAlign w:val="bottom"/>
            <w:shd w:val="clear" w:color="auto" w:fill="CCECFF"/>
          </w:tcPr>
          <w:p>
            <w:pPr>
              <w:spacing w:after="0"/>
              <w:rPr>
                <w:sz w:val="13"/>
                <w:szCs w:val="13"/>
                <w:color w:val="auto"/>
              </w:rPr>
            </w:pPr>
          </w:p>
        </w:tc>
        <w:tc>
          <w:tcPr>
            <w:tcW w:w="13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(21)</w:t>
            </w:r>
          </w:p>
        </w:tc>
        <w:tc>
          <w:tcPr>
            <w:tcW w:w="320" w:type="dxa"/>
            <w:vAlign w:val="bottom"/>
            <w:shd w:val="clear" w:color="auto" w:fill="CCECFF"/>
          </w:tcPr>
          <w:p>
            <w:pPr>
              <w:spacing w:after="0"/>
              <w:rPr>
                <w:sz w:val="13"/>
                <w:szCs w:val="13"/>
                <w:color w:val="auto"/>
              </w:rPr>
            </w:pPr>
          </w:p>
        </w:tc>
        <w:tc>
          <w:tcPr>
            <w:tcW w:w="12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(142 )</w:t>
            </w:r>
          </w:p>
        </w:tc>
        <w:tc>
          <w:tcPr>
            <w:tcW w:w="0" w:type="dxa"/>
            <w:vAlign w:val="bottom"/>
          </w:tcPr>
          <w:p>
            <w:pPr>
              <w:spacing w:after="0"/>
              <w:rPr>
                <w:sz w:val="1"/>
                <w:szCs w:val="1"/>
                <w:color w:val="auto"/>
              </w:rPr>
            </w:pPr>
          </w:p>
        </w:tc>
      </w:tr>
      <w:tr>
        <w:trPr>
          <w:trHeight w:val="156"/>
        </w:trPr>
        <w:tc>
          <w:tcPr>
            <w:tcW w:w="73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Increase (decrease) in:</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340" w:type="dxa"/>
            <w:vAlign w:val="bottom"/>
            <w:shd w:val="clear" w:color="auto" w:fill="CCECFF"/>
          </w:tcPr>
          <w:p>
            <w:pPr>
              <w:spacing w:after="0"/>
              <w:rPr>
                <w:sz w:val="13"/>
                <w:szCs w:val="13"/>
                <w:color w:val="auto"/>
              </w:rPr>
            </w:pPr>
          </w:p>
        </w:tc>
        <w:tc>
          <w:tcPr>
            <w:tcW w:w="13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(19,892)</w:t>
            </w:r>
          </w:p>
        </w:tc>
        <w:tc>
          <w:tcPr>
            <w:tcW w:w="320" w:type="dxa"/>
            <w:vAlign w:val="bottom"/>
            <w:shd w:val="clear" w:color="auto" w:fill="CCECFF"/>
          </w:tcPr>
          <w:p>
            <w:pPr>
              <w:spacing w:after="0"/>
              <w:rPr>
                <w:sz w:val="13"/>
                <w:szCs w:val="13"/>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673</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Interest payable on debt</w:t>
            </w:r>
          </w:p>
        </w:tc>
        <w:tc>
          <w:tcPr>
            <w:tcW w:w="340" w:type="dxa"/>
            <w:vAlign w:val="bottom"/>
          </w:tcPr>
          <w:p>
            <w:pPr>
              <w:spacing w:after="0"/>
              <w:rPr>
                <w:sz w:val="13"/>
                <w:szCs w:val="13"/>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(1,327)</w:t>
            </w:r>
          </w:p>
        </w:tc>
        <w:tc>
          <w:tcPr>
            <w:tcW w:w="320" w:type="dxa"/>
            <w:vAlign w:val="bottom"/>
          </w:tcPr>
          <w:p>
            <w:pPr>
              <w:spacing w:after="0"/>
              <w:rPr>
                <w:sz w:val="13"/>
                <w:szCs w:val="13"/>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(2,095)</w:t>
            </w:r>
          </w:p>
        </w:tc>
        <w:tc>
          <w:tcPr>
            <w:tcW w:w="0" w:type="dxa"/>
            <w:vAlign w:val="bottom"/>
          </w:tcPr>
          <w:p>
            <w:pPr>
              <w:spacing w:after="0"/>
              <w:rPr>
                <w:sz w:val="1"/>
                <w:szCs w:val="1"/>
                <w:color w:val="auto"/>
              </w:rPr>
            </w:pPr>
          </w:p>
        </w:tc>
      </w:tr>
      <w:tr>
        <w:trPr>
          <w:trHeight w:val="156"/>
        </w:trPr>
        <w:tc>
          <w:tcPr>
            <w:tcW w:w="73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Base management fee payable</w:t>
            </w:r>
          </w:p>
        </w:tc>
        <w:tc>
          <w:tcPr>
            <w:tcW w:w="340" w:type="dxa"/>
            <w:vAlign w:val="bottom"/>
            <w:shd w:val="clear" w:color="auto" w:fill="CCECFF"/>
          </w:tcPr>
          <w:p>
            <w:pPr>
              <w:spacing w:after="0"/>
              <w:rPr>
                <w:sz w:val="13"/>
                <w:szCs w:val="13"/>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676</w:t>
            </w:r>
          </w:p>
        </w:tc>
        <w:tc>
          <w:tcPr>
            <w:tcW w:w="28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3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Incentive fee payable</w:t>
            </w: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4,303</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7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73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Deferred tax liability</w:t>
            </w:r>
          </w:p>
        </w:tc>
        <w:tc>
          <w:tcPr>
            <w:tcW w:w="340" w:type="dxa"/>
            <w:vAlign w:val="bottom"/>
            <w:shd w:val="clear" w:color="auto" w:fill="CCECFF"/>
          </w:tcPr>
          <w:p>
            <w:pPr>
              <w:spacing w:after="0"/>
              <w:rPr>
                <w:sz w:val="13"/>
                <w:szCs w:val="13"/>
                <w:color w:val="auto"/>
              </w:rPr>
            </w:pPr>
          </w:p>
        </w:tc>
        <w:tc>
          <w:tcPr>
            <w:tcW w:w="13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(632 )</w:t>
            </w:r>
          </w:p>
        </w:tc>
        <w:tc>
          <w:tcPr>
            <w:tcW w:w="320" w:type="dxa"/>
            <w:vAlign w:val="bottom"/>
            <w:shd w:val="clear" w:color="auto" w:fill="CCECFF"/>
          </w:tcPr>
          <w:p>
            <w:pPr>
              <w:spacing w:after="0"/>
              <w:rPr>
                <w:sz w:val="13"/>
                <w:szCs w:val="13"/>
                <w:color w:val="auto"/>
              </w:rPr>
            </w:pPr>
          </w:p>
        </w:tc>
        <w:tc>
          <w:tcPr>
            <w:tcW w:w="12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73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Due to affiliates</w:t>
            </w:r>
          </w:p>
        </w:tc>
        <w:tc>
          <w:tcPr>
            <w:tcW w:w="340" w:type="dxa"/>
            <w:vAlign w:val="bottom"/>
          </w:tcPr>
          <w:p>
            <w:pPr>
              <w:spacing w:after="0"/>
              <w:rPr>
                <w:sz w:val="13"/>
                <w:szCs w:val="13"/>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156"/>
        </w:trPr>
        <w:tc>
          <w:tcPr>
            <w:tcW w:w="73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Account payable and accrued expenses</w:t>
            </w:r>
          </w:p>
        </w:tc>
        <w:tc>
          <w:tcPr>
            <w:tcW w:w="340" w:type="dxa"/>
            <w:vAlign w:val="bottom"/>
            <w:shd w:val="clear" w:color="auto" w:fill="CCECFF"/>
          </w:tcPr>
          <w:p>
            <w:pPr>
              <w:spacing w:after="0"/>
              <w:rPr>
                <w:sz w:val="13"/>
                <w:szCs w:val="13"/>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28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459</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340" w:type="dxa"/>
            <w:vAlign w:val="bottom"/>
          </w:tcPr>
          <w:p>
            <w:pPr>
              <w:spacing w:after="0"/>
              <w:rPr>
                <w:sz w:val="13"/>
                <w:szCs w:val="13"/>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(232,670)</w:t>
            </w:r>
          </w:p>
        </w:tc>
        <w:tc>
          <w:tcPr>
            <w:tcW w:w="320" w:type="dxa"/>
            <w:vAlign w:val="bottom"/>
          </w:tcPr>
          <w:p>
            <w:pPr>
              <w:spacing w:after="0"/>
              <w:rPr>
                <w:sz w:val="13"/>
                <w:szCs w:val="13"/>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(181,921)</w:t>
            </w:r>
          </w:p>
        </w:tc>
        <w:tc>
          <w:tcPr>
            <w:tcW w:w="0" w:type="dxa"/>
            <w:vAlign w:val="bottom"/>
          </w:tcPr>
          <w:p>
            <w:pPr>
              <w:spacing w:after="0"/>
              <w:rPr>
                <w:sz w:val="1"/>
                <w:szCs w:val="1"/>
                <w:color w:val="auto"/>
              </w:rPr>
            </w:pPr>
          </w:p>
        </w:tc>
      </w:tr>
      <w:tr>
        <w:trPr>
          <w:trHeight w:val="156"/>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40" w:type="dxa"/>
            <w:vAlign w:val="bottom"/>
            <w:shd w:val="clear" w:color="auto" w:fill="CCECFF"/>
          </w:tcPr>
          <w:p>
            <w:pPr>
              <w:spacing w:after="0"/>
              <w:rPr>
                <w:sz w:val="13"/>
                <w:szCs w:val="13"/>
                <w:color w:val="auto"/>
              </w:rPr>
            </w:pPr>
          </w:p>
        </w:tc>
        <w:tc>
          <w:tcPr>
            <w:tcW w:w="11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Proceeds from public offering</w:t>
            </w:r>
          </w:p>
        </w:tc>
        <w:tc>
          <w:tcPr>
            <w:tcW w:w="340" w:type="dxa"/>
            <w:vAlign w:val="bottom"/>
          </w:tcPr>
          <w:p>
            <w:pPr>
              <w:spacing w:after="0"/>
              <w:rPr>
                <w:sz w:val="13"/>
                <w:szCs w:val="13"/>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82,708</w:t>
            </w:r>
          </w:p>
        </w:tc>
        <w:tc>
          <w:tcPr>
            <w:tcW w:w="320" w:type="dxa"/>
            <w:vAlign w:val="bottom"/>
          </w:tcPr>
          <w:p>
            <w:pPr>
              <w:spacing w:after="0"/>
              <w:rPr>
                <w:sz w:val="13"/>
                <w:szCs w:val="13"/>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73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color w:val="auto"/>
              </w:rPr>
              <w:t>Offering costs</w:t>
            </w:r>
          </w:p>
        </w:tc>
        <w:tc>
          <w:tcPr>
            <w:tcW w:w="340" w:type="dxa"/>
            <w:vAlign w:val="bottom"/>
            <w:shd w:val="clear" w:color="auto" w:fill="CCECFF"/>
          </w:tcPr>
          <w:p>
            <w:pPr>
              <w:spacing w:after="0"/>
              <w:rPr>
                <w:sz w:val="13"/>
                <w:szCs w:val="13"/>
                <w:color w:val="auto"/>
              </w:rPr>
            </w:pPr>
          </w:p>
        </w:tc>
        <w:tc>
          <w:tcPr>
            <w:tcW w:w="13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(496 )</w:t>
            </w:r>
          </w:p>
        </w:tc>
        <w:tc>
          <w:tcPr>
            <w:tcW w:w="320" w:type="dxa"/>
            <w:vAlign w:val="bottom"/>
            <w:shd w:val="clear" w:color="auto" w:fill="CCECFF"/>
          </w:tcPr>
          <w:p>
            <w:pPr>
              <w:spacing w:after="0"/>
              <w:rPr>
                <w:sz w:val="13"/>
                <w:szCs w:val="13"/>
                <w:color w:val="auto"/>
              </w:rPr>
            </w:pPr>
          </w:p>
        </w:tc>
        <w:tc>
          <w:tcPr>
            <w:tcW w:w="12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73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Distributions paid to stockholders</w:t>
            </w:r>
          </w:p>
        </w:tc>
        <w:tc>
          <w:tcPr>
            <w:tcW w:w="340" w:type="dxa"/>
            <w:vAlign w:val="bottom"/>
          </w:tcPr>
          <w:p>
            <w:pPr>
              <w:spacing w:after="0"/>
              <w:rPr>
                <w:sz w:val="13"/>
                <w:szCs w:val="13"/>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(24,317)</w:t>
            </w:r>
          </w:p>
        </w:tc>
        <w:tc>
          <w:tcPr>
            <w:tcW w:w="320" w:type="dxa"/>
            <w:vAlign w:val="bottom"/>
          </w:tcPr>
          <w:p>
            <w:pPr>
              <w:spacing w:after="0"/>
              <w:rPr>
                <w:sz w:val="13"/>
                <w:szCs w:val="13"/>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(18,061)</w:t>
            </w:r>
          </w:p>
        </w:tc>
        <w:tc>
          <w:tcPr>
            <w:tcW w:w="0" w:type="dxa"/>
            <w:vAlign w:val="bottom"/>
          </w:tcPr>
          <w:p>
            <w:pPr>
              <w:spacing w:after="0"/>
              <w:rPr>
                <w:sz w:val="1"/>
                <w:szCs w:val="1"/>
                <w:color w:val="auto"/>
              </w:rPr>
            </w:pPr>
          </w:p>
        </w:tc>
      </w:tr>
      <w:tr>
        <w:trPr>
          <w:trHeight w:val="208"/>
        </w:trPr>
        <w:tc>
          <w:tcPr>
            <w:tcW w:w="7320" w:type="dxa"/>
            <w:vAlign w:val="bottom"/>
            <w:tcBorders>
              <w:bottom w:val="single" w:sz="8" w:color="CCECFF"/>
            </w:tcBorders>
            <w:shd w:val="clear" w:color="auto" w:fill="CCECFF"/>
          </w:tcPr>
          <w:p>
            <w:pPr>
              <w:ind w:left="500"/>
              <w:spacing w:after="0"/>
              <w:rPr>
                <w:sz w:val="20"/>
                <w:szCs w:val="20"/>
                <w:color w:val="auto"/>
              </w:rPr>
            </w:pPr>
            <w:r>
              <w:rPr>
                <w:rFonts w:ascii="Times New Roman" w:cs="Times New Roman" w:eastAsia="Times New Roman" w:hAnsi="Times New Roman"/>
                <w:sz w:val="13"/>
                <w:szCs w:val="13"/>
                <w:color w:val="auto"/>
              </w:rPr>
              <w:t>Repayment of 2023 notes payable</w:t>
            </w:r>
          </w:p>
        </w:tc>
        <w:tc>
          <w:tcPr>
            <w:tcW w:w="340" w:type="dxa"/>
            <w:vAlign w:val="bottom"/>
            <w:tcBorders>
              <w:bottom w:val="single" w:sz="8" w:color="CCECFF"/>
            </w:tcBorders>
            <w:shd w:val="clear" w:color="auto" w:fill="CCECFF"/>
          </w:tcPr>
          <w:p>
            <w:pPr>
              <w:spacing w:after="0"/>
              <w:rPr>
                <w:sz w:val="18"/>
                <w:szCs w:val="18"/>
                <w:color w:val="auto"/>
              </w:rPr>
            </w:pPr>
          </w:p>
        </w:tc>
        <w:tc>
          <w:tcPr>
            <w:tcW w:w="1380" w:type="dxa"/>
            <w:vAlign w:val="bottom"/>
            <w:tcBorders>
              <w:bottom w:val="single" w:sz="8" w:color="CCECFF"/>
            </w:tcBorders>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CFF"/>
            </w:tcBorders>
            <w:shd w:val="clear" w:color="auto" w:fill="CCECFF"/>
          </w:tcPr>
          <w:p>
            <w:pPr>
              <w:spacing w:after="0"/>
              <w:rPr>
                <w:sz w:val="18"/>
                <w:szCs w:val="18"/>
                <w:color w:val="auto"/>
              </w:rPr>
            </w:pPr>
          </w:p>
        </w:tc>
        <w:tc>
          <w:tcPr>
            <w:tcW w:w="1200" w:type="dxa"/>
            <w:vAlign w:val="bottom"/>
            <w:tcBorders>
              <w:bottom w:val="single" w:sz="8" w:color="CCECFF"/>
            </w:tcBorders>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(76,219)</w:t>
            </w:r>
          </w:p>
        </w:tc>
        <w:tc>
          <w:tcPr>
            <w:tcW w:w="0" w:type="dxa"/>
            <w:vAlign w:val="bottom"/>
          </w:tcPr>
          <w:p>
            <w:pPr>
              <w:spacing w:after="0"/>
              <w:rPr>
                <w:sz w:val="1"/>
                <w:szCs w:val="1"/>
                <w:color w:val="auto"/>
              </w:rPr>
            </w:pPr>
          </w:p>
        </w:tc>
      </w:tr>
      <w:tr>
        <w:trPr>
          <w:trHeight w:val="156"/>
        </w:trPr>
        <w:tc>
          <w:tcPr>
            <w:tcW w:w="73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Borrowings under Credit Facility</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165,001</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251,455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340" w:type="dxa"/>
            <w:vAlign w:val="bottom"/>
            <w:shd w:val="clear" w:color="auto" w:fill="CCECFF"/>
          </w:tcPr>
          <w:p>
            <w:pPr>
              <w:spacing w:after="0"/>
              <w:rPr>
                <w:sz w:val="13"/>
                <w:szCs w:val="13"/>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222,896</w:t>
            </w:r>
          </w:p>
        </w:tc>
        <w:tc>
          <w:tcPr>
            <w:tcW w:w="28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157,175</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cash and cash equivalents</w:t>
            </w:r>
          </w:p>
        </w:tc>
        <w:tc>
          <w:tcPr>
            <w:tcW w:w="340" w:type="dxa"/>
            <w:vAlign w:val="bottom"/>
          </w:tcPr>
          <w:p>
            <w:pPr>
              <w:spacing w:after="0"/>
              <w:rPr>
                <w:sz w:val="13"/>
                <w:szCs w:val="13"/>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(9,774)</w:t>
            </w:r>
          </w:p>
        </w:tc>
        <w:tc>
          <w:tcPr>
            <w:tcW w:w="320" w:type="dxa"/>
            <w:vAlign w:val="bottom"/>
          </w:tcPr>
          <w:p>
            <w:pPr>
              <w:spacing w:after="0"/>
              <w:rPr>
                <w:sz w:val="13"/>
                <w:szCs w:val="13"/>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(24,746)</w:t>
            </w:r>
          </w:p>
        </w:tc>
        <w:tc>
          <w:tcPr>
            <w:tcW w:w="0" w:type="dxa"/>
            <w:vAlign w:val="bottom"/>
          </w:tcPr>
          <w:p>
            <w:pPr>
              <w:spacing w:after="0"/>
              <w:rPr>
                <w:sz w:val="1"/>
                <w:szCs w:val="1"/>
                <w:color w:val="auto"/>
              </w:rPr>
            </w:pPr>
          </w:p>
        </w:tc>
      </w:tr>
      <w:tr>
        <w:trPr>
          <w:trHeight w:val="156"/>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w:t>
            </w:r>
          </w:p>
        </w:tc>
        <w:tc>
          <w:tcPr>
            <w:tcW w:w="340" w:type="dxa"/>
            <w:vAlign w:val="bottom"/>
            <w:shd w:val="clear" w:color="auto" w:fill="CCECFF"/>
          </w:tcPr>
          <w:p>
            <w:pPr>
              <w:spacing w:after="0"/>
              <w:rPr>
                <w:sz w:val="13"/>
                <w:szCs w:val="13"/>
                <w:color w:val="auto"/>
              </w:rPr>
            </w:pPr>
          </w:p>
        </w:tc>
        <w:tc>
          <w:tcPr>
            <w:tcW w:w="13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(14)</w:t>
            </w:r>
          </w:p>
        </w:tc>
        <w:tc>
          <w:tcPr>
            <w:tcW w:w="320" w:type="dxa"/>
            <w:vAlign w:val="bottom"/>
            <w:shd w:val="clear" w:color="auto" w:fill="CCECFF"/>
          </w:tcPr>
          <w:p>
            <w:pPr>
              <w:spacing w:after="0"/>
              <w:rPr>
                <w:sz w:val="13"/>
                <w:szCs w:val="13"/>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beginning of period</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112,050</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100,555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end of period</w:t>
            </w:r>
          </w:p>
        </w:tc>
        <w:tc>
          <w:tcPr>
            <w:tcW w:w="34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102,262</w:t>
            </w:r>
          </w:p>
        </w:tc>
        <w:tc>
          <w:tcPr>
            <w:tcW w:w="280" w:type="dxa"/>
            <w:vAlign w:val="bottom"/>
            <w:shd w:val="clear" w:color="auto" w:fill="CCECFF"/>
          </w:tcPr>
          <w:p>
            <w:pPr>
              <w:spacing w:after="0"/>
              <w:rPr>
                <w:sz w:val="17"/>
                <w:szCs w:val="17"/>
                <w:color w:val="auto"/>
              </w:rPr>
            </w:pPr>
          </w:p>
        </w:tc>
        <w:tc>
          <w:tcPr>
            <w:tcW w:w="320" w:type="dxa"/>
            <w:vAlign w:val="bottom"/>
            <w:shd w:val="clear" w:color="auto" w:fill="CCECFF"/>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75,826</w:t>
            </w:r>
          </w:p>
        </w:tc>
        <w:tc>
          <w:tcPr>
            <w:tcW w:w="0" w:type="dxa"/>
            <w:vAlign w:val="bottom"/>
          </w:tcPr>
          <w:p>
            <w:pPr>
              <w:spacing w:after="0"/>
              <w:rPr>
                <w:sz w:val="1"/>
                <w:szCs w:val="1"/>
                <w:color w:val="auto"/>
              </w:rPr>
            </w:pPr>
          </w:p>
        </w:tc>
      </w:tr>
      <w:tr>
        <w:trPr>
          <w:trHeight w:val="132"/>
        </w:trPr>
        <w:tc>
          <w:tcPr>
            <w:tcW w:w="7320" w:type="dxa"/>
            <w:vAlign w:val="bottom"/>
            <w:tcBorders>
              <w:top w:val="single" w:sz="8" w:color="CCECFF"/>
            </w:tcBorders>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Supplemental disclosures:</w:t>
            </w:r>
          </w:p>
        </w:tc>
        <w:tc>
          <w:tcPr>
            <w:tcW w:w="3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80" w:type="dxa"/>
            <w:vAlign w:val="bottom"/>
            <w:tcBorders>
              <w:top w:val="single" w:sz="8" w:color="CCECFF"/>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80" w:type="dxa"/>
            <w:vAlign w:val="bottom"/>
            <w:tcBorders>
              <w:top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3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 paid</w:t>
            </w:r>
          </w:p>
        </w:tc>
        <w:tc>
          <w:tcPr>
            <w:tcW w:w="34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23,326</w:t>
            </w:r>
          </w:p>
        </w:tc>
        <w:tc>
          <w:tcPr>
            <w:tcW w:w="320" w:type="dxa"/>
            <w:vAlign w:val="bottom"/>
            <w:shd w:val="clear" w:color="auto" w:fill="CCECFF"/>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10,685</w:t>
            </w:r>
          </w:p>
        </w:tc>
        <w:tc>
          <w:tcPr>
            <w:tcW w:w="0" w:type="dxa"/>
            <w:vAlign w:val="bottom"/>
          </w:tcPr>
          <w:p>
            <w:pPr>
              <w:spacing w:after="0"/>
              <w:rPr>
                <w:sz w:val="1"/>
                <w:szCs w:val="1"/>
                <w:color w:val="auto"/>
              </w:rPr>
            </w:pPr>
          </w:p>
        </w:tc>
      </w:tr>
      <w:tr>
        <w:trPr>
          <w:trHeight w:val="20"/>
        </w:trPr>
        <w:tc>
          <w:tcPr>
            <w:tcW w:w="7320" w:type="dxa"/>
            <w:vAlign w:val="bottom"/>
            <w:tcBorders>
              <w:top w:val="single" w:sz="8" w:color="CCECFF"/>
            </w:tcBorders>
            <w:shd w:val="clear" w:color="auto" w:fill="CCEC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320" w:type="dxa"/>
            <w:vAlign w:val="bottom"/>
          </w:tcPr>
          <w:p>
            <w:pPr>
              <w:ind w:left="180"/>
              <w:spacing w:after="0" w:line="133" w:lineRule="exact"/>
              <w:rPr>
                <w:sz w:val="20"/>
                <w:szCs w:val="20"/>
                <w:color w:val="auto"/>
              </w:rPr>
            </w:pPr>
            <w:r>
              <w:rPr>
                <w:rFonts w:ascii="Times New Roman" w:cs="Times New Roman" w:eastAsia="Times New Roman" w:hAnsi="Times New Roman"/>
                <w:sz w:val="13"/>
                <w:szCs w:val="13"/>
                <w:color w:val="auto"/>
              </w:rPr>
              <w:t>Taxes paid</w:t>
            </w:r>
          </w:p>
        </w:tc>
        <w:tc>
          <w:tcPr>
            <w:tcW w:w="340" w:type="dxa"/>
            <w:vAlign w:val="bottom"/>
          </w:tcPr>
          <w:p>
            <w:pPr>
              <w:jc w:val="right"/>
              <w:ind w:right="19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tcPr>
          <w:p>
            <w:pPr>
              <w:jc w:val="right"/>
              <w:ind w:right="2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7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160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320" w:type="dxa"/>
            <w:vAlign w:val="bottom"/>
            <w:tcBorders>
              <w:bottom w:val="single" w:sz="8" w:color="CCECFF"/>
            </w:tcBorders>
            <w:shd w:val="clear" w:color="auto" w:fill="CCECFF"/>
          </w:tcPr>
          <w:p>
            <w:pPr>
              <w:ind w:left="180"/>
              <w:spacing w:after="0" w:line="133" w:lineRule="exact"/>
              <w:rPr>
                <w:sz w:val="20"/>
                <w:szCs w:val="20"/>
                <w:color w:val="auto"/>
              </w:rPr>
            </w:pPr>
            <w:r>
              <w:rPr>
                <w:rFonts w:ascii="Times New Roman" w:cs="Times New Roman" w:eastAsia="Times New Roman" w:hAnsi="Times New Roman"/>
                <w:sz w:val="13"/>
                <w:szCs w:val="13"/>
                <w:color w:val="auto"/>
              </w:rPr>
              <w:t>Non-cash exchanges and conversions</w:t>
            </w:r>
          </w:p>
        </w:tc>
        <w:tc>
          <w:tcPr>
            <w:tcW w:w="340" w:type="dxa"/>
            <w:vAlign w:val="bottom"/>
            <w:tcBorders>
              <w:bottom w:val="single" w:sz="8" w:color="auto"/>
            </w:tcBorders>
            <w:shd w:val="clear" w:color="auto" w:fill="CCECFF"/>
          </w:tcPr>
          <w:p>
            <w:pPr>
              <w:jc w:val="right"/>
              <w:ind w:right="19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CFF"/>
            </w:tcBorders>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jc w:val="right"/>
              <w:ind w:right="17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5,067</w:t>
            </w:r>
          </w:p>
        </w:tc>
        <w:tc>
          <w:tcPr>
            <w:tcW w:w="8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5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8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94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8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Maturity</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80" w:type="dxa"/>
            <w:vAlign w:val="bottom"/>
          </w:tcPr>
          <w:p>
            <w:pPr>
              <w:jc w:val="center"/>
              <w:ind w:right="9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40" w:type="dxa"/>
            <w:vAlign w:val="bottom"/>
          </w:tcPr>
          <w:p>
            <w:pPr>
              <w:spacing w:after="0"/>
              <w:rPr>
                <w:sz w:val="10"/>
                <w:szCs w:val="10"/>
                <w:color w:val="auto"/>
              </w:rPr>
            </w:pPr>
          </w:p>
        </w:tc>
        <w:tc>
          <w:tcPr>
            <w:tcW w:w="62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0"/>
                <w:szCs w:val="10"/>
                <w:color w:val="auto"/>
              </w:rPr>
            </w:pPr>
          </w:p>
        </w:tc>
        <w:tc>
          <w:tcPr>
            <w:tcW w:w="720" w:type="dxa"/>
            <w:vAlign w:val="bottom"/>
          </w:tcPr>
          <w:p>
            <w:pPr>
              <w:jc w:val="right"/>
              <w:ind w:right="11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(2)</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Investments in Non-Controlled, Non-Affiliated Portfolio Companies - 198.1% </w:t>
            </w:r>
            <w:r>
              <w:rPr>
                <w:rFonts w:ascii="Times New Roman" w:cs="Times New Roman" w:eastAsia="Times New Roman" w:hAnsi="Times New Roman"/>
                <w:sz w:val="12"/>
                <w:szCs w:val="12"/>
                <w:color w:val="auto"/>
                <w:vertAlign w:val="superscript"/>
              </w:rPr>
              <w:t>(3), (4)</w:t>
            </w:r>
          </w:p>
        </w:tc>
        <w:tc>
          <w:tcPr>
            <w:tcW w:w="840" w:type="dxa"/>
            <w:vAlign w:val="bottom"/>
            <w:shd w:val="clear" w:color="auto" w:fill="CCECFF"/>
          </w:tcPr>
          <w:p>
            <w:pPr>
              <w:spacing w:after="0"/>
              <w:rPr>
                <w:sz w:val="10"/>
                <w:szCs w:val="10"/>
                <w:color w:val="auto"/>
              </w:rPr>
            </w:pPr>
          </w:p>
        </w:tc>
        <w:tc>
          <w:tcPr>
            <w:tcW w:w="180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- 179.3%</w:t>
            </w:r>
          </w:p>
        </w:tc>
        <w:tc>
          <w:tcPr>
            <w:tcW w:w="8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12/22/2028</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9.11 %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SOFR+475</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1,575</w:t>
            </w:r>
          </w:p>
        </w:tc>
        <w:tc>
          <w:tcPr>
            <w:tcW w:w="2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1,557</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1,575</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A1 Garage Merger Sub, LLC - Unfunded Term Loan </w:t>
            </w:r>
            <w:r>
              <w:rPr>
                <w:rFonts w:ascii="Times New Roman" w:cs="Times New Roman" w:eastAsia="Times New Roman" w:hAnsi="Times New Roman"/>
                <w:sz w:val="12"/>
                <w:szCs w:val="12"/>
                <w:color w:val="auto"/>
                <w:vertAlign w:val="superscript"/>
              </w:rPr>
              <w:t>(8)</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12/22/2028</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453</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A1 Garage Merger Sub, LLC (Revolver) </w:t>
            </w:r>
            <w:r>
              <w:rPr>
                <w:rFonts w:ascii="Times New Roman" w:cs="Times New Roman" w:eastAsia="Times New Roman" w:hAnsi="Times New Roman"/>
                <w:sz w:val="12"/>
                <w:szCs w:val="12"/>
                <w:color w:val="auto"/>
                <w:vertAlign w:val="superscript"/>
              </w:rPr>
              <w:t>(6), (8)</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12/22/2028</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Avenu Buyer,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10/02/2029</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9.84 %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14,086</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13,877</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13,698</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ACP Avenu Buyer, LLC - Unfunded Term Loan </w:t>
            </w:r>
            <w:r>
              <w:rPr>
                <w:rFonts w:ascii="Times New Roman" w:cs="Times New Roman" w:eastAsia="Times New Roman" w:hAnsi="Times New Roman"/>
                <w:sz w:val="12"/>
                <w:szCs w:val="12"/>
                <w:color w:val="auto"/>
                <w:vertAlign w:val="superscript"/>
              </w:rPr>
              <w:t>(8)</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04/02/2025</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5,621</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(77 )</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Avenu Buyer, LLC - Funded Revolver</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10/02/2029</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9.84 %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847</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824</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ACP Avenu Buyer, LLC (Revolver) </w:t>
            </w:r>
            <w:r>
              <w:rPr>
                <w:rFonts w:ascii="Times New Roman" w:cs="Times New Roman" w:eastAsia="Times New Roman" w:hAnsi="Times New Roman"/>
                <w:sz w:val="12"/>
                <w:szCs w:val="12"/>
                <w:color w:val="auto"/>
                <w:vertAlign w:val="superscript"/>
              </w:rPr>
              <w:t>(6), (8)</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10/02/2029</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2,960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(81 )</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ACP Falcon Buyer, LLC (Revolver) </w:t>
            </w:r>
            <w:r>
              <w:rPr>
                <w:rFonts w:ascii="Times New Roman" w:cs="Times New Roman" w:eastAsia="Times New Roman" w:hAnsi="Times New Roman"/>
                <w:sz w:val="12"/>
                <w:szCs w:val="12"/>
                <w:color w:val="auto"/>
                <w:vertAlign w:val="superscript"/>
              </w:rPr>
              <w:t>(6), (8)</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08/01/2029</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3,096</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05/06/2026</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10.59 %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SOFR+626</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4,825</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4,799</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4,825</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Acquisition, LLC - Funded Revolver</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05/06/2026</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10.59 %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SOFR+626</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818</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818</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818</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Ad.net Acquisition, LLC (Revolver) </w:t>
            </w:r>
            <w:r>
              <w:rPr>
                <w:rFonts w:ascii="Times New Roman" w:cs="Times New Roman" w:eastAsia="Times New Roman" w:hAnsi="Times New Roman"/>
                <w:sz w:val="12"/>
                <w:szCs w:val="12"/>
                <w:color w:val="auto"/>
                <w:vertAlign w:val="superscript"/>
              </w:rPr>
              <w:t>(6), (8)</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05/06/2026</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426</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Aechelon Technology,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08/16/2029</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11.86 %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SOFR+750</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13,860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13,728</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13,860</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Aechelon Technology, Inc. - Unfunded Revolver </w:t>
            </w:r>
            <w:r>
              <w:rPr>
                <w:rFonts w:ascii="Times New Roman" w:cs="Times New Roman" w:eastAsia="Times New Roman" w:hAnsi="Times New Roman"/>
                <w:sz w:val="12"/>
                <w:szCs w:val="12"/>
                <w:color w:val="auto"/>
                <w:vertAlign w:val="superscript"/>
              </w:rPr>
              <w:t>(8)</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08/16/2029</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3,104</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AFC Dell Holding Corp.</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04/09/2027</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10.04 %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SOFR+550</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27,427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27,359</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27,427</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AFC Dell Holding Corp. - Unfunded Term Loan </w:t>
            </w:r>
            <w:r>
              <w:rPr>
                <w:rFonts w:ascii="Times New Roman" w:cs="Times New Roman" w:eastAsia="Times New Roman" w:hAnsi="Times New Roman"/>
                <w:sz w:val="12"/>
                <w:szCs w:val="12"/>
                <w:color w:val="auto"/>
                <w:vertAlign w:val="superscript"/>
              </w:rPr>
              <w:t>(8)</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04/09/2027</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7,460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Amsive Holding Corporation (f/k/a Vision Purchaser Corporation)</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06/10/2025</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10.75 %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SOFR+650</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13,777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13,746</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13,639</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06/30/2026</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10.23 %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SOFR+590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12,809</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12,666</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12,809</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 - Incremental Term Loan</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06/30/2026</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10.23 %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SOFR+590</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2,070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2,057</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2,070</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Anteriad, LLC (f/k/a MeritDirect, LLC) (Revolver) </w:t>
            </w:r>
            <w:r>
              <w:rPr>
                <w:rFonts w:ascii="Times New Roman" w:cs="Times New Roman" w:eastAsia="Times New Roman" w:hAnsi="Times New Roman"/>
                <w:sz w:val="12"/>
                <w:szCs w:val="12"/>
                <w:color w:val="auto"/>
                <w:vertAlign w:val="superscript"/>
              </w:rPr>
              <w:t>(6)</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06/30/2026</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10.19 %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SOFR+585</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820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820</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820</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Anteriad, LLC (f/k/a MeritDirect, LLC) - (Revolver) </w:t>
            </w:r>
            <w:r>
              <w:rPr>
                <w:rFonts w:ascii="Times New Roman" w:cs="Times New Roman" w:eastAsia="Times New Roman" w:hAnsi="Times New Roman"/>
                <w:sz w:val="12"/>
                <w:szCs w:val="12"/>
                <w:color w:val="auto"/>
                <w:vertAlign w:val="superscript"/>
              </w:rPr>
              <w:t>(8)</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06/30/2026</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2,050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10.23 %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SOFR+590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12,565</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12,470</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12,411</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Applied Technical Services, LLC - Unfunded Term Loan </w:t>
            </w:r>
            <w:r>
              <w:rPr>
                <w:rFonts w:ascii="Times New Roman" w:cs="Times New Roman" w:eastAsia="Times New Roman" w:hAnsi="Times New Roman"/>
                <w:sz w:val="12"/>
                <w:szCs w:val="12"/>
                <w:color w:val="auto"/>
                <w:vertAlign w:val="superscript"/>
              </w:rPr>
              <w:t>(8)</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07/17/2025</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3,990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(10 )</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 (Revolver)</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12.75 %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SOFR+475</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2,031</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2,031</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2,006</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Applied Technical Services, LLC (Revolver) </w:t>
            </w:r>
            <w:r>
              <w:rPr>
                <w:rFonts w:ascii="Times New Roman" w:cs="Times New Roman" w:eastAsia="Times New Roman" w:hAnsi="Times New Roman"/>
                <w:sz w:val="12"/>
                <w:szCs w:val="12"/>
                <w:color w:val="auto"/>
                <w:vertAlign w:val="superscript"/>
              </w:rPr>
              <w:t>(6), (8)</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262</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Arcfield Acquisition Corp. (Revolver)</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10/28/2031</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9.17 %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1M SOFR+500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19,540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19,517</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19,491</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Arcfield Acquisition Corp. (Revolver) </w:t>
            </w:r>
            <w:r>
              <w:rPr>
                <w:rFonts w:ascii="Times New Roman" w:cs="Times New Roman" w:eastAsia="Times New Roman" w:hAnsi="Times New Roman"/>
                <w:sz w:val="12"/>
                <w:szCs w:val="12"/>
                <w:color w:val="auto"/>
                <w:vertAlign w:val="superscript"/>
              </w:rPr>
              <w:t>(6), (8)</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10/28/2031</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2,874</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(7 )</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Archer Lewis,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08/28/2029</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10.08 %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20,281</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20,087</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20,078</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Archer Lewis, LLC - Unfunded Term Loan A </w:t>
            </w:r>
            <w:r>
              <w:rPr>
                <w:rFonts w:ascii="Times New Roman" w:cs="Times New Roman" w:eastAsia="Times New Roman" w:hAnsi="Times New Roman"/>
                <w:sz w:val="12"/>
                <w:szCs w:val="12"/>
                <w:color w:val="auto"/>
                <w:vertAlign w:val="superscript"/>
              </w:rPr>
              <w:t>(8)</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08/28/2025</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4,648</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Archer Lewis, LLC - Unfunded Term Loan B </w:t>
            </w:r>
            <w:r>
              <w:rPr>
                <w:rFonts w:ascii="Times New Roman" w:cs="Times New Roman" w:eastAsia="Times New Roman" w:hAnsi="Times New Roman"/>
                <w:sz w:val="12"/>
                <w:szCs w:val="12"/>
                <w:color w:val="auto"/>
                <w:vertAlign w:val="superscript"/>
              </w:rPr>
              <w:t>(8)</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08/28/2026</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21,267</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Archer Lewis, LLC - Unfunded Revolver </w:t>
            </w:r>
            <w:r>
              <w:rPr>
                <w:rFonts w:ascii="Times New Roman" w:cs="Times New Roman" w:eastAsia="Times New Roman" w:hAnsi="Times New Roman"/>
                <w:sz w:val="12"/>
                <w:szCs w:val="12"/>
                <w:color w:val="auto"/>
                <w:vertAlign w:val="superscript"/>
              </w:rPr>
              <w:t>(8)</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08/28/2029</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3,252</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(33 )</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ARGANO,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09/13/2029</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10.15 %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25,704</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25,452</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25,447</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ARGANO, LLC - Unfunded Term Loan </w:t>
            </w:r>
            <w:r>
              <w:rPr>
                <w:rFonts w:ascii="Times New Roman" w:cs="Times New Roman" w:eastAsia="Times New Roman" w:hAnsi="Times New Roman"/>
                <w:sz w:val="12"/>
                <w:szCs w:val="12"/>
                <w:color w:val="auto"/>
                <w:vertAlign w:val="superscript"/>
              </w:rPr>
              <w:t>(8)</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03/13/2025</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8,907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ARGANO, LLC – Unfunded Revolver </w:t>
            </w:r>
            <w:r>
              <w:rPr>
                <w:rFonts w:ascii="Times New Roman" w:cs="Times New Roman" w:eastAsia="Times New Roman" w:hAnsi="Times New Roman"/>
                <w:sz w:val="12"/>
                <w:szCs w:val="12"/>
                <w:color w:val="auto"/>
                <w:vertAlign w:val="superscript"/>
              </w:rPr>
              <w:t>(8)</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09/13/2029</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1,421</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(14 )</w:t>
            </w:r>
          </w:p>
        </w:tc>
        <w:tc>
          <w:tcPr>
            <w:tcW w:w="0" w:type="dxa"/>
            <w:vAlign w:val="bottom"/>
          </w:tcPr>
          <w:p>
            <w:pPr>
              <w:spacing w:after="0"/>
              <w:rPr>
                <w:sz w:val="1"/>
                <w:szCs w:val="1"/>
                <w:color w:val="auto"/>
              </w:rPr>
            </w:pPr>
          </w:p>
        </w:tc>
      </w:tr>
      <w:tr>
        <w:trPr>
          <w:trHeight w:val="124"/>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Azureon,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06/26/2029</w:t>
            </w: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4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10.20 %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84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11,609</w:t>
            </w:r>
          </w:p>
        </w:tc>
        <w:tc>
          <w:tcPr>
            <w:tcW w:w="240" w:type="dxa"/>
            <w:vAlign w:val="bottom"/>
          </w:tcPr>
          <w:p>
            <w:pPr>
              <w:spacing w:after="0"/>
              <w:rPr>
                <w:sz w:val="10"/>
                <w:szCs w:val="10"/>
                <w:color w:val="auto"/>
              </w:rPr>
            </w:pPr>
          </w:p>
        </w:tc>
        <w:tc>
          <w:tcPr>
            <w:tcW w:w="6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11,460</w:t>
            </w:r>
          </w:p>
        </w:tc>
        <w:tc>
          <w:tcPr>
            <w:tcW w:w="160" w:type="dxa"/>
            <w:vAlign w:val="bottom"/>
          </w:tcPr>
          <w:p>
            <w:pPr>
              <w:spacing w:after="0"/>
              <w:rPr>
                <w:sz w:val="10"/>
                <w:szCs w:val="10"/>
                <w:color w:val="auto"/>
              </w:rPr>
            </w:pPr>
          </w:p>
        </w:tc>
        <w:tc>
          <w:tcPr>
            <w:tcW w:w="72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11,354</w:t>
            </w:r>
          </w:p>
        </w:tc>
        <w:tc>
          <w:tcPr>
            <w:tcW w:w="0" w:type="dxa"/>
            <w:vAlign w:val="bottom"/>
          </w:tcPr>
          <w:p>
            <w:pPr>
              <w:spacing w:after="0"/>
              <w:rPr>
                <w:sz w:val="1"/>
                <w:szCs w:val="1"/>
                <w:color w:val="auto"/>
              </w:rPr>
            </w:pPr>
          </w:p>
        </w:tc>
      </w:tr>
      <w:tr>
        <w:trPr>
          <w:trHeight w:val="68"/>
        </w:trPr>
        <w:tc>
          <w:tcPr>
            <w:tcW w:w="3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Azureon, LLC - Unfunded Term Loan </w:t>
            </w:r>
            <w:r>
              <w:rPr>
                <w:rFonts w:ascii="Times New Roman" w:cs="Times New Roman" w:eastAsia="Times New Roman" w:hAnsi="Times New Roman"/>
                <w:sz w:val="12"/>
                <w:szCs w:val="12"/>
                <w:color w:val="auto"/>
                <w:vertAlign w:val="superscript"/>
              </w:rPr>
              <w:t>(8)</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06/26/2026</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10,359</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(124 )</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Azureon, LLC - Unfunded Revolver </w:t>
            </w:r>
            <w:r>
              <w:rPr>
                <w:rFonts w:ascii="Times New Roman" w:cs="Times New Roman" w:eastAsia="Times New Roman" w:hAnsi="Times New Roman"/>
                <w:sz w:val="12"/>
                <w:szCs w:val="12"/>
                <w:color w:val="auto"/>
                <w:vertAlign w:val="superscript"/>
              </w:rPr>
              <w:t>(8)</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06/26/2029</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2,580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(57 )</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Beacon Behavioral Support Service,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06/21/2029</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9.83 %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SOFR+550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32,530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32,133</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32,042</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8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15.00%)</w:t>
            </w:r>
          </w:p>
        </w:tc>
        <w:tc>
          <w:tcPr>
            <w:tcW w:w="88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Beacon Behavioral Support Service, LLC - Unfunded Term Loan </w:t>
            </w:r>
            <w:r>
              <w:rPr>
                <w:rFonts w:ascii="Times New Roman" w:cs="Times New Roman" w:eastAsia="Times New Roman" w:hAnsi="Times New Roman"/>
                <w:sz w:val="12"/>
                <w:szCs w:val="12"/>
                <w:color w:val="auto"/>
                <w:vertAlign w:val="superscript"/>
              </w:rPr>
              <w:t>(8)</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12/21/2025</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12,415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(62 )</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Beacon Behavioral Support Service, LLC - Unfunded Revolver </w:t>
            </w:r>
            <w:r>
              <w:rPr>
                <w:rFonts w:ascii="Times New Roman" w:cs="Times New Roman" w:eastAsia="Times New Roman" w:hAnsi="Times New Roman"/>
                <w:sz w:val="12"/>
                <w:szCs w:val="12"/>
                <w:color w:val="auto"/>
                <w:vertAlign w:val="superscript"/>
              </w:rPr>
              <w:t>(8)</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06/21/2029</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2,104</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(32 )</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Best Practice Associates,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11/08/2029</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11.08 %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SOFR+675</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64,278</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63,324</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63,314</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Best Practice Associates, LLC - Unfunded Revolver </w:t>
            </w:r>
            <w:r>
              <w:rPr>
                <w:rFonts w:ascii="Times New Roman" w:cs="Times New Roman" w:eastAsia="Times New Roman" w:hAnsi="Times New Roman"/>
                <w:sz w:val="12"/>
                <w:szCs w:val="12"/>
                <w:color w:val="auto"/>
                <w:vertAlign w:val="superscript"/>
              </w:rPr>
              <w:t>(8)</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11/08/2029</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5,732</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(86 )</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07/01/2029</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10.08 %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1M SOFR+575</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19,756</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19,183</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19,212</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Big Top Holdings,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02/28/2030</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10.11 %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1M SOFR+575</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29,602</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29,120</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29,602</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Big Top Holdings, LLC - (Revolver) </w:t>
            </w:r>
            <w:r>
              <w:rPr>
                <w:rFonts w:ascii="Times New Roman" w:cs="Times New Roman" w:eastAsia="Times New Roman" w:hAnsi="Times New Roman"/>
                <w:sz w:val="12"/>
                <w:szCs w:val="12"/>
                <w:color w:val="auto"/>
                <w:vertAlign w:val="superscript"/>
              </w:rPr>
              <w:t>(8)</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02/28/2030</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4,479</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BioDerm, Inc. (Revolver)</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01/31/2028</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11.03 %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1M SOFR+650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964</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964</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952</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BioDerm, Inc. (Revolver) </w:t>
            </w:r>
            <w:r>
              <w:rPr>
                <w:rFonts w:ascii="Times New Roman" w:cs="Times New Roman" w:eastAsia="Times New Roman" w:hAnsi="Times New Roman"/>
                <w:sz w:val="12"/>
                <w:szCs w:val="12"/>
                <w:color w:val="auto"/>
                <w:vertAlign w:val="superscript"/>
              </w:rPr>
              <w:t>(6), (8)</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01/31/2028</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09/17/2026</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9.73 %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SOFR+540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8,199</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8,146</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8,057</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Blackhawk Industrial Distribution, Inc. - Unfunded Term Loan </w:t>
            </w:r>
            <w:r>
              <w:rPr>
                <w:rFonts w:ascii="Times New Roman" w:cs="Times New Roman" w:eastAsia="Times New Roman" w:hAnsi="Times New Roman"/>
                <w:sz w:val="12"/>
                <w:szCs w:val="12"/>
                <w:color w:val="auto"/>
                <w:vertAlign w:val="superscript"/>
              </w:rPr>
              <w:t>(8)</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09/17/2026</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1,893</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(14 )</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Blackhawk Industrial Distribution, Inc. (Revolver) </w:t>
            </w:r>
            <w:r>
              <w:rPr>
                <w:rFonts w:ascii="Times New Roman" w:cs="Times New Roman" w:eastAsia="Times New Roman" w:hAnsi="Times New Roman"/>
                <w:sz w:val="12"/>
                <w:szCs w:val="12"/>
                <w:color w:val="auto"/>
                <w:vertAlign w:val="superscript"/>
              </w:rPr>
              <w:t>(6)</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09/17/2026</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11.04 %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SOFR+640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679</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679</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668</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Blackhawk Industrial Distribution, Inc. </w:t>
            </w:r>
            <w:r>
              <w:rPr>
                <w:rFonts w:ascii="Times New Roman" w:cs="Times New Roman" w:eastAsia="Times New Roman" w:hAnsi="Times New Roman"/>
                <w:sz w:val="12"/>
                <w:szCs w:val="12"/>
                <w:color w:val="auto"/>
                <w:vertAlign w:val="superscript"/>
              </w:rPr>
              <w:t>(8)</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09/17/2026</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3,203</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(55 )</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BLC Holding Company,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11/20/2030</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9.28 %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SOFR+475</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25,027</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24,845</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24,839</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BLC Holding Company, Inc. - Unfunded Term Loan </w:t>
            </w:r>
            <w:r>
              <w:rPr>
                <w:rFonts w:ascii="Times New Roman" w:cs="Times New Roman" w:eastAsia="Times New Roman" w:hAnsi="Times New Roman"/>
                <w:sz w:val="12"/>
                <w:szCs w:val="12"/>
                <w:color w:val="auto"/>
                <w:vertAlign w:val="superscript"/>
              </w:rPr>
              <w:t>(8)</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11/20/2026</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14,293</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BLC Holding Company, Inc. - Unfunded Revolver </w:t>
            </w:r>
            <w:r>
              <w:rPr>
                <w:rFonts w:ascii="Times New Roman" w:cs="Times New Roman" w:eastAsia="Times New Roman" w:hAnsi="Times New Roman"/>
                <w:sz w:val="12"/>
                <w:szCs w:val="12"/>
                <w:color w:val="auto"/>
                <w:vertAlign w:val="superscript"/>
              </w:rPr>
              <w:t>(8)</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11/20/2030</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4,398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9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90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8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340" w:type="dxa"/>
            <w:vAlign w:val="bottom"/>
          </w:tcPr>
          <w:p>
            <w:pPr>
              <w:jc w:val="center"/>
              <w:ind w:left="512"/>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Industry</w:t>
            </w:r>
          </w:p>
        </w:tc>
        <w:tc>
          <w:tcPr>
            <w:tcW w:w="90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80" w:type="dxa"/>
            <w:vAlign w:val="bottom"/>
          </w:tcPr>
          <w:p>
            <w:pPr>
              <w:jc w:val="center"/>
              <w:ind w:right="9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7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840" w:type="dxa"/>
            <w:vAlign w:val="bottom"/>
          </w:tcPr>
          <w:p>
            <w:pPr>
              <w:jc w:val="right"/>
              <w:ind w:right="11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c>
          <w:tcPr>
            <w:tcW w:w="0" w:type="dxa"/>
            <w:vAlign w:val="bottom"/>
          </w:tcPr>
          <w:p>
            <w:pPr>
              <w:spacing w:after="0"/>
              <w:rPr>
                <w:sz w:val="1"/>
                <w:szCs w:val="1"/>
                <w:color w:val="auto"/>
              </w:rPr>
            </w:pPr>
          </w:p>
        </w:tc>
      </w:tr>
      <w:tr>
        <w:trPr>
          <w:trHeight w:val="120"/>
        </w:trPr>
        <w:tc>
          <w:tcPr>
            <w:tcW w:w="29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Independent Power and Renewable</w:t>
            </w: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Boss Industries, LLC</w:t>
            </w:r>
          </w:p>
        </w:tc>
        <w:tc>
          <w:tcPr>
            <w:tcW w:w="134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6"/>
              </w:rPr>
              <w:t>12/27/2030</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Electricity Producers</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9.33 %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SOFR+500</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23,100</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22,928</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22,927</w:t>
            </w:r>
          </w:p>
        </w:tc>
        <w:tc>
          <w:tcPr>
            <w:tcW w:w="0" w:type="dxa"/>
            <w:vAlign w:val="bottom"/>
          </w:tcPr>
          <w:p>
            <w:pPr>
              <w:spacing w:after="0"/>
              <w:rPr>
                <w:sz w:val="1"/>
                <w:szCs w:val="1"/>
                <w:color w:val="auto"/>
              </w:rPr>
            </w:pPr>
          </w:p>
        </w:tc>
      </w:tr>
      <w:tr>
        <w:trPr>
          <w:trHeight w:val="121"/>
        </w:trPr>
        <w:tc>
          <w:tcPr>
            <w:tcW w:w="2980" w:type="dxa"/>
            <w:vAlign w:val="bottom"/>
            <w:shd w:val="clear" w:color="auto" w:fill="CCECFF"/>
          </w:tcPr>
          <w:p>
            <w:pPr>
              <w:spacing w:after="0"/>
              <w:rPr>
                <w:sz w:val="10"/>
                <w:szCs w:val="10"/>
                <w:color w:val="auto"/>
              </w:rPr>
            </w:pPr>
          </w:p>
        </w:tc>
        <w:tc>
          <w:tcPr>
            <w:tcW w:w="1340" w:type="dxa"/>
            <w:vAlign w:val="bottom"/>
            <w:shd w:val="clear" w:color="auto" w:fill="CCECFF"/>
          </w:tcPr>
          <w:p>
            <w:pPr>
              <w:spacing w:after="0"/>
              <w:rPr>
                <w:sz w:val="10"/>
                <w:szCs w:val="10"/>
                <w:color w:val="auto"/>
              </w:rPr>
            </w:pP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Independent Power and Renewable</w:t>
            </w:r>
          </w:p>
        </w:tc>
        <w:tc>
          <w:tcPr>
            <w:tcW w:w="9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Boss Industries, LLC - Funded Revolver</w:t>
            </w:r>
          </w:p>
        </w:tc>
        <w:tc>
          <w:tcPr>
            <w:tcW w:w="1340" w:type="dxa"/>
            <w:vAlign w:val="bottom"/>
            <w:shd w:val="clear" w:color="auto" w:fill="CCECFF"/>
          </w:tcPr>
          <w:p>
            <w:pPr>
              <w:jc w:val="center"/>
              <w:ind w:left="532"/>
              <w:spacing w:after="0"/>
              <w:rPr>
                <w:sz w:val="20"/>
                <w:szCs w:val="20"/>
                <w:color w:val="auto"/>
              </w:rPr>
            </w:pPr>
            <w:r>
              <w:rPr>
                <w:rFonts w:ascii="Times New Roman" w:cs="Times New Roman" w:eastAsia="Times New Roman" w:hAnsi="Times New Roman"/>
                <w:sz w:val="10"/>
                <w:szCs w:val="10"/>
                <w:color w:val="auto"/>
                <w:w w:val="96"/>
              </w:rPr>
              <w:t>12/27/2030</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Electricity Producers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9.33 %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SOFR+500</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549</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549</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549</w:t>
            </w:r>
          </w:p>
        </w:tc>
        <w:tc>
          <w:tcPr>
            <w:tcW w:w="0" w:type="dxa"/>
            <w:vAlign w:val="bottom"/>
          </w:tcPr>
          <w:p>
            <w:pPr>
              <w:spacing w:after="0"/>
              <w:rPr>
                <w:sz w:val="1"/>
                <w:szCs w:val="1"/>
                <w:color w:val="auto"/>
              </w:rPr>
            </w:pPr>
          </w:p>
        </w:tc>
      </w:tr>
      <w:tr>
        <w:trPr>
          <w:trHeight w:val="121"/>
        </w:trPr>
        <w:tc>
          <w:tcPr>
            <w:tcW w:w="29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Independent Power and Renewable</w:t>
            </w: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Boss Industries, LLC - Unfunded Revolver </w:t>
            </w:r>
            <w:r>
              <w:rPr>
                <w:rFonts w:ascii="Times New Roman" w:cs="Times New Roman" w:eastAsia="Times New Roman" w:hAnsi="Times New Roman"/>
                <w:sz w:val="12"/>
                <w:szCs w:val="12"/>
                <w:color w:val="auto"/>
                <w:vertAlign w:val="superscript"/>
              </w:rPr>
              <w:t>(8)</w:t>
            </w:r>
          </w:p>
        </w:tc>
        <w:tc>
          <w:tcPr>
            <w:tcW w:w="134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6"/>
              </w:rPr>
              <w:t>12/27/2030</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Electricity Producers</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2,195</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6"/>
        </w:trPr>
        <w:tc>
          <w:tcPr>
            <w:tcW w:w="29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BlueHalo Financing Holdings, LLC</w:t>
            </w:r>
          </w:p>
        </w:tc>
        <w:tc>
          <w:tcPr>
            <w:tcW w:w="1340" w:type="dxa"/>
            <w:vAlign w:val="bottom"/>
            <w:tcBorders>
              <w:bottom w:val="single" w:sz="8" w:color="CCECFF"/>
            </w:tcBorders>
            <w:shd w:val="clear" w:color="auto" w:fill="CCECFF"/>
          </w:tcPr>
          <w:p>
            <w:pPr>
              <w:jc w:val="center"/>
              <w:ind w:left="532"/>
              <w:spacing w:after="0"/>
              <w:rPr>
                <w:sz w:val="20"/>
                <w:szCs w:val="20"/>
                <w:color w:val="auto"/>
              </w:rPr>
            </w:pPr>
            <w:r>
              <w:rPr>
                <w:rFonts w:ascii="Times New Roman" w:cs="Times New Roman" w:eastAsia="Times New Roman" w:hAnsi="Times New Roman"/>
                <w:sz w:val="10"/>
                <w:szCs w:val="10"/>
                <w:color w:val="auto"/>
                <w:w w:val="96"/>
              </w:rPr>
              <w:t>10/31/2025</w:t>
            </w:r>
          </w:p>
        </w:tc>
        <w:tc>
          <w:tcPr>
            <w:tcW w:w="188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tcBorders>
              <w:bottom w:val="single" w:sz="8" w:color="CCECFF"/>
            </w:tcBorders>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10.33 %</w:t>
            </w:r>
          </w:p>
        </w:tc>
        <w:tc>
          <w:tcPr>
            <w:tcW w:w="880" w:type="dxa"/>
            <w:vAlign w:val="bottom"/>
            <w:tcBorders>
              <w:bottom w:val="single" w:sz="8" w:color="CCECFF"/>
            </w:tcBorders>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SOFR+600</w:t>
            </w:r>
          </w:p>
        </w:tc>
        <w:tc>
          <w:tcPr>
            <w:tcW w:w="960" w:type="dxa"/>
            <w:vAlign w:val="bottom"/>
            <w:tcBorders>
              <w:bottom w:val="single" w:sz="8" w:color="CCECFF"/>
            </w:tcBorders>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9,170</w:t>
            </w:r>
          </w:p>
        </w:tc>
        <w:tc>
          <w:tcPr>
            <w:tcW w:w="780" w:type="dxa"/>
            <w:vAlign w:val="bottom"/>
            <w:tcBorders>
              <w:bottom w:val="single" w:sz="8" w:color="CCECFF"/>
            </w:tcBorders>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9,135</w:t>
            </w:r>
          </w:p>
        </w:tc>
        <w:tc>
          <w:tcPr>
            <w:tcW w:w="840" w:type="dxa"/>
            <w:vAlign w:val="bottom"/>
            <w:tcBorders>
              <w:bottom w:val="single" w:sz="8" w:color="CCECFF"/>
            </w:tcBorders>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9,124</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134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6"/>
              </w:rPr>
              <w:t>07/25/2029</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Components</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9.68 %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SOFR+535</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14,924</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14,209</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13,217</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By Light Professional IT Services, LLC</w:t>
            </w:r>
          </w:p>
        </w:tc>
        <w:tc>
          <w:tcPr>
            <w:tcW w:w="1340" w:type="dxa"/>
            <w:vAlign w:val="bottom"/>
            <w:shd w:val="clear" w:color="auto" w:fill="CCECFF"/>
          </w:tcPr>
          <w:p>
            <w:pPr>
              <w:jc w:val="center"/>
              <w:ind w:left="532"/>
              <w:spacing w:after="0"/>
              <w:rPr>
                <w:sz w:val="20"/>
                <w:szCs w:val="20"/>
                <w:color w:val="auto"/>
              </w:rPr>
            </w:pPr>
            <w:r>
              <w:rPr>
                <w:rFonts w:ascii="Times New Roman" w:cs="Times New Roman" w:eastAsia="Times New Roman" w:hAnsi="Times New Roman"/>
                <w:sz w:val="10"/>
                <w:szCs w:val="10"/>
                <w:color w:val="auto"/>
                <w:w w:val="96"/>
              </w:rPr>
              <w:t>05/16/2025</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11.31 %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SOFR+698</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46,448</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46,378</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46,448</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By Light Professional IT Services, LLC (Revolver) </w:t>
            </w:r>
            <w:r>
              <w:rPr>
                <w:rFonts w:ascii="Times New Roman" w:cs="Times New Roman" w:eastAsia="Times New Roman" w:hAnsi="Times New Roman"/>
                <w:sz w:val="12"/>
                <w:szCs w:val="12"/>
                <w:color w:val="auto"/>
                <w:vertAlign w:val="superscript"/>
              </w:rPr>
              <w:t>(6), (8)</w:t>
            </w:r>
          </w:p>
        </w:tc>
        <w:tc>
          <w:tcPr>
            <w:tcW w:w="134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6"/>
              </w:rPr>
              <w:t>05/16/2025</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5,831</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Carisk Buyer, Inc.</w:t>
            </w:r>
          </w:p>
        </w:tc>
        <w:tc>
          <w:tcPr>
            <w:tcW w:w="1340" w:type="dxa"/>
            <w:vAlign w:val="bottom"/>
            <w:shd w:val="clear" w:color="auto" w:fill="CCECFF"/>
          </w:tcPr>
          <w:p>
            <w:pPr>
              <w:jc w:val="center"/>
              <w:ind w:left="532"/>
              <w:spacing w:after="0"/>
              <w:rPr>
                <w:sz w:val="20"/>
                <w:szCs w:val="20"/>
                <w:color w:val="auto"/>
              </w:rPr>
            </w:pPr>
            <w:r>
              <w:rPr>
                <w:rFonts w:ascii="Times New Roman" w:cs="Times New Roman" w:eastAsia="Times New Roman" w:hAnsi="Times New Roman"/>
                <w:sz w:val="10"/>
                <w:szCs w:val="10"/>
                <w:color w:val="auto"/>
                <w:w w:val="96"/>
              </w:rPr>
              <w:t>12/01/2029</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9.58 %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7,453</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7,370</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7,341</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Carisk Buyer, Inc. - Unfunded Term Loan </w:t>
            </w:r>
            <w:r>
              <w:rPr>
                <w:rFonts w:ascii="Times New Roman" w:cs="Times New Roman" w:eastAsia="Times New Roman" w:hAnsi="Times New Roman"/>
                <w:sz w:val="12"/>
                <w:szCs w:val="12"/>
                <w:color w:val="auto"/>
                <w:vertAlign w:val="superscript"/>
              </w:rPr>
              <w:t>(8)</w:t>
            </w:r>
          </w:p>
        </w:tc>
        <w:tc>
          <w:tcPr>
            <w:tcW w:w="134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6"/>
              </w:rPr>
              <w:t>12/01/2029</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7,868</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(47 )</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Carisk Buyer, Inc. (Revolver) </w:t>
            </w:r>
            <w:r>
              <w:rPr>
                <w:rFonts w:ascii="Times New Roman" w:cs="Times New Roman" w:eastAsia="Times New Roman" w:hAnsi="Times New Roman"/>
                <w:sz w:val="12"/>
                <w:szCs w:val="12"/>
                <w:color w:val="auto"/>
                <w:vertAlign w:val="superscript"/>
              </w:rPr>
              <w:t>(6), (8)</w:t>
            </w:r>
          </w:p>
        </w:tc>
        <w:tc>
          <w:tcPr>
            <w:tcW w:w="1340" w:type="dxa"/>
            <w:vAlign w:val="bottom"/>
            <w:shd w:val="clear" w:color="auto" w:fill="CCECFF"/>
          </w:tcPr>
          <w:p>
            <w:pPr>
              <w:jc w:val="center"/>
              <w:ind w:left="532"/>
              <w:spacing w:after="0"/>
              <w:rPr>
                <w:sz w:val="20"/>
                <w:szCs w:val="20"/>
                <w:color w:val="auto"/>
              </w:rPr>
            </w:pPr>
            <w:r>
              <w:rPr>
                <w:rFonts w:ascii="Times New Roman" w:cs="Times New Roman" w:eastAsia="Times New Roman" w:hAnsi="Times New Roman"/>
                <w:sz w:val="10"/>
                <w:szCs w:val="10"/>
                <w:color w:val="auto"/>
                <w:w w:val="96"/>
              </w:rPr>
              <w:t>12/01/2029</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1,750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(26 )</w:t>
            </w:r>
          </w:p>
        </w:tc>
        <w:tc>
          <w:tcPr>
            <w:tcW w:w="0" w:type="dxa"/>
            <w:vAlign w:val="bottom"/>
          </w:tcPr>
          <w:p>
            <w:pPr>
              <w:spacing w:after="0"/>
              <w:rPr>
                <w:sz w:val="1"/>
                <w:szCs w:val="1"/>
                <w:color w:val="auto"/>
              </w:rPr>
            </w:pPr>
          </w:p>
        </w:tc>
      </w:tr>
      <w:tr>
        <w:trPr>
          <w:trHeight w:val="124"/>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Carnegie Dartlet, LLC</w:t>
            </w:r>
          </w:p>
        </w:tc>
        <w:tc>
          <w:tcPr>
            <w:tcW w:w="1340" w:type="dxa"/>
            <w:vAlign w:val="bottom"/>
            <w:vMerge w:val="restart"/>
          </w:tcPr>
          <w:p>
            <w:pPr>
              <w:jc w:val="center"/>
              <w:ind w:left="532"/>
              <w:spacing w:after="0"/>
              <w:rPr>
                <w:sz w:val="20"/>
                <w:szCs w:val="20"/>
                <w:color w:val="auto"/>
              </w:rPr>
            </w:pPr>
            <w:r>
              <w:rPr>
                <w:rFonts w:ascii="Times New Roman" w:cs="Times New Roman" w:eastAsia="Times New Roman" w:hAnsi="Times New Roman"/>
                <w:sz w:val="10"/>
                <w:szCs w:val="10"/>
                <w:color w:val="auto"/>
                <w:w w:val="96"/>
              </w:rPr>
              <w:t>02/07/2030</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0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9.86 %</w:t>
            </w:r>
          </w:p>
        </w:tc>
        <w:tc>
          <w:tcPr>
            <w:tcW w:w="88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auto"/>
              </w:rPr>
              <w:t>3M SOFR+550</w:t>
            </w:r>
          </w:p>
        </w:tc>
        <w:tc>
          <w:tcPr>
            <w:tcW w:w="960" w:type="dxa"/>
            <w:vAlign w:val="bottom"/>
            <w:vMerge w:val="restart"/>
          </w:tcPr>
          <w:p>
            <w:pPr>
              <w:jc w:val="right"/>
              <w:ind w:right="172"/>
              <w:spacing w:after="0"/>
              <w:rPr>
                <w:sz w:val="20"/>
                <w:szCs w:val="20"/>
                <w:color w:val="auto"/>
              </w:rPr>
            </w:pPr>
            <w:r>
              <w:rPr>
                <w:rFonts w:ascii="Times New Roman" w:cs="Times New Roman" w:eastAsia="Times New Roman" w:hAnsi="Times New Roman"/>
                <w:sz w:val="10"/>
                <w:szCs w:val="10"/>
                <w:color w:val="auto"/>
              </w:rPr>
              <w:t>29,775</w:t>
            </w:r>
          </w:p>
        </w:tc>
        <w:tc>
          <w:tcPr>
            <w:tcW w:w="78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auto"/>
              </w:rPr>
              <w:t>29,350</w:t>
            </w:r>
          </w:p>
        </w:tc>
        <w:tc>
          <w:tcPr>
            <w:tcW w:w="84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29,328</w:t>
            </w:r>
          </w:p>
        </w:tc>
        <w:tc>
          <w:tcPr>
            <w:tcW w:w="0" w:type="dxa"/>
            <w:vAlign w:val="bottom"/>
          </w:tcPr>
          <w:p>
            <w:pPr>
              <w:spacing w:after="0"/>
              <w:rPr>
                <w:sz w:val="1"/>
                <w:szCs w:val="1"/>
                <w:color w:val="auto"/>
              </w:rPr>
            </w:pPr>
          </w:p>
        </w:tc>
      </w:tr>
      <w:tr>
        <w:trPr>
          <w:trHeight w:val="68"/>
        </w:trPr>
        <w:tc>
          <w:tcPr>
            <w:tcW w:w="298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8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Carnegie Dartlet, LLC - Unfunded Term Loan </w:t>
            </w:r>
            <w:r>
              <w:rPr>
                <w:rFonts w:ascii="Times New Roman" w:cs="Times New Roman" w:eastAsia="Times New Roman" w:hAnsi="Times New Roman"/>
                <w:sz w:val="12"/>
                <w:szCs w:val="12"/>
                <w:color w:val="auto"/>
                <w:vertAlign w:val="superscript"/>
              </w:rPr>
              <w:t>(8)</w:t>
            </w:r>
          </w:p>
        </w:tc>
        <w:tc>
          <w:tcPr>
            <w:tcW w:w="1340" w:type="dxa"/>
            <w:vAlign w:val="bottom"/>
            <w:shd w:val="clear" w:color="auto" w:fill="CCECFF"/>
          </w:tcPr>
          <w:p>
            <w:pPr>
              <w:jc w:val="center"/>
              <w:ind w:left="532"/>
              <w:spacing w:after="0"/>
              <w:rPr>
                <w:sz w:val="20"/>
                <w:szCs w:val="20"/>
                <w:color w:val="auto"/>
              </w:rPr>
            </w:pPr>
            <w:r>
              <w:rPr>
                <w:rFonts w:ascii="Times New Roman" w:cs="Times New Roman" w:eastAsia="Times New Roman" w:hAnsi="Times New Roman"/>
                <w:sz w:val="10"/>
                <w:szCs w:val="10"/>
                <w:color w:val="auto"/>
                <w:w w:val="96"/>
              </w:rPr>
              <w:t>02/07/2026</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16,214</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(81 )</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Carnegie Dartlet, LLC - Funded Revolver</w:t>
            </w:r>
          </w:p>
        </w:tc>
        <w:tc>
          <w:tcPr>
            <w:tcW w:w="134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6"/>
              </w:rPr>
              <w:t>02/07/2030</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9.86 %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SOFR+550</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324</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324</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319</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Carnegie Dartlet, LLC - (Revolver) </w:t>
            </w:r>
            <w:r>
              <w:rPr>
                <w:rFonts w:ascii="Times New Roman" w:cs="Times New Roman" w:eastAsia="Times New Roman" w:hAnsi="Times New Roman"/>
                <w:sz w:val="12"/>
                <w:szCs w:val="12"/>
                <w:color w:val="auto"/>
                <w:vertAlign w:val="superscript"/>
              </w:rPr>
              <w:t>(8)</w:t>
            </w:r>
          </w:p>
        </w:tc>
        <w:tc>
          <w:tcPr>
            <w:tcW w:w="1340" w:type="dxa"/>
            <w:vAlign w:val="bottom"/>
            <w:shd w:val="clear" w:color="auto" w:fill="CCECFF"/>
          </w:tcPr>
          <w:p>
            <w:pPr>
              <w:jc w:val="center"/>
              <w:ind w:left="532"/>
              <w:spacing w:after="0"/>
              <w:rPr>
                <w:sz w:val="20"/>
                <w:szCs w:val="20"/>
                <w:color w:val="auto"/>
              </w:rPr>
            </w:pPr>
            <w:r>
              <w:rPr>
                <w:rFonts w:ascii="Times New Roman" w:cs="Times New Roman" w:eastAsia="Times New Roman" w:hAnsi="Times New Roman"/>
                <w:sz w:val="10"/>
                <w:szCs w:val="10"/>
                <w:color w:val="auto"/>
                <w:w w:val="96"/>
              </w:rPr>
              <w:t>02/07/2030</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5,080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(76 )</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134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6"/>
              </w:rPr>
              <w:t>06/14/2028</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10.08 %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12,911</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12,782</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12,911</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Cartessa Aesthetics, LLC (Revolver) </w:t>
            </w:r>
            <w:r>
              <w:rPr>
                <w:rFonts w:ascii="Times New Roman" w:cs="Times New Roman" w:eastAsia="Times New Roman" w:hAnsi="Times New Roman"/>
                <w:sz w:val="12"/>
                <w:szCs w:val="12"/>
                <w:color w:val="auto"/>
                <w:vertAlign w:val="superscript"/>
              </w:rPr>
              <w:t>(6)</w:t>
            </w:r>
          </w:p>
        </w:tc>
        <w:tc>
          <w:tcPr>
            <w:tcW w:w="1340" w:type="dxa"/>
            <w:vAlign w:val="bottom"/>
            <w:shd w:val="clear" w:color="auto" w:fill="CCECFF"/>
          </w:tcPr>
          <w:p>
            <w:pPr>
              <w:jc w:val="center"/>
              <w:ind w:left="532"/>
              <w:spacing w:after="0"/>
              <w:rPr>
                <w:sz w:val="20"/>
                <w:szCs w:val="20"/>
                <w:color w:val="auto"/>
              </w:rPr>
            </w:pPr>
            <w:r>
              <w:rPr>
                <w:rFonts w:ascii="Times New Roman" w:cs="Times New Roman" w:eastAsia="Times New Roman" w:hAnsi="Times New Roman"/>
                <w:sz w:val="10"/>
                <w:szCs w:val="10"/>
                <w:color w:val="auto"/>
                <w:w w:val="96"/>
              </w:rPr>
              <w:t>06/14/2028</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10.08 %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1M SOFR+575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511</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511</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511</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Cartessa Aesthetics, LLC (Revolver) </w:t>
            </w:r>
            <w:r>
              <w:rPr>
                <w:rFonts w:ascii="Times New Roman" w:cs="Times New Roman" w:eastAsia="Times New Roman" w:hAnsi="Times New Roman"/>
                <w:sz w:val="12"/>
                <w:szCs w:val="12"/>
                <w:color w:val="auto"/>
                <w:vertAlign w:val="superscript"/>
              </w:rPr>
              <w:t>(6), (8)</w:t>
            </w:r>
          </w:p>
        </w:tc>
        <w:tc>
          <w:tcPr>
            <w:tcW w:w="134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6"/>
              </w:rPr>
              <w:t>06/14/2028</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927</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Case Works, LLC</w:t>
            </w:r>
          </w:p>
        </w:tc>
        <w:tc>
          <w:tcPr>
            <w:tcW w:w="1340" w:type="dxa"/>
            <w:vAlign w:val="bottom"/>
            <w:shd w:val="clear" w:color="auto" w:fill="CCECFF"/>
          </w:tcPr>
          <w:p>
            <w:pPr>
              <w:jc w:val="center"/>
              <w:ind w:left="532"/>
              <w:spacing w:after="0"/>
              <w:rPr>
                <w:sz w:val="20"/>
                <w:szCs w:val="20"/>
                <w:color w:val="auto"/>
              </w:rPr>
            </w:pPr>
            <w:r>
              <w:rPr>
                <w:rFonts w:ascii="Times New Roman" w:cs="Times New Roman" w:eastAsia="Times New Roman" w:hAnsi="Times New Roman"/>
                <w:sz w:val="10"/>
                <w:szCs w:val="10"/>
                <w:color w:val="auto"/>
                <w:w w:val="96"/>
              </w:rPr>
              <w:t>10/01/2029</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9.59 %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18,772</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18,612</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18,622</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Case Works, LLC - Unfunded Term Loan </w:t>
            </w:r>
            <w:r>
              <w:rPr>
                <w:rFonts w:ascii="Times New Roman" w:cs="Times New Roman" w:eastAsia="Times New Roman" w:hAnsi="Times New Roman"/>
                <w:sz w:val="12"/>
                <w:szCs w:val="12"/>
                <w:color w:val="auto"/>
                <w:vertAlign w:val="superscript"/>
              </w:rPr>
              <w:t>(8)</w:t>
            </w:r>
          </w:p>
        </w:tc>
        <w:tc>
          <w:tcPr>
            <w:tcW w:w="134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6"/>
              </w:rPr>
              <w:t>10/01/2025</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1,854</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Case Works - Funded Revolver</w:t>
            </w:r>
          </w:p>
        </w:tc>
        <w:tc>
          <w:tcPr>
            <w:tcW w:w="1340" w:type="dxa"/>
            <w:vAlign w:val="bottom"/>
            <w:shd w:val="clear" w:color="auto" w:fill="CCECFF"/>
          </w:tcPr>
          <w:p>
            <w:pPr>
              <w:jc w:val="center"/>
              <w:ind w:left="532"/>
              <w:spacing w:after="0"/>
              <w:rPr>
                <w:sz w:val="20"/>
                <w:szCs w:val="20"/>
                <w:color w:val="auto"/>
              </w:rPr>
            </w:pPr>
            <w:r>
              <w:rPr>
                <w:rFonts w:ascii="Times New Roman" w:cs="Times New Roman" w:eastAsia="Times New Roman" w:hAnsi="Times New Roman"/>
                <w:sz w:val="10"/>
                <w:szCs w:val="10"/>
                <w:color w:val="auto"/>
                <w:w w:val="96"/>
              </w:rPr>
              <w:t>10/01/2029</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9.65 %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1,643</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1,643</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1,630</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Case Works - Unfunded Revolver </w:t>
            </w:r>
            <w:r>
              <w:rPr>
                <w:rFonts w:ascii="Times New Roman" w:cs="Times New Roman" w:eastAsia="Times New Roman" w:hAnsi="Times New Roman"/>
                <w:sz w:val="12"/>
                <w:szCs w:val="12"/>
                <w:color w:val="auto"/>
                <w:vertAlign w:val="superscript"/>
              </w:rPr>
              <w:t>(8)</w:t>
            </w:r>
          </w:p>
        </w:tc>
        <w:tc>
          <w:tcPr>
            <w:tcW w:w="134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6"/>
              </w:rPr>
              <w:t>10/01/2029</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2,465</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(20 )</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1340" w:type="dxa"/>
            <w:vAlign w:val="bottom"/>
            <w:shd w:val="clear" w:color="auto" w:fill="CCECFF"/>
          </w:tcPr>
          <w:p>
            <w:pPr>
              <w:jc w:val="center"/>
              <w:ind w:left="532"/>
              <w:spacing w:after="0"/>
              <w:rPr>
                <w:sz w:val="20"/>
                <w:szCs w:val="20"/>
                <w:color w:val="auto"/>
              </w:rPr>
            </w:pPr>
            <w:r>
              <w:rPr>
                <w:rFonts w:ascii="Times New Roman" w:cs="Times New Roman" w:eastAsia="Times New Roman" w:hAnsi="Times New Roman"/>
                <w:sz w:val="10"/>
                <w:szCs w:val="10"/>
                <w:color w:val="auto"/>
                <w:w w:val="96"/>
              </w:rPr>
              <w:t>08/20/2026</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10.69 %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SOFR+619</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5,728</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5,701</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5,642</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CF512, Inc.(Revolver) </w:t>
            </w:r>
            <w:r>
              <w:rPr>
                <w:rFonts w:ascii="Times New Roman" w:cs="Times New Roman" w:eastAsia="Times New Roman" w:hAnsi="Times New Roman"/>
                <w:sz w:val="12"/>
                <w:szCs w:val="12"/>
                <w:color w:val="auto"/>
                <w:vertAlign w:val="superscript"/>
              </w:rPr>
              <w:t>(6), (8)</w:t>
            </w:r>
          </w:p>
        </w:tc>
        <w:tc>
          <w:tcPr>
            <w:tcW w:w="134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6"/>
              </w:rPr>
              <w:t>08/20/2026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955</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(14 )</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CJX Borrower, LLC</w:t>
            </w:r>
          </w:p>
        </w:tc>
        <w:tc>
          <w:tcPr>
            <w:tcW w:w="1340" w:type="dxa"/>
            <w:vAlign w:val="bottom"/>
            <w:shd w:val="clear" w:color="auto" w:fill="CCECFF"/>
          </w:tcPr>
          <w:p>
            <w:pPr>
              <w:jc w:val="center"/>
              <w:ind w:left="532"/>
              <w:spacing w:after="0"/>
              <w:rPr>
                <w:sz w:val="20"/>
                <w:szCs w:val="20"/>
                <w:color w:val="auto"/>
              </w:rPr>
            </w:pPr>
            <w:r>
              <w:rPr>
                <w:rFonts w:ascii="Times New Roman" w:cs="Times New Roman" w:eastAsia="Times New Roman" w:hAnsi="Times New Roman"/>
                <w:sz w:val="10"/>
                <w:szCs w:val="10"/>
                <w:color w:val="auto"/>
                <w:w w:val="96"/>
              </w:rPr>
              <w:t>07/13/2027</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10.39 %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SOFR+576</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4,515</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4,469</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4,515</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CJX Borrower , LLC - Unfunded Term Loan </w:t>
            </w:r>
            <w:r>
              <w:rPr>
                <w:rFonts w:ascii="Times New Roman" w:cs="Times New Roman" w:eastAsia="Times New Roman" w:hAnsi="Times New Roman"/>
                <w:sz w:val="12"/>
                <w:szCs w:val="12"/>
                <w:color w:val="auto"/>
                <w:vertAlign w:val="superscript"/>
              </w:rPr>
              <w:t>(8)</w:t>
            </w:r>
          </w:p>
        </w:tc>
        <w:tc>
          <w:tcPr>
            <w:tcW w:w="134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6"/>
              </w:rPr>
              <w:t>07/13/2027</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666</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CJX Borrower, LLC - Funded Revolver</w:t>
            </w:r>
          </w:p>
        </w:tc>
        <w:tc>
          <w:tcPr>
            <w:tcW w:w="1340" w:type="dxa"/>
            <w:vAlign w:val="bottom"/>
            <w:shd w:val="clear" w:color="auto" w:fill="CCECFF"/>
          </w:tcPr>
          <w:p>
            <w:pPr>
              <w:jc w:val="center"/>
              <w:ind w:left="532"/>
              <w:spacing w:after="0"/>
              <w:rPr>
                <w:sz w:val="20"/>
                <w:szCs w:val="20"/>
                <w:color w:val="auto"/>
              </w:rPr>
            </w:pPr>
            <w:r>
              <w:rPr>
                <w:rFonts w:ascii="Times New Roman" w:cs="Times New Roman" w:eastAsia="Times New Roman" w:hAnsi="Times New Roman"/>
                <w:sz w:val="10"/>
                <w:szCs w:val="10"/>
                <w:color w:val="auto"/>
                <w:w w:val="96"/>
              </w:rPr>
              <w:t>07/13/2027</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10.19 %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SOFR+576</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331</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331</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331</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CJX Borrower , LLC - Unfunded Revolver </w:t>
            </w:r>
            <w:r>
              <w:rPr>
                <w:rFonts w:ascii="Times New Roman" w:cs="Times New Roman" w:eastAsia="Times New Roman" w:hAnsi="Times New Roman"/>
                <w:sz w:val="12"/>
                <w:szCs w:val="12"/>
                <w:color w:val="auto"/>
                <w:vertAlign w:val="superscript"/>
              </w:rPr>
              <w:t>(8)</w:t>
            </w:r>
          </w:p>
        </w:tc>
        <w:tc>
          <w:tcPr>
            <w:tcW w:w="134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6"/>
              </w:rPr>
              <w:t>07/13/2027</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904</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Compex Legal Services, Inc.</w:t>
            </w:r>
          </w:p>
        </w:tc>
        <w:tc>
          <w:tcPr>
            <w:tcW w:w="1340" w:type="dxa"/>
            <w:vAlign w:val="bottom"/>
            <w:shd w:val="clear" w:color="auto" w:fill="CCECFF"/>
          </w:tcPr>
          <w:p>
            <w:pPr>
              <w:jc w:val="center"/>
              <w:ind w:left="532"/>
              <w:spacing w:after="0"/>
              <w:rPr>
                <w:sz w:val="20"/>
                <w:szCs w:val="20"/>
                <w:color w:val="auto"/>
              </w:rPr>
            </w:pPr>
            <w:r>
              <w:rPr>
                <w:rFonts w:ascii="Times New Roman" w:cs="Times New Roman" w:eastAsia="Times New Roman" w:hAnsi="Times New Roman"/>
                <w:sz w:val="10"/>
                <w:szCs w:val="10"/>
                <w:color w:val="auto"/>
                <w:w w:val="96"/>
              </w:rPr>
              <w:t>02/09/2026</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9.95 %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SOFR+545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8,810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8,793</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8,810</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Compex Legal Services, Inc. (Revolver)</w:t>
            </w:r>
          </w:p>
        </w:tc>
        <w:tc>
          <w:tcPr>
            <w:tcW w:w="134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6"/>
              </w:rPr>
              <w:t>02/07/2025</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10.14 %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SOFR+555</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703</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703</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703</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Compex Legal Services, Inc. (Revolver) </w:t>
            </w:r>
            <w:r>
              <w:rPr>
                <w:rFonts w:ascii="Times New Roman" w:cs="Times New Roman" w:eastAsia="Times New Roman" w:hAnsi="Times New Roman"/>
                <w:sz w:val="12"/>
                <w:szCs w:val="12"/>
                <w:color w:val="auto"/>
                <w:vertAlign w:val="superscript"/>
              </w:rPr>
              <w:t>(6), (8)</w:t>
            </w:r>
          </w:p>
        </w:tc>
        <w:tc>
          <w:tcPr>
            <w:tcW w:w="1340" w:type="dxa"/>
            <w:vAlign w:val="bottom"/>
            <w:shd w:val="clear" w:color="auto" w:fill="CCECFF"/>
          </w:tcPr>
          <w:p>
            <w:pPr>
              <w:jc w:val="center"/>
              <w:ind w:left="532"/>
              <w:spacing w:after="0"/>
              <w:rPr>
                <w:sz w:val="20"/>
                <w:szCs w:val="20"/>
                <w:color w:val="auto"/>
              </w:rPr>
            </w:pPr>
            <w:r>
              <w:rPr>
                <w:rFonts w:ascii="Times New Roman" w:cs="Times New Roman" w:eastAsia="Times New Roman" w:hAnsi="Times New Roman"/>
                <w:sz w:val="10"/>
                <w:szCs w:val="10"/>
                <w:color w:val="auto"/>
                <w:w w:val="96"/>
              </w:rPr>
              <w:t>02/07/2025</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703</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Confluent Health, LLC</w:t>
            </w:r>
          </w:p>
        </w:tc>
        <w:tc>
          <w:tcPr>
            <w:tcW w:w="134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6"/>
              </w:rPr>
              <w:t>11/30/2028</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Healthcare Providers and Services</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9.36 %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SOFR+500</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6,948</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6,762</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6,600</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1340" w:type="dxa"/>
            <w:vAlign w:val="bottom"/>
            <w:shd w:val="clear" w:color="auto" w:fill="CCECFF"/>
          </w:tcPr>
          <w:p>
            <w:pPr>
              <w:jc w:val="center"/>
              <w:ind w:left="532"/>
              <w:spacing w:after="0"/>
              <w:rPr>
                <w:sz w:val="20"/>
                <w:szCs w:val="20"/>
                <w:color w:val="auto"/>
              </w:rPr>
            </w:pPr>
            <w:r>
              <w:rPr>
                <w:rFonts w:ascii="Times New Roman" w:cs="Times New Roman" w:eastAsia="Times New Roman" w:hAnsi="Times New Roman"/>
                <w:sz w:val="10"/>
                <w:szCs w:val="10"/>
                <w:color w:val="auto"/>
                <w:w w:val="96"/>
              </w:rPr>
              <w:t>08/16/2027</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10.22 %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SOFR+586</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4,264</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4,217</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4,232</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Crane 1 Services, Inc. (Revolver) </w:t>
            </w:r>
            <w:r>
              <w:rPr>
                <w:rFonts w:ascii="Times New Roman" w:cs="Times New Roman" w:eastAsia="Times New Roman" w:hAnsi="Times New Roman"/>
                <w:sz w:val="12"/>
                <w:szCs w:val="12"/>
                <w:color w:val="auto"/>
                <w:vertAlign w:val="superscript"/>
              </w:rPr>
              <w:t>(6), (8)</w:t>
            </w:r>
          </w:p>
        </w:tc>
        <w:tc>
          <w:tcPr>
            <w:tcW w:w="134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6"/>
              </w:rPr>
              <w:t>08/16/2027</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502</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(4 )</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C5MI Holdco, LLC</w:t>
            </w:r>
          </w:p>
        </w:tc>
        <w:tc>
          <w:tcPr>
            <w:tcW w:w="1340" w:type="dxa"/>
            <w:vAlign w:val="bottom"/>
            <w:shd w:val="clear" w:color="auto" w:fill="CCECFF"/>
          </w:tcPr>
          <w:p>
            <w:pPr>
              <w:jc w:val="center"/>
              <w:ind w:left="532"/>
              <w:spacing w:after="0"/>
              <w:rPr>
                <w:sz w:val="20"/>
                <w:szCs w:val="20"/>
                <w:color w:val="auto"/>
              </w:rPr>
            </w:pPr>
            <w:r>
              <w:rPr>
                <w:rFonts w:ascii="Times New Roman" w:cs="Times New Roman" w:eastAsia="Times New Roman" w:hAnsi="Times New Roman"/>
                <w:sz w:val="10"/>
                <w:szCs w:val="10"/>
                <w:color w:val="auto"/>
                <w:w w:val="96"/>
              </w:rPr>
              <w:t>07/31/2030</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10.33 %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SOFR+600</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28,928</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28,511</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28,494</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C5MI Holdco, LLC. - Funded Revolver</w:t>
            </w:r>
          </w:p>
        </w:tc>
        <w:tc>
          <w:tcPr>
            <w:tcW w:w="134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6"/>
              </w:rPr>
              <w:t>07/31/2030</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10.33 %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SOFR+600</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1,515</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1,515</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1,493</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C5MI Holdco, LLC. - Unfunded Revolver </w:t>
            </w:r>
            <w:r>
              <w:rPr>
                <w:rFonts w:ascii="Times New Roman" w:cs="Times New Roman" w:eastAsia="Times New Roman" w:hAnsi="Times New Roman"/>
                <w:sz w:val="12"/>
                <w:szCs w:val="12"/>
                <w:color w:val="auto"/>
                <w:vertAlign w:val="superscript"/>
              </w:rPr>
              <w:t>(8)</w:t>
            </w:r>
          </w:p>
        </w:tc>
        <w:tc>
          <w:tcPr>
            <w:tcW w:w="1340" w:type="dxa"/>
            <w:vAlign w:val="bottom"/>
            <w:shd w:val="clear" w:color="auto" w:fill="CCECFF"/>
          </w:tcPr>
          <w:p>
            <w:pPr>
              <w:jc w:val="center"/>
              <w:ind w:left="532"/>
              <w:spacing w:after="0"/>
              <w:rPr>
                <w:sz w:val="20"/>
                <w:szCs w:val="20"/>
                <w:color w:val="auto"/>
              </w:rPr>
            </w:pPr>
            <w:r>
              <w:rPr>
                <w:rFonts w:ascii="Times New Roman" w:cs="Times New Roman" w:eastAsia="Times New Roman" w:hAnsi="Times New Roman"/>
                <w:sz w:val="10"/>
                <w:szCs w:val="10"/>
                <w:color w:val="auto"/>
                <w:w w:val="96"/>
              </w:rPr>
              <w:t>07/31/2030</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7,577</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(114 )</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134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6"/>
              </w:rPr>
              <w:t>12/21/2028</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9.71%</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SOFR+535</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6,107</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5,936</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5,924</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1340" w:type="dxa"/>
            <w:vAlign w:val="bottom"/>
            <w:shd w:val="clear" w:color="auto" w:fill="CCECFF"/>
          </w:tcPr>
          <w:p>
            <w:pPr>
              <w:jc w:val="center"/>
              <w:ind w:left="532"/>
              <w:spacing w:after="0"/>
              <w:rPr>
                <w:sz w:val="20"/>
                <w:szCs w:val="20"/>
                <w:color w:val="auto"/>
              </w:rPr>
            </w:pPr>
            <w:r>
              <w:rPr>
                <w:rFonts w:ascii="Times New Roman" w:cs="Times New Roman" w:eastAsia="Times New Roman" w:hAnsi="Times New Roman"/>
                <w:sz w:val="10"/>
                <w:szCs w:val="10"/>
                <w:color w:val="auto"/>
                <w:w w:val="96"/>
              </w:rPr>
              <w:t>08/31/2027</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9.68 %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SOFR+535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16,828</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16,677</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16,828</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Dr. Squatch, LLC (Revolver) </w:t>
            </w:r>
            <w:r>
              <w:rPr>
                <w:rFonts w:ascii="Times New Roman" w:cs="Times New Roman" w:eastAsia="Times New Roman" w:hAnsi="Times New Roman"/>
                <w:sz w:val="12"/>
                <w:szCs w:val="12"/>
                <w:color w:val="auto"/>
                <w:vertAlign w:val="superscript"/>
              </w:rPr>
              <w:t>(6), (8)</w:t>
            </w:r>
          </w:p>
        </w:tc>
        <w:tc>
          <w:tcPr>
            <w:tcW w:w="134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6"/>
              </w:rPr>
              <w:t>08/31/2027</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3,353</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1340" w:type="dxa"/>
            <w:vAlign w:val="bottom"/>
            <w:shd w:val="clear" w:color="auto" w:fill="CCECFF"/>
          </w:tcPr>
          <w:p>
            <w:pPr>
              <w:jc w:val="center"/>
              <w:ind w:left="532"/>
              <w:spacing w:after="0"/>
              <w:rPr>
                <w:sz w:val="20"/>
                <w:szCs w:val="20"/>
                <w:color w:val="auto"/>
              </w:rPr>
            </w:pPr>
            <w:r>
              <w:rPr>
                <w:rFonts w:ascii="Times New Roman" w:cs="Times New Roman" w:eastAsia="Times New Roman" w:hAnsi="Times New Roman"/>
                <w:sz w:val="10"/>
                <w:szCs w:val="10"/>
                <w:color w:val="auto"/>
                <w:w w:val="96"/>
              </w:rPr>
              <w:t>11/03/2025</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10.71 %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SOFR+635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15,435</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15,384</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15,373</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DRS Holdings III, Inc. (Revolver) </w:t>
            </w:r>
            <w:r>
              <w:rPr>
                <w:rFonts w:ascii="Times New Roman" w:cs="Times New Roman" w:eastAsia="Times New Roman" w:hAnsi="Times New Roman"/>
                <w:sz w:val="12"/>
                <w:szCs w:val="12"/>
                <w:color w:val="auto"/>
                <w:vertAlign w:val="superscript"/>
              </w:rPr>
              <w:t>(6), (8)</w:t>
            </w:r>
          </w:p>
        </w:tc>
        <w:tc>
          <w:tcPr>
            <w:tcW w:w="134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6"/>
              </w:rPr>
              <w:t>11/03/2025</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1,426</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(6 )</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Duggal Acquisition, LLC</w:t>
            </w:r>
          </w:p>
        </w:tc>
        <w:tc>
          <w:tcPr>
            <w:tcW w:w="1340" w:type="dxa"/>
            <w:vAlign w:val="bottom"/>
            <w:shd w:val="clear" w:color="auto" w:fill="CCECFF"/>
          </w:tcPr>
          <w:p>
            <w:pPr>
              <w:jc w:val="center"/>
              <w:ind w:left="532"/>
              <w:spacing w:after="0"/>
              <w:rPr>
                <w:sz w:val="20"/>
                <w:szCs w:val="20"/>
                <w:color w:val="auto"/>
              </w:rPr>
            </w:pPr>
            <w:r>
              <w:rPr>
                <w:rFonts w:ascii="Times New Roman" w:cs="Times New Roman" w:eastAsia="Times New Roman" w:hAnsi="Times New Roman"/>
                <w:sz w:val="10"/>
                <w:szCs w:val="10"/>
                <w:color w:val="auto"/>
                <w:w w:val="96"/>
              </w:rPr>
              <w:t>09/30/2030</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9.08 %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SOFR+475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10,295</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10,194</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10,192</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Duggal Acquisition, LLC - Unfunded Term Loan </w:t>
            </w:r>
            <w:r>
              <w:rPr>
                <w:rFonts w:ascii="Times New Roman" w:cs="Times New Roman" w:eastAsia="Times New Roman" w:hAnsi="Times New Roman"/>
                <w:sz w:val="12"/>
                <w:szCs w:val="12"/>
                <w:color w:val="auto"/>
                <w:vertAlign w:val="superscript"/>
              </w:rPr>
              <w:t>(8)</w:t>
            </w:r>
          </w:p>
        </w:tc>
        <w:tc>
          <w:tcPr>
            <w:tcW w:w="134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6"/>
              </w:rPr>
              <w:t>09/30/2026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4,470</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DUGGAL Acquisition, LLC - Funded Revolver</w:t>
            </w:r>
          </w:p>
        </w:tc>
        <w:tc>
          <w:tcPr>
            <w:tcW w:w="1340" w:type="dxa"/>
            <w:vAlign w:val="bottom"/>
            <w:shd w:val="clear" w:color="auto" w:fill="CCECFF"/>
          </w:tcPr>
          <w:p>
            <w:pPr>
              <w:jc w:val="center"/>
              <w:ind w:left="532"/>
              <w:spacing w:after="0"/>
              <w:rPr>
                <w:sz w:val="20"/>
                <w:szCs w:val="20"/>
                <w:color w:val="auto"/>
              </w:rPr>
            </w:pPr>
            <w:r>
              <w:rPr>
                <w:rFonts w:ascii="Times New Roman" w:cs="Times New Roman" w:eastAsia="Times New Roman" w:hAnsi="Times New Roman"/>
                <w:sz w:val="10"/>
                <w:szCs w:val="10"/>
                <w:color w:val="auto"/>
                <w:w w:val="96"/>
              </w:rPr>
              <w:t>09/30/2030</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9.08 %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SOFR+475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1,121</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1,121</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1,110</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Duggal Acquisition, LLC - Unfunded Revolver </w:t>
            </w:r>
            <w:r>
              <w:rPr>
                <w:rFonts w:ascii="Times New Roman" w:cs="Times New Roman" w:eastAsia="Times New Roman" w:hAnsi="Times New Roman"/>
                <w:sz w:val="12"/>
                <w:szCs w:val="12"/>
                <w:color w:val="auto"/>
                <w:vertAlign w:val="superscript"/>
              </w:rPr>
              <w:t>(8)</w:t>
            </w:r>
          </w:p>
        </w:tc>
        <w:tc>
          <w:tcPr>
            <w:tcW w:w="134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6"/>
              </w:rPr>
              <w:t>09/30/2030</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4,484</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(45 )</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Dynata, LLC - First-Out Term Loan</w:t>
            </w:r>
          </w:p>
        </w:tc>
        <w:tc>
          <w:tcPr>
            <w:tcW w:w="1340" w:type="dxa"/>
            <w:vAlign w:val="bottom"/>
            <w:shd w:val="clear" w:color="auto" w:fill="CCECFF"/>
          </w:tcPr>
          <w:p>
            <w:pPr>
              <w:jc w:val="center"/>
              <w:ind w:left="532"/>
              <w:spacing w:after="0"/>
              <w:rPr>
                <w:sz w:val="20"/>
                <w:szCs w:val="20"/>
                <w:color w:val="auto"/>
              </w:rPr>
            </w:pPr>
            <w:r>
              <w:rPr>
                <w:rFonts w:ascii="Times New Roman" w:cs="Times New Roman" w:eastAsia="Times New Roman" w:hAnsi="Times New Roman"/>
                <w:sz w:val="10"/>
                <w:szCs w:val="10"/>
                <w:color w:val="auto"/>
                <w:w w:val="96"/>
              </w:rPr>
              <w:t>10/16/2028</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9.79 %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SOFR+526</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1,851</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1,728</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1,851</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Dynata, LLC - Last-Out Term Loan</w:t>
            </w:r>
          </w:p>
        </w:tc>
        <w:tc>
          <w:tcPr>
            <w:tcW w:w="134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6"/>
              </w:rPr>
              <w:t>10/15/2028</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10.29 %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SOFR+576</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11,486</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11,486</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10,653</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Emergency Care Partners, LLC</w:t>
            </w:r>
          </w:p>
        </w:tc>
        <w:tc>
          <w:tcPr>
            <w:tcW w:w="1340" w:type="dxa"/>
            <w:vAlign w:val="bottom"/>
            <w:shd w:val="clear" w:color="auto" w:fill="CCECFF"/>
          </w:tcPr>
          <w:p>
            <w:pPr>
              <w:jc w:val="center"/>
              <w:ind w:left="532"/>
              <w:spacing w:after="0"/>
              <w:rPr>
                <w:sz w:val="20"/>
                <w:szCs w:val="20"/>
                <w:color w:val="auto"/>
              </w:rPr>
            </w:pPr>
            <w:r>
              <w:rPr>
                <w:rFonts w:ascii="Times New Roman" w:cs="Times New Roman" w:eastAsia="Times New Roman" w:hAnsi="Times New Roman"/>
                <w:sz w:val="10"/>
                <w:szCs w:val="10"/>
                <w:color w:val="auto"/>
                <w:w w:val="96"/>
              </w:rPr>
              <w:t>10/18/2027</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Healthcare Providers and Services</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10.13 %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SOFR+550</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13,736</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13,638</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13,633</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Emergency Care Partners, LLC - Unfunded Term Loan </w:t>
            </w:r>
            <w:r>
              <w:rPr>
                <w:rFonts w:ascii="Times New Roman" w:cs="Times New Roman" w:eastAsia="Times New Roman" w:hAnsi="Times New Roman"/>
                <w:sz w:val="12"/>
                <w:szCs w:val="12"/>
                <w:color w:val="auto"/>
                <w:vertAlign w:val="superscript"/>
              </w:rPr>
              <w:t>(8)</w:t>
            </w:r>
          </w:p>
        </w:tc>
        <w:tc>
          <w:tcPr>
            <w:tcW w:w="134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6"/>
              </w:rPr>
              <w:t>04/18/2026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Healthcare Providers and Services</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6,172</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(46 )</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Emergency Care Partners, LLC - Unfunded Revolver </w:t>
            </w:r>
            <w:r>
              <w:rPr>
                <w:rFonts w:ascii="Times New Roman" w:cs="Times New Roman" w:eastAsia="Times New Roman" w:hAnsi="Times New Roman"/>
                <w:sz w:val="12"/>
                <w:szCs w:val="12"/>
                <w:color w:val="auto"/>
                <w:vertAlign w:val="superscript"/>
              </w:rPr>
              <w:t>(8)</w:t>
            </w:r>
          </w:p>
        </w:tc>
        <w:tc>
          <w:tcPr>
            <w:tcW w:w="1340" w:type="dxa"/>
            <w:vAlign w:val="bottom"/>
            <w:shd w:val="clear" w:color="auto" w:fill="CCECFF"/>
          </w:tcPr>
          <w:p>
            <w:pPr>
              <w:jc w:val="center"/>
              <w:ind w:left="532"/>
              <w:spacing w:after="0"/>
              <w:rPr>
                <w:sz w:val="20"/>
                <w:szCs w:val="20"/>
                <w:color w:val="auto"/>
              </w:rPr>
            </w:pPr>
            <w:r>
              <w:rPr>
                <w:rFonts w:ascii="Times New Roman" w:cs="Times New Roman" w:eastAsia="Times New Roman" w:hAnsi="Times New Roman"/>
                <w:sz w:val="10"/>
                <w:szCs w:val="10"/>
                <w:color w:val="auto"/>
                <w:w w:val="96"/>
              </w:rPr>
              <w:t>10/18/2027</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Healthcare Providers and Services</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1,810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(14 )</w:t>
            </w:r>
          </w:p>
        </w:tc>
        <w:tc>
          <w:tcPr>
            <w:tcW w:w="0" w:type="dxa"/>
            <w:vAlign w:val="bottom"/>
          </w:tcPr>
          <w:p>
            <w:pPr>
              <w:spacing w:after="0"/>
              <w:rPr>
                <w:sz w:val="1"/>
                <w:szCs w:val="1"/>
                <w:color w:val="auto"/>
              </w:rPr>
            </w:pPr>
          </w:p>
        </w:tc>
      </w:tr>
      <w:tr>
        <w:trPr>
          <w:trHeight w:val="120"/>
        </w:trPr>
        <w:tc>
          <w:tcPr>
            <w:tcW w:w="29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134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6"/>
              </w:rPr>
              <w:t>01/10/2029</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10.08 %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10,646</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10,524</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10,566</w:t>
            </w:r>
          </w:p>
        </w:tc>
        <w:tc>
          <w:tcPr>
            <w:tcW w:w="0" w:type="dxa"/>
            <w:vAlign w:val="bottom"/>
          </w:tcPr>
          <w:p>
            <w:pPr>
              <w:spacing w:after="0"/>
              <w:rPr>
                <w:sz w:val="1"/>
                <w:szCs w:val="1"/>
                <w:color w:val="auto"/>
              </w:rPr>
            </w:pPr>
          </w:p>
        </w:tc>
      </w:tr>
      <w:tr>
        <w:trPr>
          <w:trHeight w:val="121"/>
        </w:trPr>
        <w:tc>
          <w:tcPr>
            <w:tcW w:w="2980" w:type="dxa"/>
            <w:vAlign w:val="bottom"/>
            <w:shd w:val="clear" w:color="auto" w:fill="CCECFF"/>
          </w:tcPr>
          <w:p>
            <w:pPr>
              <w:spacing w:after="0"/>
              <w:rPr>
                <w:sz w:val="10"/>
                <w:szCs w:val="10"/>
                <w:color w:val="auto"/>
              </w:rPr>
            </w:pPr>
          </w:p>
        </w:tc>
        <w:tc>
          <w:tcPr>
            <w:tcW w:w="1340" w:type="dxa"/>
            <w:vAlign w:val="bottom"/>
            <w:shd w:val="clear" w:color="auto" w:fill="CCECFF"/>
          </w:tcPr>
          <w:p>
            <w:pPr>
              <w:spacing w:after="0"/>
              <w:rPr>
                <w:sz w:val="10"/>
                <w:szCs w:val="10"/>
                <w:color w:val="auto"/>
              </w:rPr>
            </w:pP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9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EDS Buyer, LLC. (Revolver) </w:t>
            </w:r>
            <w:r>
              <w:rPr>
                <w:rFonts w:ascii="Times New Roman" w:cs="Times New Roman" w:eastAsia="Times New Roman" w:hAnsi="Times New Roman"/>
                <w:sz w:val="12"/>
                <w:szCs w:val="12"/>
                <w:color w:val="auto"/>
                <w:vertAlign w:val="superscript"/>
              </w:rPr>
              <w:t>(6), (8)</w:t>
            </w:r>
          </w:p>
        </w:tc>
        <w:tc>
          <w:tcPr>
            <w:tcW w:w="1340" w:type="dxa"/>
            <w:vAlign w:val="bottom"/>
            <w:shd w:val="clear" w:color="auto" w:fill="CCECFF"/>
          </w:tcPr>
          <w:p>
            <w:pPr>
              <w:jc w:val="center"/>
              <w:ind w:left="532"/>
              <w:spacing w:after="0"/>
              <w:rPr>
                <w:sz w:val="20"/>
                <w:szCs w:val="20"/>
                <w:color w:val="auto"/>
              </w:rPr>
            </w:pPr>
            <w:r>
              <w:rPr>
                <w:rFonts w:ascii="Times New Roman" w:cs="Times New Roman" w:eastAsia="Times New Roman" w:hAnsi="Times New Roman"/>
                <w:sz w:val="10"/>
                <w:szCs w:val="10"/>
                <w:color w:val="auto"/>
                <w:w w:val="96"/>
              </w:rPr>
              <w:t>01/10/2029</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2,298</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(17 )</w:t>
            </w:r>
          </w:p>
        </w:tc>
        <w:tc>
          <w:tcPr>
            <w:tcW w:w="0" w:type="dxa"/>
            <w:vAlign w:val="bottom"/>
          </w:tcPr>
          <w:p>
            <w:pPr>
              <w:spacing w:after="0"/>
              <w:rPr>
                <w:sz w:val="1"/>
                <w:szCs w:val="1"/>
                <w:color w:val="auto"/>
              </w:rPr>
            </w:pPr>
          </w:p>
        </w:tc>
      </w:tr>
    </w:tbl>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0"/>
        </w:trPr>
        <w:tc>
          <w:tcPr>
            <w:tcW w:w="3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8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2"/>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0"/>
                <w:szCs w:val="10"/>
                <w:b w:val="1"/>
                <w:bCs w:val="1"/>
                <w:color w:val="auto"/>
                <w:w w:val="92"/>
              </w:rPr>
              <w:t>Maturity</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88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80" w:type="dxa"/>
            <w:vAlign w:val="bottom"/>
          </w:tcPr>
          <w:p>
            <w:pPr>
              <w:jc w:val="center"/>
              <w:ind w:right="9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7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840" w:type="dxa"/>
            <w:vAlign w:val="bottom"/>
          </w:tcPr>
          <w:p>
            <w:pPr>
              <w:jc w:val="right"/>
              <w:ind w:right="11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Efficient Collaborative Retail Marketing Company, LLC</w:t>
            </w: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06/15/2025</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12.09 %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SOFR+776</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8,207</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8,228</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6,566</w:t>
            </w:r>
          </w:p>
        </w:tc>
      </w:tr>
      <w:tr>
        <w:trPr>
          <w:trHeight w:val="120"/>
        </w:trPr>
        <w:tc>
          <w:tcPr>
            <w:tcW w:w="3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(PIK 1.50%)</w:t>
            </w: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ETE Intermediate II, LLC - Funded Revolver</w:t>
            </w:r>
          </w:p>
        </w:tc>
        <w:tc>
          <w:tcPr>
            <w:tcW w:w="94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05/25/2029</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10.83 %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SOFR+650</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1,436</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1,436</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1,436</w:t>
            </w:r>
          </w:p>
        </w:tc>
      </w:tr>
      <w:tr>
        <w:trPr>
          <w:trHeight w:val="120"/>
        </w:trPr>
        <w:tc>
          <w:tcPr>
            <w:tcW w:w="34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ETE Intermediate II, LLC - Unfunded Revolver </w:t>
            </w:r>
            <w:r>
              <w:rPr>
                <w:rFonts w:ascii="Times New Roman" w:cs="Times New Roman" w:eastAsia="Times New Roman" w:hAnsi="Times New Roman"/>
                <w:sz w:val="12"/>
                <w:szCs w:val="12"/>
                <w:color w:val="auto"/>
                <w:vertAlign w:val="superscript"/>
              </w:rPr>
              <w:t>(8)</w:t>
            </w: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05/25/2029</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994</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Events Buyer, LLC</w:t>
            </w:r>
          </w:p>
        </w:tc>
        <w:tc>
          <w:tcPr>
            <w:tcW w:w="94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12/17/2029</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Event Services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10.10 %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11,380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11,268</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11,266</w:t>
            </w:r>
          </w:p>
        </w:tc>
      </w:tr>
      <w:tr>
        <w:trPr>
          <w:trHeight w:val="120"/>
        </w:trPr>
        <w:tc>
          <w:tcPr>
            <w:tcW w:w="34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Events Buyer, LLC- Unfunded Term Loan A </w:t>
            </w:r>
            <w:r>
              <w:rPr>
                <w:rFonts w:ascii="Times New Roman" w:cs="Times New Roman" w:eastAsia="Times New Roman" w:hAnsi="Times New Roman"/>
                <w:sz w:val="12"/>
                <w:szCs w:val="12"/>
                <w:color w:val="auto"/>
                <w:vertAlign w:val="superscript"/>
              </w:rPr>
              <w:t>(8)</w:t>
            </w: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06/17/2025</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Event Services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10,358</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Events Buyer, LLC- Unfunded Term Loan B </w:t>
            </w:r>
            <w:r>
              <w:rPr>
                <w:rFonts w:ascii="Times New Roman" w:cs="Times New Roman" w:eastAsia="Times New Roman" w:hAnsi="Times New Roman"/>
                <w:sz w:val="12"/>
                <w:szCs w:val="12"/>
                <w:color w:val="auto"/>
                <w:vertAlign w:val="superscript"/>
              </w:rPr>
              <w:t>(8)</w:t>
            </w:r>
          </w:p>
        </w:tc>
        <w:tc>
          <w:tcPr>
            <w:tcW w:w="94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12/17/2026</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Event Services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9,865</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Events Buyer, LLC - Unfunded Revolver </w:t>
            </w:r>
            <w:r>
              <w:rPr>
                <w:rFonts w:ascii="Times New Roman" w:cs="Times New Roman" w:eastAsia="Times New Roman" w:hAnsi="Times New Roman"/>
                <w:sz w:val="12"/>
                <w:szCs w:val="12"/>
                <w:color w:val="auto"/>
                <w:vertAlign w:val="superscript"/>
              </w:rPr>
              <w:t>(8)</w:t>
            </w: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12/17/2029</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Event Services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2,466</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Eval Home Health Solutions Intermediate, LLC</w:t>
            </w:r>
          </w:p>
        </w:tc>
        <w:tc>
          <w:tcPr>
            <w:tcW w:w="94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05/10/2030</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10.11 %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14,455</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14,242</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14,311</w:t>
            </w:r>
          </w:p>
        </w:tc>
      </w:tr>
      <w:tr>
        <w:trPr>
          <w:trHeight w:val="120"/>
        </w:trPr>
        <w:tc>
          <w:tcPr>
            <w:tcW w:w="34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Eval Home Health Solutions Intermediate, LLC - Unfunded Revolver </w:t>
            </w:r>
            <w:r>
              <w:rPr>
                <w:rFonts w:ascii="Times New Roman" w:cs="Times New Roman" w:eastAsia="Times New Roman" w:hAnsi="Times New Roman"/>
                <w:sz w:val="12"/>
                <w:szCs w:val="12"/>
                <w:color w:val="auto"/>
                <w:vertAlign w:val="superscript"/>
              </w:rPr>
              <w:t>(8)</w:t>
            </w: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05/10/2030</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2,640</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(26 )</w:t>
            </w:r>
          </w:p>
        </w:tc>
      </w:tr>
      <w:tr>
        <w:trPr>
          <w:trHeight w:val="120"/>
        </w:trPr>
        <w:tc>
          <w:tcPr>
            <w:tcW w:w="34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Exigo Intermediate II, LLC (Revolver) </w:t>
            </w:r>
            <w:r>
              <w:rPr>
                <w:rFonts w:ascii="Times New Roman" w:cs="Times New Roman" w:eastAsia="Times New Roman" w:hAnsi="Times New Roman"/>
                <w:sz w:val="12"/>
                <w:szCs w:val="12"/>
                <w:color w:val="auto"/>
                <w:vertAlign w:val="superscript"/>
              </w:rPr>
              <w:t>(8)</w:t>
            </w:r>
          </w:p>
        </w:tc>
        <w:tc>
          <w:tcPr>
            <w:tcW w:w="94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03/15/2027</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689</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06/23/2028</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9.05 %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SOFR+450</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992</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988</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997</w:t>
            </w: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Five Star Buyer, Inc.</w:t>
            </w:r>
          </w:p>
        </w:tc>
        <w:tc>
          <w:tcPr>
            <w:tcW w:w="94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02/23/2028</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11.44 %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SOFR+710</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4,437</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4,377</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4,403</w:t>
            </w:r>
          </w:p>
        </w:tc>
      </w:tr>
      <w:tr>
        <w:trPr>
          <w:trHeight w:val="120"/>
        </w:trPr>
        <w:tc>
          <w:tcPr>
            <w:tcW w:w="34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Five Star Buyer, Inc. (Revolver) </w:t>
            </w:r>
            <w:r>
              <w:rPr>
                <w:rFonts w:ascii="Times New Roman" w:cs="Times New Roman" w:eastAsia="Times New Roman" w:hAnsi="Times New Roman"/>
                <w:sz w:val="12"/>
                <w:szCs w:val="12"/>
                <w:color w:val="auto"/>
                <w:vertAlign w:val="superscript"/>
              </w:rPr>
              <w:t>(8)</w:t>
            </w: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02/23/2028</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741</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(6 )</w:t>
            </w: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ETE Blocker, LLC - Promissory Note</w:t>
            </w:r>
          </w:p>
        </w:tc>
        <w:tc>
          <w:tcPr>
            <w:tcW w:w="94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05/19/2029</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12.56 %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215</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215</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215</w:t>
            </w: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GGG MIDCO, LLC</w:t>
            </w: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09/27/2030</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9.33 %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SOFR+500</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25,704</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25,456</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25,447</w:t>
            </w:r>
          </w:p>
        </w:tc>
      </w:tr>
      <w:tr>
        <w:trPr>
          <w:trHeight w:val="120"/>
        </w:trPr>
        <w:tc>
          <w:tcPr>
            <w:tcW w:w="34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GGG MIDCO, LLC - Unfunded Term Loan </w:t>
            </w:r>
            <w:r>
              <w:rPr>
                <w:rFonts w:ascii="Times New Roman" w:cs="Times New Roman" w:eastAsia="Times New Roman" w:hAnsi="Times New Roman"/>
                <w:sz w:val="12"/>
                <w:szCs w:val="12"/>
                <w:color w:val="auto"/>
                <w:vertAlign w:val="superscript"/>
              </w:rPr>
              <w:t>(8)</w:t>
            </w:r>
          </w:p>
        </w:tc>
        <w:tc>
          <w:tcPr>
            <w:tcW w:w="94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03/27/2026</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14,460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56"/>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GGG MIDCO, LLC – Unfunded Revolver </w:t>
            </w:r>
            <w:r>
              <w:rPr>
                <w:rFonts w:ascii="Times New Roman" w:cs="Times New Roman" w:eastAsia="Times New Roman" w:hAnsi="Times New Roman"/>
                <w:sz w:val="12"/>
                <w:szCs w:val="12"/>
                <w:color w:val="auto"/>
                <w:vertAlign w:val="superscript"/>
              </w:rPr>
              <w:t>(8)</w:t>
            </w: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09/27/2030</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1,311</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line="156" w:lineRule="exact"/>
              <w:rPr>
                <w:sz w:val="20"/>
                <w:szCs w:val="20"/>
                <w:color w:val="auto"/>
              </w:rPr>
            </w:pPr>
            <w:r>
              <w:rPr>
                <w:rFonts w:ascii="Times New Roman" w:cs="Times New Roman" w:eastAsia="Times New Roman" w:hAnsi="Times New Roman"/>
                <w:sz w:val="9"/>
                <w:szCs w:val="9"/>
                <w:color w:val="auto"/>
              </w:rPr>
              <w:t xml:space="preserve">(13 </w:t>
            </w:r>
            <w:r>
              <w:rPr>
                <w:rFonts w:ascii="Times New Roman" w:cs="Times New Roman" w:eastAsia="Times New Roman" w:hAnsi="Times New Roman"/>
                <w:sz w:val="18"/>
                <w:szCs w:val="18"/>
                <w:color w:val="auto"/>
                <w:vertAlign w:val="superscript"/>
              </w:rPr>
              <w:t>)</w:t>
            </w: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94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03/16/2026</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9.98 %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SOFR+560</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4,882</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4,832</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4,686</w:t>
            </w: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08/10/2027</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10.12 %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SOFR+560</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1,347</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1,338</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1,327</w:t>
            </w:r>
          </w:p>
        </w:tc>
      </w:tr>
      <w:tr>
        <w:trPr>
          <w:trHeight w:val="120"/>
        </w:trPr>
        <w:tc>
          <w:tcPr>
            <w:tcW w:w="34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Graffiti Buyer, Inc. - Unfunded Term Loan </w:t>
            </w:r>
            <w:r>
              <w:rPr>
                <w:rFonts w:ascii="Times New Roman" w:cs="Times New Roman" w:eastAsia="Times New Roman" w:hAnsi="Times New Roman"/>
                <w:sz w:val="12"/>
                <w:szCs w:val="12"/>
                <w:color w:val="auto"/>
                <w:vertAlign w:val="superscript"/>
              </w:rPr>
              <w:t>(8)</w:t>
            </w:r>
          </w:p>
        </w:tc>
        <w:tc>
          <w:tcPr>
            <w:tcW w:w="94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08/10/2027</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984</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(7 )</w:t>
            </w: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Graffiti Buyer, Inc. (Revolver)</w:t>
            </w: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08/10/2027</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10.12 %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SOFR+560</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548</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548</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539</w:t>
            </w:r>
          </w:p>
        </w:tc>
      </w:tr>
      <w:tr>
        <w:trPr>
          <w:trHeight w:val="120"/>
        </w:trPr>
        <w:tc>
          <w:tcPr>
            <w:tcW w:w="34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Graffiti Buyer, Inc. (Revolver) </w:t>
            </w:r>
            <w:r>
              <w:rPr>
                <w:rFonts w:ascii="Times New Roman" w:cs="Times New Roman" w:eastAsia="Times New Roman" w:hAnsi="Times New Roman"/>
                <w:sz w:val="12"/>
                <w:szCs w:val="12"/>
                <w:color w:val="auto"/>
                <w:vertAlign w:val="superscript"/>
              </w:rPr>
              <w:t>(6), (8)</w:t>
            </w:r>
          </w:p>
        </w:tc>
        <w:tc>
          <w:tcPr>
            <w:tcW w:w="94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08/10/2027</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317</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(5 )</w:t>
            </w: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12/31/2026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9.93 %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SOFR+560</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3,993</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3,952</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3,993</w:t>
            </w:r>
          </w:p>
        </w:tc>
      </w:tr>
      <w:tr>
        <w:trPr>
          <w:trHeight w:val="120"/>
        </w:trPr>
        <w:tc>
          <w:tcPr>
            <w:tcW w:w="34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Hancock Roofing and Construction L.L.C. (Revolver) </w:t>
            </w:r>
            <w:r>
              <w:rPr>
                <w:rFonts w:ascii="Times New Roman" w:cs="Times New Roman" w:eastAsia="Times New Roman" w:hAnsi="Times New Roman"/>
                <w:sz w:val="12"/>
                <w:szCs w:val="12"/>
                <w:color w:val="auto"/>
                <w:vertAlign w:val="superscript"/>
              </w:rPr>
              <w:t>(6)</w:t>
            </w:r>
          </w:p>
        </w:tc>
        <w:tc>
          <w:tcPr>
            <w:tcW w:w="94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12/31/2026</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9.96 %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SOFR+560</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680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680</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680</w:t>
            </w:r>
          </w:p>
        </w:tc>
      </w:tr>
      <w:tr>
        <w:trPr>
          <w:trHeight w:val="120"/>
        </w:trPr>
        <w:tc>
          <w:tcPr>
            <w:tcW w:w="34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Hancock Roofing and Construction L.L.C. (Revolver) </w:t>
            </w:r>
            <w:r>
              <w:rPr>
                <w:rFonts w:ascii="Times New Roman" w:cs="Times New Roman" w:eastAsia="Times New Roman" w:hAnsi="Times New Roman"/>
                <w:sz w:val="12"/>
                <w:szCs w:val="12"/>
                <w:color w:val="auto"/>
                <w:vertAlign w:val="superscript"/>
              </w:rPr>
              <w:t>(6), (8)</w:t>
            </w: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12/31/2026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70</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Harris &amp; Co. LLC</w:t>
            </w:r>
          </w:p>
        </w:tc>
        <w:tc>
          <w:tcPr>
            <w:tcW w:w="94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08/09/2030</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9.36 %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SOFR+500</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28,062</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27,825</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28,062</w:t>
            </w:r>
          </w:p>
        </w:tc>
      </w:tr>
      <w:tr>
        <w:trPr>
          <w:trHeight w:val="120"/>
        </w:trPr>
        <w:tc>
          <w:tcPr>
            <w:tcW w:w="34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Harris &amp; Co. LLC. - Unfunded Term Loan A </w:t>
            </w:r>
            <w:r>
              <w:rPr>
                <w:rFonts w:ascii="Times New Roman" w:cs="Times New Roman" w:eastAsia="Times New Roman" w:hAnsi="Times New Roman"/>
                <w:sz w:val="12"/>
                <w:szCs w:val="12"/>
                <w:color w:val="auto"/>
                <w:vertAlign w:val="superscript"/>
              </w:rPr>
              <w:t>(8)</w:t>
            </w: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02/09/2025</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23,273</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204</w:t>
            </w:r>
          </w:p>
        </w:tc>
      </w:tr>
      <w:tr>
        <w:trPr>
          <w:trHeight w:val="120"/>
        </w:trPr>
        <w:tc>
          <w:tcPr>
            <w:tcW w:w="34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Harris &amp; Co. LLC. - Unfunded Term Loan B </w:t>
            </w:r>
            <w:r>
              <w:rPr>
                <w:rFonts w:ascii="Times New Roman" w:cs="Times New Roman" w:eastAsia="Times New Roman" w:hAnsi="Times New Roman"/>
                <w:sz w:val="12"/>
                <w:szCs w:val="12"/>
                <w:color w:val="auto"/>
                <w:vertAlign w:val="superscript"/>
              </w:rPr>
              <w:t>(8)</w:t>
            </w:r>
          </w:p>
        </w:tc>
        <w:tc>
          <w:tcPr>
            <w:tcW w:w="94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02/09/2026</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50,296</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440</w:t>
            </w: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Harris &amp; Co. LLC - Funded Revolver</w:t>
            </w: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08/09/2030</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9.36 %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SOFR+500</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1,110</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1,110</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1,110</w:t>
            </w:r>
          </w:p>
        </w:tc>
      </w:tr>
      <w:tr>
        <w:trPr>
          <w:trHeight w:val="120"/>
        </w:trPr>
        <w:tc>
          <w:tcPr>
            <w:tcW w:w="34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Harris &amp; Co. LLC - Unfunded Revolver </w:t>
            </w:r>
            <w:r>
              <w:rPr>
                <w:rFonts w:ascii="Times New Roman" w:cs="Times New Roman" w:eastAsia="Times New Roman" w:hAnsi="Times New Roman"/>
                <w:sz w:val="12"/>
                <w:szCs w:val="12"/>
                <w:color w:val="auto"/>
                <w:vertAlign w:val="superscript"/>
              </w:rPr>
              <w:t>(8)</w:t>
            </w:r>
          </w:p>
        </w:tc>
        <w:tc>
          <w:tcPr>
            <w:tcW w:w="94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08/09/2030</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6,290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HEC Purchaser Corp.</w:t>
            </w: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06/17/2029</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9.75 %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SOFR+550</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9,627</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9,518</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9,588</w:t>
            </w: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Hills Distribution Inc.</w:t>
            </w:r>
          </w:p>
        </w:tc>
        <w:tc>
          <w:tcPr>
            <w:tcW w:w="94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11/08/2029</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10.49 %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SOFR+600</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17,219</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17,016</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17,047</w:t>
            </w:r>
          </w:p>
        </w:tc>
      </w:tr>
      <w:tr>
        <w:trPr>
          <w:trHeight w:val="120"/>
        </w:trPr>
        <w:tc>
          <w:tcPr>
            <w:tcW w:w="34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Hills Distribution Inc. - Unfunded Term Loan </w:t>
            </w:r>
            <w:r>
              <w:rPr>
                <w:rFonts w:ascii="Times New Roman" w:cs="Times New Roman" w:eastAsia="Times New Roman" w:hAnsi="Times New Roman"/>
                <w:sz w:val="12"/>
                <w:szCs w:val="12"/>
                <w:color w:val="auto"/>
                <w:vertAlign w:val="superscript"/>
              </w:rPr>
              <w:t>(8)</w:t>
            </w: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11/07/2025</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1,514</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94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05/10/2026</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10.23 %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1M SOFR+590</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10,410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10,380</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10,410</w:t>
            </w:r>
          </w:p>
        </w:tc>
      </w:tr>
      <w:tr>
        <w:trPr>
          <w:trHeight w:val="120"/>
        </w:trPr>
        <w:tc>
          <w:tcPr>
            <w:tcW w:w="34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HW Holdco, LLC (Revolver) </w:t>
            </w:r>
            <w:r>
              <w:rPr>
                <w:rFonts w:ascii="Times New Roman" w:cs="Times New Roman" w:eastAsia="Times New Roman" w:hAnsi="Times New Roman"/>
                <w:sz w:val="12"/>
                <w:szCs w:val="12"/>
                <w:color w:val="auto"/>
                <w:vertAlign w:val="superscript"/>
              </w:rPr>
              <w:t>(6), (8)</w:t>
            </w: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05/10/2026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1,452</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IG Investments Holdings, LLC </w:t>
            </w:r>
            <w:r>
              <w:rPr>
                <w:rFonts w:ascii="Times New Roman" w:cs="Times New Roman" w:eastAsia="Times New Roman" w:hAnsi="Times New Roman"/>
                <w:sz w:val="12"/>
                <w:szCs w:val="12"/>
                <w:color w:val="auto"/>
                <w:vertAlign w:val="superscript"/>
              </w:rPr>
              <w:t>(6)</w:t>
            </w:r>
          </w:p>
        </w:tc>
        <w:tc>
          <w:tcPr>
            <w:tcW w:w="94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09/22/2028</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9.57 %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SOFR+500</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4,487</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4,434</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4,454</w:t>
            </w:r>
          </w:p>
        </w:tc>
      </w:tr>
      <w:tr>
        <w:trPr>
          <w:trHeight w:val="120"/>
        </w:trPr>
        <w:tc>
          <w:tcPr>
            <w:tcW w:w="34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IG Investments Holdings, LLC (Revolver) </w:t>
            </w:r>
            <w:r>
              <w:rPr>
                <w:rFonts w:ascii="Times New Roman" w:cs="Times New Roman" w:eastAsia="Times New Roman" w:hAnsi="Times New Roman"/>
                <w:sz w:val="12"/>
                <w:szCs w:val="12"/>
                <w:color w:val="auto"/>
                <w:vertAlign w:val="superscript"/>
              </w:rPr>
              <w:t>(6), (8)</w:t>
            </w: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09/22/2028</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722</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(5 )</w:t>
            </w: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Acquisitionco, LLC - Funded Revolver</w:t>
            </w:r>
          </w:p>
        </w:tc>
        <w:tc>
          <w:tcPr>
            <w:tcW w:w="94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11/16/2027</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9.55 %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SOFR+510</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60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60</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59</w:t>
            </w:r>
          </w:p>
        </w:tc>
      </w:tr>
      <w:tr>
        <w:trPr>
          <w:trHeight w:val="120"/>
        </w:trPr>
        <w:tc>
          <w:tcPr>
            <w:tcW w:w="34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Imagine Acquisitionco, LLC (Revolver) </w:t>
            </w:r>
            <w:r>
              <w:rPr>
                <w:rFonts w:ascii="Times New Roman" w:cs="Times New Roman" w:eastAsia="Times New Roman" w:hAnsi="Times New Roman"/>
                <w:sz w:val="12"/>
                <w:szCs w:val="12"/>
                <w:color w:val="auto"/>
                <w:vertAlign w:val="superscript"/>
              </w:rPr>
              <w:t>(8)</w:t>
            </w: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11/16/2027</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1,133</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(3 )</w:t>
            </w: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94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12/28/2028</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9.83 %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SOFR+550</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9,404</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9,331</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9,401</w:t>
            </w: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 (CAD)</w:t>
            </w: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12/28/2028</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9.83 %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SOFR+550</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1,717</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1,238</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1,194</w:t>
            </w:r>
          </w:p>
        </w:tc>
      </w:tr>
      <w:tr>
        <w:trPr>
          <w:trHeight w:val="120"/>
        </w:trPr>
        <w:tc>
          <w:tcPr>
            <w:tcW w:w="34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Infinity Home Services Holdco, Inc. - 3rd Amendment Unfunded Term Loan </w:t>
            </w:r>
            <w:r>
              <w:rPr>
                <w:rFonts w:ascii="Times New Roman" w:cs="Times New Roman" w:eastAsia="Times New Roman" w:hAnsi="Times New Roman"/>
                <w:sz w:val="12"/>
                <w:szCs w:val="12"/>
                <w:color w:val="auto"/>
                <w:vertAlign w:val="superscript"/>
              </w:rPr>
              <w:t>(8)</w:t>
            </w:r>
          </w:p>
        </w:tc>
        <w:tc>
          <w:tcPr>
            <w:tcW w:w="94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10/30/2026</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12,618</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 - Funded Revolver</w:t>
            </w: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12/28/2028</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12.00 %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SOFR+450</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161</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161</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161</w:t>
            </w:r>
          </w:p>
        </w:tc>
      </w:tr>
      <w:tr>
        <w:trPr>
          <w:trHeight w:val="120"/>
        </w:trPr>
        <w:tc>
          <w:tcPr>
            <w:tcW w:w="34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Infinity Home Services Holdco, Inc. - Unfunded Revolver </w:t>
            </w:r>
            <w:r>
              <w:rPr>
                <w:rFonts w:ascii="Times New Roman" w:cs="Times New Roman" w:eastAsia="Times New Roman" w:hAnsi="Times New Roman"/>
                <w:sz w:val="12"/>
                <w:szCs w:val="12"/>
                <w:color w:val="auto"/>
                <w:vertAlign w:val="superscript"/>
              </w:rPr>
              <w:t>(8)</w:t>
            </w:r>
          </w:p>
        </w:tc>
        <w:tc>
          <w:tcPr>
            <w:tcW w:w="94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12/28/2028</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1,130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Inovex Information Systems Incorporated</w:t>
            </w: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12/17/2030</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9.63 %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16,205</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16,084</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16,083</w:t>
            </w:r>
          </w:p>
        </w:tc>
      </w:tr>
      <w:tr>
        <w:trPr>
          <w:trHeight w:val="120"/>
        </w:trPr>
        <w:tc>
          <w:tcPr>
            <w:tcW w:w="34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Inovex Information Systems Incorporated - Unfunded Term Loan </w:t>
            </w:r>
            <w:r>
              <w:rPr>
                <w:rFonts w:ascii="Times New Roman" w:cs="Times New Roman" w:eastAsia="Times New Roman" w:hAnsi="Times New Roman"/>
                <w:sz w:val="12"/>
                <w:szCs w:val="12"/>
                <w:color w:val="auto"/>
                <w:vertAlign w:val="superscript"/>
              </w:rPr>
              <w:t>(8)</w:t>
            </w:r>
          </w:p>
        </w:tc>
        <w:tc>
          <w:tcPr>
            <w:tcW w:w="94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12/17/2026</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2,800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Inovex Information Systems Incorporated - Funded Revolver</w:t>
            </w: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12/17/2030</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9.61 %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980</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980</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980</w:t>
            </w:r>
          </w:p>
        </w:tc>
      </w:tr>
      <w:tr>
        <w:trPr>
          <w:trHeight w:val="120"/>
        </w:trPr>
        <w:tc>
          <w:tcPr>
            <w:tcW w:w="34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Inovex Information Systems Incorporated - Unfunded Revolver </w:t>
            </w:r>
            <w:r>
              <w:rPr>
                <w:rFonts w:ascii="Times New Roman" w:cs="Times New Roman" w:eastAsia="Times New Roman" w:hAnsi="Times New Roman"/>
                <w:sz w:val="12"/>
                <w:szCs w:val="12"/>
                <w:color w:val="auto"/>
                <w:vertAlign w:val="superscript"/>
              </w:rPr>
              <w:t>(8)</w:t>
            </w:r>
          </w:p>
        </w:tc>
        <w:tc>
          <w:tcPr>
            <w:tcW w:w="94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12/17/2030</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2,520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11/01/2026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9.83 %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SOFR+550</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5,331</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5,283</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5,331</w:t>
            </w:r>
          </w:p>
        </w:tc>
      </w:tr>
      <w:tr>
        <w:trPr>
          <w:trHeight w:val="120"/>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Integrative Nutrition, LLC</w:t>
            </w:r>
          </w:p>
        </w:tc>
        <w:tc>
          <w:tcPr>
            <w:tcW w:w="94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01/31/2025</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Consumer Services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11.45 %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SOFR+715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15,723</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15,695</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11,793</w:t>
            </w:r>
          </w:p>
        </w:tc>
      </w:tr>
      <w:tr>
        <w:trPr>
          <w:trHeight w:val="120"/>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ITI Holdings, Inc. (Revolver)</w:t>
            </w: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03/03/2028</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12.00 %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SOFR+450</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473</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473</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473</w:t>
            </w:r>
          </w:p>
        </w:tc>
      </w:tr>
      <w:tr>
        <w:trPr>
          <w:trHeight w:val="120"/>
        </w:trPr>
        <w:tc>
          <w:tcPr>
            <w:tcW w:w="34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ITI Holdings, Inc. (Revolver) </w:t>
            </w:r>
            <w:r>
              <w:rPr>
                <w:rFonts w:ascii="Times New Roman" w:cs="Times New Roman" w:eastAsia="Times New Roman" w:hAnsi="Times New Roman"/>
                <w:sz w:val="12"/>
                <w:szCs w:val="12"/>
                <w:color w:val="auto"/>
                <w:vertAlign w:val="superscript"/>
              </w:rPr>
              <w:t>(6), (8)</w:t>
            </w:r>
          </w:p>
        </w:tc>
        <w:tc>
          <w:tcPr>
            <w:tcW w:w="94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03/03/2028</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191</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4"/>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Inventus Power, Inc.</w:t>
            </w: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06/30/2025</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11.97 %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SOFR+761</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4,925</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4,894</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4,925</w:t>
            </w:r>
          </w:p>
        </w:tc>
      </w:tr>
    </w:tbl>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90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8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Maturity</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90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80" w:type="dxa"/>
            <w:vAlign w:val="bottom"/>
          </w:tcPr>
          <w:p>
            <w:pPr>
              <w:jc w:val="center"/>
              <w:ind w:right="9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7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840" w:type="dxa"/>
            <w:vAlign w:val="bottom"/>
          </w:tcPr>
          <w:p>
            <w:pPr>
              <w:jc w:val="right"/>
              <w:ind w:right="11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c>
          <w:tcPr>
            <w:tcW w:w="0" w:type="dxa"/>
            <w:vAlign w:val="bottom"/>
          </w:tcPr>
          <w:p>
            <w:pPr>
              <w:spacing w:after="0"/>
              <w:rPr>
                <w:sz w:val="1"/>
                <w:szCs w:val="1"/>
                <w:color w:val="auto"/>
              </w:rPr>
            </w:pPr>
          </w:p>
        </w:tc>
      </w:tr>
      <w:tr>
        <w:trPr>
          <w:trHeight w:val="121"/>
        </w:trPr>
        <w:tc>
          <w:tcPr>
            <w:tcW w:w="35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9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Inventus Power, Inc. - Unfunded Revolver </w:t>
            </w:r>
            <w:r>
              <w:rPr>
                <w:rFonts w:ascii="Times New Roman" w:cs="Times New Roman" w:eastAsia="Times New Roman" w:hAnsi="Times New Roman"/>
                <w:sz w:val="12"/>
                <w:szCs w:val="12"/>
                <w:color w:val="auto"/>
                <w:vertAlign w:val="superscript"/>
              </w:rPr>
              <w:t>(8)</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06/30/2025</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1,729</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Keel Platform,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01/19/2031</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Metals and Mining</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9.58 %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11,515</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11,362</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11,400</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Keel Platform, LLC - Unfunded Term Loan </w:t>
            </w:r>
            <w:r>
              <w:rPr>
                <w:rFonts w:ascii="Times New Roman" w:cs="Times New Roman" w:eastAsia="Times New Roman" w:hAnsi="Times New Roman"/>
                <w:sz w:val="12"/>
                <w:szCs w:val="12"/>
                <w:color w:val="auto"/>
                <w:vertAlign w:val="superscript"/>
              </w:rPr>
              <w:t>(8)</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01/19/2031</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Metals and Mining</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2,402</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(6 )</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11/10/2027</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10.48 %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SOFR+615</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13,971</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13,813</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13,971</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 - Funded Revolver</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11/10/2026</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10.48 %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SOFR+610</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1,717</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1,717</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1,717</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Kinetic Purchaser, LLC (Revolver) </w:t>
            </w:r>
            <w:r>
              <w:rPr>
                <w:rFonts w:ascii="Times New Roman" w:cs="Times New Roman" w:eastAsia="Times New Roman" w:hAnsi="Times New Roman"/>
                <w:sz w:val="12"/>
                <w:szCs w:val="12"/>
                <w:color w:val="auto"/>
                <w:vertAlign w:val="superscript"/>
              </w:rPr>
              <w:t>(6), (8)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11/10/2026</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1,717</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02/18/2027</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12.94 %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SOFR+785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10,927</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10,840</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10,763</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860" w:type="dxa"/>
            <w:vAlign w:val="bottom"/>
            <w:shd w:val="clear" w:color="auto" w:fill="CCECFF"/>
          </w:tcPr>
          <w:p>
            <w:pPr>
              <w:spacing w:after="0"/>
              <w:rPr>
                <w:sz w:val="10"/>
                <w:szCs w:val="10"/>
                <w:color w:val="auto"/>
              </w:rPr>
            </w:pPr>
          </w:p>
        </w:tc>
        <w:tc>
          <w:tcPr>
            <w:tcW w:w="90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(PIK 5.10%)</w:t>
            </w:r>
          </w:p>
        </w:tc>
        <w:tc>
          <w:tcPr>
            <w:tcW w:w="88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520" w:type="dxa"/>
            <w:vAlign w:val="bottom"/>
          </w:tcPr>
          <w:p>
            <w:pPr>
              <w:ind w:left="20"/>
              <w:spacing w:after="0" w:line="121" w:lineRule="exact"/>
              <w:rPr>
                <w:sz w:val="20"/>
                <w:szCs w:val="20"/>
                <w:color w:val="auto"/>
              </w:rPr>
            </w:pPr>
            <w:r>
              <w:rPr>
                <w:rFonts w:ascii="Times New Roman" w:cs="Times New Roman" w:eastAsia="Times New Roman" w:hAnsi="Times New Roman"/>
                <w:sz w:val="10"/>
                <w:szCs w:val="10"/>
                <w:color w:val="auto"/>
              </w:rPr>
              <w:t xml:space="preserve">Lash OpCo, LLC (Revolver) </w:t>
            </w:r>
            <w:r>
              <w:rPr>
                <w:rFonts w:ascii="Times New Roman" w:cs="Times New Roman" w:eastAsia="Times New Roman" w:hAnsi="Times New Roman"/>
                <w:sz w:val="12"/>
                <w:szCs w:val="12"/>
                <w:color w:val="auto"/>
                <w:vertAlign w:val="superscript"/>
              </w:rPr>
              <w:t>(6)</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08/16/2026</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12.94 %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1M SOFR+785</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2,870</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2,870</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2,827</w:t>
            </w:r>
          </w:p>
        </w:tc>
        <w:tc>
          <w:tcPr>
            <w:tcW w:w="0" w:type="dxa"/>
            <w:vAlign w:val="bottom"/>
          </w:tcPr>
          <w:p>
            <w:pPr>
              <w:spacing w:after="0"/>
              <w:rPr>
                <w:sz w:val="1"/>
                <w:szCs w:val="1"/>
                <w:color w:val="auto"/>
              </w:rPr>
            </w:pPr>
          </w:p>
        </w:tc>
      </w:tr>
      <w:tr>
        <w:trPr>
          <w:trHeight w:val="120"/>
        </w:trPr>
        <w:tc>
          <w:tcPr>
            <w:tcW w:w="3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9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(PIK 5.10%)</w:t>
            </w: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Lash OpCo, LLC (Revolver) </w:t>
            </w:r>
            <w:r>
              <w:rPr>
                <w:rFonts w:ascii="Times New Roman" w:cs="Times New Roman" w:eastAsia="Times New Roman" w:hAnsi="Times New Roman"/>
                <w:sz w:val="12"/>
                <w:szCs w:val="12"/>
                <w:color w:val="auto"/>
                <w:vertAlign w:val="superscript"/>
              </w:rPr>
              <w:t>(6), (8)</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08/16/2026</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335</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860" w:type="dxa"/>
            <w:vAlign w:val="bottom"/>
            <w:shd w:val="clear" w:color="auto" w:fill="CCECFF"/>
          </w:tcPr>
          <w:p>
            <w:pPr>
              <w:spacing w:after="0"/>
              <w:rPr>
                <w:sz w:val="10"/>
                <w:szCs w:val="10"/>
                <w:color w:val="auto"/>
              </w:rPr>
            </w:pPr>
          </w:p>
        </w:tc>
        <w:tc>
          <w:tcPr>
            <w:tcW w:w="90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(PIK 5.10%)</w:t>
            </w:r>
          </w:p>
        </w:tc>
        <w:tc>
          <w:tcPr>
            <w:tcW w:w="88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10.93 %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1M SOFR+640</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13,229</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13,226</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12,580</w:t>
            </w:r>
          </w:p>
        </w:tc>
        <w:tc>
          <w:tcPr>
            <w:tcW w:w="0" w:type="dxa"/>
            <w:vAlign w:val="bottom"/>
          </w:tcPr>
          <w:p>
            <w:pPr>
              <w:spacing w:after="0"/>
              <w:rPr>
                <w:sz w:val="1"/>
                <w:szCs w:val="1"/>
                <w:color w:val="auto"/>
              </w:rPr>
            </w:pPr>
          </w:p>
        </w:tc>
      </w:tr>
      <w:tr>
        <w:trPr>
          <w:trHeight w:val="120"/>
        </w:trPr>
        <w:tc>
          <w:tcPr>
            <w:tcW w:w="3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(PIK 10.98%)</w:t>
            </w: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LAV Gear Holdings, Inc. (Revolver) </w:t>
            </w:r>
            <w:r>
              <w:rPr>
                <w:rFonts w:ascii="Times New Roman" w:cs="Times New Roman" w:eastAsia="Times New Roman" w:hAnsi="Times New Roman"/>
                <w:sz w:val="12"/>
                <w:szCs w:val="12"/>
                <w:color w:val="auto"/>
                <w:vertAlign w:val="superscript"/>
              </w:rPr>
              <w:t>(6)</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10.93 %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1M SOFR+640</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1,721</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1,721</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1,636</w:t>
            </w:r>
          </w:p>
        </w:tc>
        <w:tc>
          <w:tcPr>
            <w:tcW w:w="0" w:type="dxa"/>
            <w:vAlign w:val="bottom"/>
          </w:tcPr>
          <w:p>
            <w:pPr>
              <w:spacing w:after="0"/>
              <w:rPr>
                <w:sz w:val="1"/>
                <w:szCs w:val="1"/>
                <w:color w:val="auto"/>
              </w:rPr>
            </w:pPr>
          </w:p>
        </w:tc>
      </w:tr>
      <w:tr>
        <w:trPr>
          <w:trHeight w:val="121"/>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Ledge Lounger,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11/09/2026</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11.98 %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SOFR+765</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3,674</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3,662</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3,490</w:t>
            </w:r>
          </w:p>
        </w:tc>
        <w:tc>
          <w:tcPr>
            <w:tcW w:w="0" w:type="dxa"/>
            <w:vAlign w:val="bottom"/>
          </w:tcPr>
          <w:p>
            <w:pPr>
              <w:spacing w:after="0"/>
              <w:rPr>
                <w:sz w:val="1"/>
                <w:szCs w:val="1"/>
                <w:color w:val="auto"/>
              </w:rPr>
            </w:pPr>
          </w:p>
        </w:tc>
      </w:tr>
      <w:tr>
        <w:trPr>
          <w:trHeight w:val="120"/>
        </w:trPr>
        <w:tc>
          <w:tcPr>
            <w:tcW w:w="3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9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(PIK 1.00%)</w:t>
            </w: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Ledge Lounger, Inc. (Revolver)</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11/09/2026</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11.98 %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SOFR+765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461</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461</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438</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860" w:type="dxa"/>
            <w:vAlign w:val="bottom"/>
            <w:shd w:val="clear" w:color="auto" w:fill="CCECFF"/>
          </w:tcPr>
          <w:p>
            <w:pPr>
              <w:spacing w:after="0"/>
              <w:rPr>
                <w:sz w:val="10"/>
                <w:szCs w:val="10"/>
                <w:color w:val="auto"/>
              </w:rPr>
            </w:pPr>
          </w:p>
        </w:tc>
        <w:tc>
          <w:tcPr>
            <w:tcW w:w="90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(PIK 1.00%)</w:t>
            </w:r>
          </w:p>
        </w:tc>
        <w:tc>
          <w:tcPr>
            <w:tcW w:w="88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520" w:type="dxa"/>
            <w:vAlign w:val="bottom"/>
          </w:tcPr>
          <w:p>
            <w:pPr>
              <w:ind w:left="20"/>
              <w:spacing w:after="0" w:line="121" w:lineRule="exact"/>
              <w:rPr>
                <w:sz w:val="20"/>
                <w:szCs w:val="20"/>
                <w:color w:val="auto"/>
              </w:rPr>
            </w:pPr>
            <w:r>
              <w:rPr>
                <w:rFonts w:ascii="Times New Roman" w:cs="Times New Roman" w:eastAsia="Times New Roman" w:hAnsi="Times New Roman"/>
                <w:sz w:val="10"/>
                <w:szCs w:val="10"/>
                <w:color w:val="auto"/>
              </w:rPr>
              <w:t xml:space="preserve">Ledge Lounger, Inc. (Revolver) </w:t>
            </w:r>
            <w:r>
              <w:rPr>
                <w:rFonts w:ascii="Times New Roman" w:cs="Times New Roman" w:eastAsia="Times New Roman" w:hAnsi="Times New Roman"/>
                <w:sz w:val="12"/>
                <w:szCs w:val="12"/>
                <w:color w:val="auto"/>
                <w:vertAlign w:val="superscript"/>
              </w:rPr>
              <w:t>(6), (8)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11/09/2026</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197</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(10 )</w:t>
            </w:r>
          </w:p>
        </w:tc>
        <w:tc>
          <w:tcPr>
            <w:tcW w:w="0" w:type="dxa"/>
            <w:vAlign w:val="bottom"/>
          </w:tcPr>
          <w:p>
            <w:pPr>
              <w:spacing w:after="0"/>
              <w:rPr>
                <w:sz w:val="1"/>
                <w:szCs w:val="1"/>
                <w:color w:val="auto"/>
              </w:rPr>
            </w:pPr>
          </w:p>
        </w:tc>
      </w:tr>
      <w:tr>
        <w:trPr>
          <w:trHeight w:val="120"/>
        </w:trPr>
        <w:tc>
          <w:tcPr>
            <w:tcW w:w="3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9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(PIK 1.00%)</w:t>
            </w: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02/03/2026</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9.40 %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1M SOFR+485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26,650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26,493</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26,383</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Lightspeed Buyer Inc. - Unfunded Term Loan </w:t>
            </w:r>
            <w:r>
              <w:rPr>
                <w:rFonts w:ascii="Times New Roman" w:cs="Times New Roman" w:eastAsia="Times New Roman" w:hAnsi="Times New Roman"/>
                <w:sz w:val="12"/>
                <w:szCs w:val="12"/>
                <w:color w:val="auto"/>
                <w:vertAlign w:val="superscript"/>
              </w:rPr>
              <w:t>(8)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06/02/2025</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2,326</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(23 )</w:t>
            </w:r>
          </w:p>
        </w:tc>
        <w:tc>
          <w:tcPr>
            <w:tcW w:w="0" w:type="dxa"/>
            <w:vAlign w:val="bottom"/>
          </w:tcPr>
          <w:p>
            <w:pPr>
              <w:spacing w:after="0"/>
              <w:rPr>
                <w:sz w:val="1"/>
                <w:szCs w:val="1"/>
                <w:color w:val="auto"/>
              </w:rPr>
            </w:pPr>
          </w:p>
        </w:tc>
      </w:tr>
      <w:tr>
        <w:trPr>
          <w:trHeight w:val="18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Lightspeed Buyer Inc. (Revolver) </w:t>
            </w:r>
            <w:r>
              <w:rPr>
                <w:rFonts w:ascii="Times New Roman" w:cs="Times New Roman" w:eastAsia="Times New Roman" w:hAnsi="Times New Roman"/>
                <w:sz w:val="12"/>
                <w:szCs w:val="12"/>
                <w:color w:val="auto"/>
                <w:vertAlign w:val="superscript"/>
              </w:rPr>
              <w:t>(6), (8)</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02/03/2026</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2,499</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(25 )</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02/01/2030</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9.76 %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2,802</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2,768</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2,802</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LJ Avalon Holdings, LLC - Unfunded Term Loan </w:t>
            </w:r>
            <w:r>
              <w:rPr>
                <w:rFonts w:ascii="Times New Roman" w:cs="Times New Roman" w:eastAsia="Times New Roman" w:hAnsi="Times New Roman"/>
                <w:sz w:val="12"/>
                <w:szCs w:val="12"/>
                <w:color w:val="auto"/>
                <w:vertAlign w:val="superscript"/>
              </w:rPr>
              <w:t>(8)</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10/01/2024</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1,892</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LJ Avalon Holdings, LLC (Revolver) </w:t>
            </w:r>
            <w:r>
              <w:rPr>
                <w:rFonts w:ascii="Times New Roman" w:cs="Times New Roman" w:eastAsia="Times New Roman" w:hAnsi="Times New Roman"/>
                <w:sz w:val="12"/>
                <w:szCs w:val="12"/>
                <w:color w:val="auto"/>
                <w:vertAlign w:val="superscript"/>
              </w:rPr>
              <w:t>(6), (8)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01/31/2030</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1,130</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05/31/2028</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10.33 %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SOFR+600</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44,947</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44,323</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44,609</w:t>
            </w:r>
          </w:p>
        </w:tc>
        <w:tc>
          <w:tcPr>
            <w:tcW w:w="0" w:type="dxa"/>
            <w:vAlign w:val="bottom"/>
          </w:tcPr>
          <w:p>
            <w:pPr>
              <w:spacing w:after="0"/>
              <w:rPr>
                <w:sz w:val="1"/>
                <w:szCs w:val="1"/>
                <w:color w:val="auto"/>
              </w:rPr>
            </w:pPr>
          </w:p>
        </w:tc>
      </w:tr>
      <w:tr>
        <w:trPr>
          <w:trHeight w:val="18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Loving Tan Intermediate II, Inc. - Unfunded Term Loan </w:t>
            </w:r>
            <w:r>
              <w:rPr>
                <w:rFonts w:ascii="Times New Roman" w:cs="Times New Roman" w:eastAsia="Times New Roman" w:hAnsi="Times New Roman"/>
                <w:sz w:val="12"/>
                <w:szCs w:val="12"/>
                <w:color w:val="auto"/>
                <w:vertAlign w:val="superscript"/>
              </w:rPr>
              <w:t>(8)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07/12/2025</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23,464</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59</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 (Revolver)</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05/31/2028</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10.33 %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SOFR+600</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1,780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1,780</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1,766</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Loving Tan Intermediate II, Inc. - Unfunded Revolver </w:t>
            </w:r>
            <w:r>
              <w:rPr>
                <w:rFonts w:ascii="Times New Roman" w:cs="Times New Roman" w:eastAsia="Times New Roman" w:hAnsi="Times New Roman"/>
                <w:sz w:val="12"/>
                <w:szCs w:val="12"/>
                <w:color w:val="auto"/>
                <w:vertAlign w:val="superscript"/>
              </w:rPr>
              <w:t>(8)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05/31/2028</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3,559</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(27 )</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LSF9 Atlantis Holdings,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06/30/2029</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Specialty Retail</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9.61 %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9,809</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9,809</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9,919</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Lucky Bucks, LLC - First-out Term Loan</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10/02/2028</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12.10 %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SOFR+765</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258</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258</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258</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Lucky Bucks, LLC - Last-out Term Loan</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10/02/2029</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12.10 %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SOFR+765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517</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517</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517</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04/01/2027</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9.93 %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1M SOFR+560</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7,269</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7,012</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6,797</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Marketplace Events Acquisition,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12/19/2030</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9.60 %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70,000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69,308</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69,300</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Marketplace Events Acquisition, LLC - Unfunded Term Loan </w:t>
            </w:r>
            <w:r>
              <w:rPr>
                <w:rFonts w:ascii="Times New Roman" w:cs="Times New Roman" w:eastAsia="Times New Roman" w:hAnsi="Times New Roman"/>
                <w:sz w:val="12"/>
                <w:szCs w:val="12"/>
                <w:color w:val="auto"/>
                <w:vertAlign w:val="superscript"/>
              </w:rPr>
              <w:t>(8)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06/19/2026</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12,192</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Marketplace Events Acquisition, LLC - Unfunded Revolver </w:t>
            </w:r>
            <w:r>
              <w:rPr>
                <w:rFonts w:ascii="Times New Roman" w:cs="Times New Roman" w:eastAsia="Times New Roman" w:hAnsi="Times New Roman"/>
                <w:sz w:val="12"/>
                <w:szCs w:val="12"/>
                <w:color w:val="auto"/>
                <w:vertAlign w:val="superscript"/>
              </w:rPr>
              <w:t>(8)</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12/19/2030</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6,096</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MBS Holdings, Inc. - Funded Revolver</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04/16/2027</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10.25 %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SOFR+585</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139</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139</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139</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MBS Holdings, Inc. (Revolver) </w:t>
            </w:r>
            <w:r>
              <w:rPr>
                <w:rFonts w:ascii="Times New Roman" w:cs="Times New Roman" w:eastAsia="Times New Roman" w:hAnsi="Times New Roman"/>
                <w:sz w:val="12"/>
                <w:szCs w:val="12"/>
                <w:color w:val="auto"/>
                <w:vertAlign w:val="superscript"/>
              </w:rPr>
              <w:t>(6), (8)</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04/16/2027</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1,019</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MDI Buyer,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07/25/2028</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Commodity Chemicals</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10.22 %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2,015</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1,984</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1,997</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MDI Buyer, Inc. (Revolver)</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07/25/2028</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Commodity Chemicals</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12.50 %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SOFR+475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608</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608</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602</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MDI Buyer, Inc. (Revolver) </w:t>
            </w:r>
            <w:r>
              <w:rPr>
                <w:rFonts w:ascii="Times New Roman" w:cs="Times New Roman" w:eastAsia="Times New Roman" w:hAnsi="Times New Roman"/>
                <w:sz w:val="12"/>
                <w:szCs w:val="12"/>
                <w:color w:val="auto"/>
                <w:vertAlign w:val="superscript"/>
              </w:rPr>
              <w:t>(6), (8)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07/25/2028</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Commodity Chemicals</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165</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12/10/2027</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9.98 %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SOFR+565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1,953</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1,935</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1,904</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Meadowlark Acquirer, LLC (Revolver) </w:t>
            </w:r>
            <w:r>
              <w:rPr>
                <w:rFonts w:ascii="Times New Roman" w:cs="Times New Roman" w:eastAsia="Times New Roman" w:hAnsi="Times New Roman"/>
                <w:sz w:val="12"/>
                <w:szCs w:val="12"/>
                <w:color w:val="auto"/>
                <w:vertAlign w:val="superscript"/>
              </w:rPr>
              <w:t>(8)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12/10/2027</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1,693</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(42 )</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Medina Health,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10/20/2028</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10.58 %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SOFR+625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17,775</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17,523</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17,775</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Medina Health, LLC (Revolver) </w:t>
            </w:r>
            <w:r>
              <w:rPr>
                <w:rFonts w:ascii="Times New Roman" w:cs="Times New Roman" w:eastAsia="Times New Roman" w:hAnsi="Times New Roman"/>
                <w:sz w:val="12"/>
                <w:szCs w:val="12"/>
                <w:color w:val="auto"/>
                <w:vertAlign w:val="superscript"/>
              </w:rPr>
              <w:t>(8)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10/20/2028</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5,187</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35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9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Megawatt Acquisitionco,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03/01/2030</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9.83 %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SOFR+550</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6,948</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6,858</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6,071</w:t>
            </w:r>
          </w:p>
        </w:tc>
        <w:tc>
          <w:tcPr>
            <w:tcW w:w="0" w:type="dxa"/>
            <w:vAlign w:val="bottom"/>
          </w:tcPr>
          <w:p>
            <w:pPr>
              <w:spacing w:after="0"/>
              <w:rPr>
                <w:sz w:val="1"/>
                <w:szCs w:val="1"/>
                <w:color w:val="auto"/>
              </w:rPr>
            </w:pPr>
          </w:p>
        </w:tc>
      </w:tr>
      <w:tr>
        <w:trPr>
          <w:trHeight w:val="121"/>
        </w:trPr>
        <w:tc>
          <w:tcPr>
            <w:tcW w:w="3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Megawatt Acquisitionco, Inc. - Funded Revolver</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03/01/2030</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9.86 %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926</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926</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809</w:t>
            </w:r>
          </w:p>
        </w:tc>
        <w:tc>
          <w:tcPr>
            <w:tcW w:w="0" w:type="dxa"/>
            <w:vAlign w:val="bottom"/>
          </w:tcPr>
          <w:p>
            <w:pPr>
              <w:spacing w:after="0"/>
              <w:rPr>
                <w:sz w:val="1"/>
                <w:szCs w:val="1"/>
                <w:color w:val="auto"/>
              </w:rPr>
            </w:pPr>
          </w:p>
        </w:tc>
      </w:tr>
      <w:tr>
        <w:trPr>
          <w:trHeight w:val="121"/>
        </w:trPr>
        <w:tc>
          <w:tcPr>
            <w:tcW w:w="3520" w:type="dxa"/>
            <w:vAlign w:val="bottom"/>
            <w:shd w:val="clear" w:color="auto" w:fill="CCECFF"/>
          </w:tcPr>
          <w:p>
            <w:pPr>
              <w:spacing w:after="0"/>
              <w:rPr>
                <w:sz w:val="10"/>
                <w:szCs w:val="10"/>
                <w:color w:val="auto"/>
              </w:rPr>
            </w:pPr>
          </w:p>
        </w:tc>
        <w:tc>
          <w:tcPr>
            <w:tcW w:w="82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03/01/2030</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9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60" w:type="dxa"/>
            <w:vAlign w:val="bottom"/>
            <w:vMerge w:val="restart"/>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2,324</w:t>
            </w:r>
          </w:p>
        </w:tc>
        <w:tc>
          <w:tcPr>
            <w:tcW w:w="78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Megawatt Acquisitionco, Inc. - (Revolver) </w:t>
            </w:r>
            <w:r>
              <w:rPr>
                <w:rFonts w:ascii="Times New Roman" w:cs="Times New Roman" w:eastAsia="Times New Roman" w:hAnsi="Times New Roman"/>
                <w:sz w:val="12"/>
                <w:szCs w:val="12"/>
                <w:color w:val="auto"/>
                <w:vertAlign w:val="superscript"/>
              </w:rPr>
              <w:t>(8)</w:t>
            </w:r>
          </w:p>
        </w:tc>
        <w:tc>
          <w:tcPr>
            <w:tcW w:w="820" w:type="dxa"/>
            <w:vAlign w:val="bottom"/>
            <w:vMerge w:val="continue"/>
            <w:shd w:val="clear" w:color="auto" w:fill="CCECFF"/>
          </w:tcPr>
          <w:p>
            <w:pPr>
              <w:spacing w:after="0"/>
              <w:rPr>
                <w:sz w:val="10"/>
                <w:szCs w:val="10"/>
                <w:color w:val="auto"/>
              </w:rPr>
            </w:pP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vMerge w:val="continue"/>
            <w:shd w:val="clear" w:color="auto" w:fill="CCECFF"/>
          </w:tcPr>
          <w:p>
            <w:pPr>
              <w:spacing w:after="0"/>
              <w:rPr>
                <w:sz w:val="10"/>
                <w:szCs w:val="10"/>
                <w:color w:val="auto"/>
              </w:rPr>
            </w:pP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(293 )</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Mission Critical Electronics,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03/31/2025</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10.23 %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3,092</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3,087</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3,092</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Mission Critical Electronics, Inc. (Revolver) </w:t>
            </w:r>
            <w:r>
              <w:rPr>
                <w:rFonts w:ascii="Times New Roman" w:cs="Times New Roman" w:eastAsia="Times New Roman" w:hAnsi="Times New Roman"/>
                <w:sz w:val="12"/>
                <w:szCs w:val="12"/>
                <w:color w:val="auto"/>
                <w:vertAlign w:val="superscript"/>
              </w:rPr>
              <w:t>(6), (8)</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03/31/2025</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1,325</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MOREGroup Holdings,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01/16/2030</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9.58 %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31,760</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31,347</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31,760</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MOREGroup Holdings, Inc. - Unfunded Term Loan </w:t>
            </w:r>
            <w:r>
              <w:rPr>
                <w:rFonts w:ascii="Times New Roman" w:cs="Times New Roman" w:eastAsia="Times New Roman" w:hAnsi="Times New Roman"/>
                <w:sz w:val="12"/>
                <w:szCs w:val="12"/>
                <w:color w:val="auto"/>
                <w:vertAlign w:val="superscript"/>
              </w:rPr>
              <w:t>(8)</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01/16/2026</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11,056</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111</w:t>
            </w:r>
          </w:p>
        </w:tc>
        <w:tc>
          <w:tcPr>
            <w:tcW w:w="0" w:type="dxa"/>
            <w:vAlign w:val="bottom"/>
          </w:tcPr>
          <w:p>
            <w:pPr>
              <w:spacing w:after="0"/>
              <w:rPr>
                <w:sz w:val="1"/>
                <w:szCs w:val="1"/>
                <w:color w:val="auto"/>
              </w:rPr>
            </w:pPr>
          </w:p>
        </w:tc>
      </w:tr>
    </w:tbl>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8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Maturity</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88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80" w:type="dxa"/>
            <w:vAlign w:val="bottom"/>
          </w:tcPr>
          <w:p>
            <w:pPr>
              <w:jc w:val="center"/>
              <w:ind w:right="9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7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840" w:type="dxa"/>
            <w:vAlign w:val="bottom"/>
          </w:tcPr>
          <w:p>
            <w:pPr>
              <w:jc w:val="right"/>
              <w:ind w:right="11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MOREGroup Holdings, Inc. - (Revolver) </w:t>
            </w:r>
            <w:r>
              <w:rPr>
                <w:rFonts w:ascii="Times New Roman" w:cs="Times New Roman" w:eastAsia="Times New Roman" w:hAnsi="Times New Roman"/>
                <w:sz w:val="12"/>
                <w:szCs w:val="12"/>
                <w:color w:val="auto"/>
                <w:vertAlign w:val="superscript"/>
              </w:rPr>
              <w:t>(8)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01/16/2030</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6,634</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10/01/2027</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11.00 %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SOFR+350</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3,292</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3,261</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3,292</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Municipal Emergency Services, Inc. - Unfunded Term Loan </w:t>
            </w:r>
            <w:r>
              <w:rPr>
                <w:rFonts w:ascii="Times New Roman" w:cs="Times New Roman" w:eastAsia="Times New Roman" w:hAnsi="Times New Roman"/>
                <w:sz w:val="12"/>
                <w:szCs w:val="12"/>
                <w:color w:val="auto"/>
                <w:vertAlign w:val="superscript"/>
              </w:rPr>
              <w:t>(8)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09/28/2027</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909</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 - Funded Revolver</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10/01/2027</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9.48 %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SOFR+515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189</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189</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189</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Municipal Emergency Services, Inc. (Revolver) </w:t>
            </w:r>
            <w:r>
              <w:rPr>
                <w:rFonts w:ascii="Times New Roman" w:cs="Times New Roman" w:eastAsia="Times New Roman" w:hAnsi="Times New Roman"/>
                <w:sz w:val="12"/>
                <w:szCs w:val="12"/>
                <w:color w:val="auto"/>
                <w:vertAlign w:val="superscript"/>
              </w:rPr>
              <w:t>(6), (8)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10/01/2027</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757</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NBH Group LLC (Revolver) </w:t>
            </w:r>
            <w:r>
              <w:rPr>
                <w:rFonts w:ascii="Times New Roman" w:cs="Times New Roman" w:eastAsia="Times New Roman" w:hAnsi="Times New Roman"/>
                <w:sz w:val="12"/>
                <w:szCs w:val="12"/>
                <w:color w:val="auto"/>
                <w:vertAlign w:val="superscript"/>
              </w:rPr>
              <w:t>(6), (8)</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08/19/2026</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1,677</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NFS - CFP Holdings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09/13/2030</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9.08 %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SOFR+475</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21,247</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21,096</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21,087</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NFS - CFP Holdings LLC - Unfunded Term Loan </w:t>
            </w:r>
            <w:r>
              <w:rPr>
                <w:rFonts w:ascii="Times New Roman" w:cs="Times New Roman" w:eastAsia="Times New Roman" w:hAnsi="Times New Roman"/>
                <w:sz w:val="12"/>
                <w:szCs w:val="12"/>
                <w:color w:val="auto"/>
                <w:vertAlign w:val="superscript"/>
              </w:rPr>
              <w:t>(8)</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09/23/2026</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13,370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NFS - CFP Holdings LLC - Unfunded Revolver </w:t>
            </w:r>
            <w:r>
              <w:rPr>
                <w:rFonts w:ascii="Times New Roman" w:cs="Times New Roman" w:eastAsia="Times New Roman" w:hAnsi="Times New Roman"/>
                <w:sz w:val="12"/>
                <w:szCs w:val="12"/>
                <w:color w:val="auto"/>
                <w:vertAlign w:val="superscript"/>
              </w:rPr>
              <w:t>(8)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09/13/2030</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5,014</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(38 )</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NORA Acquisition,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08/31/2029</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10.68 %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SOFR+635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19,750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19,421</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19,750</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NORA Acquisition, LLC (Revolver) </w:t>
            </w:r>
            <w:r>
              <w:rPr>
                <w:rFonts w:ascii="Times New Roman" w:cs="Times New Roman" w:eastAsia="Times New Roman" w:hAnsi="Times New Roman"/>
                <w:sz w:val="12"/>
                <w:szCs w:val="12"/>
                <w:color w:val="auto"/>
                <w:vertAlign w:val="superscript"/>
              </w:rPr>
              <w:t>(6), (8)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08/31/2029</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5,479</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Omnia Exterior Solutions,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12/29/2029</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9.58 %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SOFR+550</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23,662</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23,472</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23,485</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Omnia Exterior Solutions, LLC - Unfunded Term Loan </w:t>
            </w:r>
            <w:r>
              <w:rPr>
                <w:rFonts w:ascii="Times New Roman" w:cs="Times New Roman" w:eastAsia="Times New Roman" w:hAnsi="Times New Roman"/>
                <w:sz w:val="12"/>
                <w:szCs w:val="12"/>
                <w:color w:val="auto"/>
                <w:vertAlign w:val="superscript"/>
              </w:rPr>
              <w:t>(8)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09/30/2026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12,802</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Omnia Exterior Solutions, LLC (Revolver) </w:t>
            </w:r>
            <w:r>
              <w:rPr>
                <w:rFonts w:ascii="Times New Roman" w:cs="Times New Roman" w:eastAsia="Times New Roman" w:hAnsi="Times New Roman"/>
                <w:sz w:val="12"/>
                <w:szCs w:val="12"/>
                <w:color w:val="auto"/>
                <w:vertAlign w:val="superscript"/>
              </w:rPr>
              <w:t>(6), (8)</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12/29/2029</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4,200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(32 )</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05/07/2027</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10.72 %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SOFR+636</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8,403</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8,317</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8,403</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ORL Acquisition, Inc. </w:t>
            </w:r>
            <w:r>
              <w:rPr>
                <w:rFonts w:ascii="Times New Roman" w:cs="Times New Roman" w:eastAsia="Times New Roman" w:hAnsi="Times New Roman"/>
                <w:sz w:val="12"/>
                <w:szCs w:val="12"/>
                <w:color w:val="auto"/>
                <w:vertAlign w:val="superscript"/>
              </w:rPr>
              <w:t>(6)</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09/03/2027</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13.73 %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SOFR+940</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4,784</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4,739</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4,162</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880" w:type="dxa"/>
            <w:vAlign w:val="bottom"/>
            <w:shd w:val="clear" w:color="auto" w:fill="CCECFF"/>
          </w:tcPr>
          <w:p>
            <w:pPr>
              <w:spacing w:after="0"/>
              <w:rPr>
                <w:sz w:val="10"/>
                <w:szCs w:val="10"/>
                <w:color w:val="auto"/>
              </w:rPr>
            </w:pPr>
          </w:p>
        </w:tc>
        <w:tc>
          <w:tcPr>
            <w:tcW w:w="8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(PIK 7.50%)</w:t>
            </w:r>
          </w:p>
        </w:tc>
        <w:tc>
          <w:tcPr>
            <w:tcW w:w="88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ORL Acquisition, Inc. (Revolver) </w:t>
            </w:r>
            <w:r>
              <w:rPr>
                <w:rFonts w:ascii="Times New Roman" w:cs="Times New Roman" w:eastAsia="Times New Roman" w:hAnsi="Times New Roman"/>
                <w:sz w:val="12"/>
                <w:szCs w:val="12"/>
                <w:color w:val="auto"/>
                <w:vertAlign w:val="superscript"/>
              </w:rPr>
              <w:t>(6), (8)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09/03/2027</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215</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(28 )</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OSP Embedded Purchaser,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12/15/2029</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10.08 %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40,642</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40,210</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39,992</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OSP Embedded Purchaser, LLC (Revolver) </w:t>
            </w:r>
            <w:r>
              <w:rPr>
                <w:rFonts w:ascii="Times New Roman" w:cs="Times New Roman" w:eastAsia="Times New Roman" w:hAnsi="Times New Roman"/>
                <w:sz w:val="12"/>
                <w:szCs w:val="12"/>
                <w:color w:val="auto"/>
                <w:vertAlign w:val="superscript"/>
              </w:rPr>
              <w:t>(8)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12/15/2029</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2,932</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(47 )</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Output Services Group, Inc. - First-out Term Loan</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11/30/2028</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12.86 %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SOFR+843</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521</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521</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521</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Output Services Group, Inc. - Last-out Term Loan</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05/30/2028</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11.11 %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SOFR+668</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1,058</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1,058</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1,058</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02/04/2028</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9.71 %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SOFR+535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3,893</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3,817</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3,844</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Pacific Purchaser,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09/30/2028</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10.53 %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SOFR+625</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4,950</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4,871</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4,905</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Pacific Purchaser, LLC - Unfunded Term Loan </w:t>
            </w:r>
            <w:r>
              <w:rPr>
                <w:rFonts w:ascii="Times New Roman" w:cs="Times New Roman" w:eastAsia="Times New Roman" w:hAnsi="Times New Roman"/>
                <w:sz w:val="12"/>
                <w:szCs w:val="12"/>
                <w:color w:val="auto"/>
                <w:vertAlign w:val="superscript"/>
              </w:rPr>
              <w:t>(8)</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09/30/2028</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3,598</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Pacific Purchaser, LLC - (Revolver) </w:t>
            </w:r>
            <w:r>
              <w:rPr>
                <w:rFonts w:ascii="Times New Roman" w:cs="Times New Roman" w:eastAsia="Times New Roman" w:hAnsi="Times New Roman"/>
                <w:sz w:val="12"/>
                <w:szCs w:val="12"/>
                <w:color w:val="auto"/>
                <w:vertAlign w:val="superscript"/>
              </w:rPr>
              <w:t>(8)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09/30/2028</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1,799</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(16 )</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PAR Excellence Holdings,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09/03/2030</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9.47 %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SOFR+500</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12,500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12,383</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12,375</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PAR Excellence Holdings, Inc. - Unfunded Revolver </w:t>
            </w:r>
            <w:r>
              <w:rPr>
                <w:rFonts w:ascii="Times New Roman" w:cs="Times New Roman" w:eastAsia="Times New Roman" w:hAnsi="Times New Roman"/>
                <w:sz w:val="12"/>
                <w:szCs w:val="12"/>
                <w:color w:val="auto"/>
                <w:vertAlign w:val="superscript"/>
              </w:rPr>
              <w:t>(8)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09/03/2030</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4,692</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(47 )</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PCS Midco,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03/01/2030</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10.08 %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9,135</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9,023</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9,135</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PCS Midco, Inc. - Unfunded Term Loan </w:t>
            </w:r>
            <w:r>
              <w:rPr>
                <w:rFonts w:ascii="Times New Roman" w:cs="Times New Roman" w:eastAsia="Times New Roman" w:hAnsi="Times New Roman"/>
                <w:sz w:val="12"/>
                <w:szCs w:val="12"/>
                <w:color w:val="auto"/>
                <w:vertAlign w:val="superscript"/>
              </w:rPr>
              <w:t>(8)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03/01/2026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2,249</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22</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PCS Midco, Inc. - Revolver</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03/01/2030</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10.08 %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310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310</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310</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PCS Midco, Inc. - (Revolver) </w:t>
            </w:r>
            <w:r>
              <w:rPr>
                <w:rFonts w:ascii="Times New Roman" w:cs="Times New Roman" w:eastAsia="Times New Roman" w:hAnsi="Times New Roman"/>
                <w:sz w:val="12"/>
                <w:szCs w:val="12"/>
                <w:color w:val="auto"/>
                <w:vertAlign w:val="superscript"/>
              </w:rPr>
              <w:t>(8)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03/01/2030</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1,461</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PH Beauty Holdings III,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09/28/2025</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10.17 %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SOFR+543</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7,396</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7,385</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7,329</w:t>
            </w:r>
          </w:p>
        </w:tc>
        <w:tc>
          <w:tcPr>
            <w:tcW w:w="0" w:type="dxa"/>
            <w:vAlign w:val="bottom"/>
          </w:tcPr>
          <w:p>
            <w:pPr>
              <w:spacing w:after="0"/>
              <w:rPr>
                <w:sz w:val="1"/>
                <w:szCs w:val="1"/>
                <w:color w:val="auto"/>
              </w:rPr>
            </w:pPr>
          </w:p>
        </w:tc>
      </w:tr>
      <w:tr>
        <w:trPr>
          <w:trHeight w:val="121"/>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11/09/2027</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Textiles, Apparel and Luxury Goods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15.49 %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SOFR+1210</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5,880</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5,822</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4,292</w:t>
            </w:r>
          </w:p>
        </w:tc>
        <w:tc>
          <w:tcPr>
            <w:tcW w:w="0" w:type="dxa"/>
            <w:vAlign w:val="bottom"/>
          </w:tcPr>
          <w:p>
            <w:pPr>
              <w:spacing w:after="0"/>
              <w:rPr>
                <w:sz w:val="1"/>
                <w:szCs w:val="1"/>
                <w:color w:val="auto"/>
              </w:rPr>
            </w:pPr>
          </w:p>
        </w:tc>
      </w:tr>
      <w:tr>
        <w:trPr>
          <w:trHeight w:val="120"/>
        </w:trPr>
        <w:tc>
          <w:tcPr>
            <w:tcW w:w="3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(PIK 7.00%)</w:t>
            </w: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PL Acquisitionco, LLC - (Revolver) </w:t>
            </w:r>
            <w:r>
              <w:rPr>
                <w:rFonts w:ascii="Times New Roman" w:cs="Times New Roman" w:eastAsia="Times New Roman" w:hAnsi="Times New Roman"/>
                <w:sz w:val="12"/>
                <w:szCs w:val="12"/>
                <w:color w:val="auto"/>
                <w:vertAlign w:val="superscript"/>
              </w:rPr>
              <w:t>(8)</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11/09/2027</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Textiles, Apparel and Luxury Goods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1,145</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(309 )</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08/28/2030</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9.58 %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1M SOFR+525</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26,269</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26,076</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26,269</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PlayPower, Inc. - Unfunded Revolver </w:t>
            </w:r>
            <w:r>
              <w:rPr>
                <w:rFonts w:ascii="Times New Roman" w:cs="Times New Roman" w:eastAsia="Times New Roman" w:hAnsi="Times New Roman"/>
                <w:sz w:val="12"/>
                <w:szCs w:val="12"/>
                <w:color w:val="auto"/>
                <w:vertAlign w:val="superscript"/>
              </w:rPr>
              <w:t>(8)</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08/28/2030</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3,981</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Project Granite Buyer,Inc.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12/31/2030</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10.08 %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18,500</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18,315</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18,315</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Project Granite Buyer, Inc. - Unfunded Term Loan </w:t>
            </w:r>
            <w:r>
              <w:rPr>
                <w:rFonts w:ascii="Times New Roman" w:cs="Times New Roman" w:eastAsia="Times New Roman" w:hAnsi="Times New Roman"/>
                <w:sz w:val="12"/>
                <w:szCs w:val="12"/>
                <w:color w:val="auto"/>
                <w:vertAlign w:val="superscript"/>
              </w:rPr>
              <w:t>(8)</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12/31/2026</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2,846</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Project Granite Buyer,Inc. - Unfunded Revolver </w:t>
            </w:r>
            <w:r>
              <w:rPr>
                <w:rFonts w:ascii="Times New Roman" w:cs="Times New Roman" w:eastAsia="Times New Roman" w:hAnsi="Times New Roman"/>
                <w:sz w:val="12"/>
                <w:szCs w:val="12"/>
                <w:color w:val="auto"/>
                <w:vertAlign w:val="superscript"/>
              </w:rPr>
              <w:t>(8)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12/31/2030</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1,708</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Pragmatic Institute, LLC (Revolver) </w:t>
            </w:r>
            <w:r>
              <w:rPr>
                <w:rFonts w:ascii="Times New Roman" w:cs="Times New Roman" w:eastAsia="Times New Roman" w:hAnsi="Times New Roman"/>
                <w:sz w:val="12"/>
                <w:szCs w:val="12"/>
                <w:color w:val="auto"/>
                <w:vertAlign w:val="superscript"/>
              </w:rPr>
              <w:t>(10)</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07/06/2028</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1,658</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1,605</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696</w:t>
            </w:r>
          </w:p>
        </w:tc>
        <w:tc>
          <w:tcPr>
            <w:tcW w:w="0" w:type="dxa"/>
            <w:vAlign w:val="bottom"/>
          </w:tcPr>
          <w:p>
            <w:pPr>
              <w:spacing w:after="0"/>
              <w:rPr>
                <w:sz w:val="1"/>
                <w:szCs w:val="1"/>
                <w:color w:val="auto"/>
              </w:rPr>
            </w:pPr>
          </w:p>
        </w:tc>
      </w:tr>
      <w:tr>
        <w:trPr>
          <w:trHeight w:val="120"/>
        </w:trPr>
        <w:tc>
          <w:tcPr>
            <w:tcW w:w="3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11/19/2026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10.43 %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SOFR+610</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6,562</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6,517</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6,562</w:t>
            </w:r>
          </w:p>
        </w:tc>
        <w:tc>
          <w:tcPr>
            <w:tcW w:w="0" w:type="dxa"/>
            <w:vAlign w:val="bottom"/>
          </w:tcPr>
          <w:p>
            <w:pPr>
              <w:spacing w:after="0"/>
              <w:rPr>
                <w:sz w:val="1"/>
                <w:szCs w:val="1"/>
                <w:color w:val="auto"/>
              </w:rPr>
            </w:pPr>
          </w:p>
        </w:tc>
      </w:tr>
      <w:tr>
        <w:trPr>
          <w:trHeight w:val="121"/>
        </w:trPr>
        <w:tc>
          <w:tcPr>
            <w:tcW w:w="35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8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780" w:type="dxa"/>
            <w:vAlign w:val="bottom"/>
            <w:vMerge w:val="restart"/>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357</w:t>
            </w:r>
          </w:p>
        </w:tc>
        <w:tc>
          <w:tcPr>
            <w:tcW w:w="840" w:type="dxa"/>
            <w:vAlign w:val="bottom"/>
            <w:vMerge w:val="restart"/>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357</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Quantic Electronics, LLC - Funded Revolver</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11/19/2026</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10.43 %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SOFR+610</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357</w:t>
            </w:r>
          </w:p>
        </w:tc>
        <w:tc>
          <w:tcPr>
            <w:tcW w:w="780" w:type="dxa"/>
            <w:vAlign w:val="bottom"/>
            <w:vMerge w:val="continue"/>
            <w:shd w:val="clear" w:color="auto" w:fill="CCECFF"/>
          </w:tcPr>
          <w:p>
            <w:pPr>
              <w:spacing w:after="0"/>
              <w:rPr>
                <w:sz w:val="10"/>
                <w:szCs w:val="10"/>
                <w:color w:val="auto"/>
              </w:rPr>
            </w:pPr>
          </w:p>
        </w:tc>
        <w:tc>
          <w:tcPr>
            <w:tcW w:w="840" w:type="dxa"/>
            <w:vAlign w:val="bottom"/>
            <w:vMerge w:val="continue"/>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Quantic Electronics, LLC (Revolver) </w:t>
            </w:r>
            <w:r>
              <w:rPr>
                <w:rFonts w:ascii="Times New Roman" w:cs="Times New Roman" w:eastAsia="Times New Roman" w:hAnsi="Times New Roman"/>
                <w:sz w:val="12"/>
                <w:szCs w:val="12"/>
                <w:color w:val="auto"/>
                <w:vertAlign w:val="superscript"/>
              </w:rPr>
              <w:t>(6), (8)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11/19/2026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313</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06/20/2029</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9.77 %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1,862</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1,852</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1,848</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Rancho Health MSO, Inc. - Unfunded Term Loan </w:t>
            </w:r>
            <w:r>
              <w:rPr>
                <w:rFonts w:ascii="Times New Roman" w:cs="Times New Roman" w:eastAsia="Times New Roman" w:hAnsi="Times New Roman"/>
                <w:sz w:val="12"/>
                <w:szCs w:val="12"/>
                <w:color w:val="auto"/>
                <w:vertAlign w:val="superscript"/>
              </w:rPr>
              <w:t>(8)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06/30/2026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5,469</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(15 )</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Rancho Health MSO, Inc. (Revolver) </w:t>
            </w:r>
            <w:r>
              <w:rPr>
                <w:rFonts w:ascii="Times New Roman" w:cs="Times New Roman" w:eastAsia="Times New Roman" w:hAnsi="Times New Roman"/>
                <w:sz w:val="12"/>
                <w:szCs w:val="12"/>
                <w:color w:val="auto"/>
                <w:vertAlign w:val="superscript"/>
              </w:rPr>
              <w:t>(6)</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06/20/2029</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9.60 %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1,403</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1,403</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1,392</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Rancho Health MSO, Inc. (Revolver) </w:t>
            </w:r>
            <w:r>
              <w:rPr>
                <w:rFonts w:ascii="Times New Roman" w:cs="Times New Roman" w:eastAsia="Times New Roman" w:hAnsi="Times New Roman"/>
                <w:sz w:val="12"/>
                <w:szCs w:val="12"/>
                <w:color w:val="auto"/>
                <w:vertAlign w:val="superscript"/>
              </w:rPr>
              <w:t>(6), (8)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06/20/2029</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1,897</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(14 )</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01/29/2026</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11.48 %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SOFR+715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1,444</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1,436</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1,429</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Recteq, LLC (Revolver) </w:t>
            </w:r>
            <w:r>
              <w:rPr>
                <w:rFonts w:ascii="Times New Roman" w:cs="Times New Roman" w:eastAsia="Times New Roman" w:hAnsi="Times New Roman"/>
                <w:sz w:val="12"/>
                <w:szCs w:val="12"/>
                <w:color w:val="auto"/>
                <w:vertAlign w:val="superscript"/>
              </w:rPr>
              <w:t>(6), (8)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01/29/2026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1,296</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Riverpoint Medical,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06/20/2025</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9.58 %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9,803</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9,784</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9,803</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Riverpoint Medical, LLC (Revolver) </w:t>
            </w:r>
            <w:r>
              <w:rPr>
                <w:rFonts w:ascii="Times New Roman" w:cs="Times New Roman" w:eastAsia="Times New Roman" w:hAnsi="Times New Roman"/>
                <w:sz w:val="12"/>
                <w:szCs w:val="12"/>
                <w:color w:val="auto"/>
                <w:vertAlign w:val="superscript"/>
              </w:rPr>
              <w:t>(6)</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06/20/2025</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9.61 %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182</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182</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182</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Riverpoint Medical, LLC (Revolver) </w:t>
            </w:r>
            <w:r>
              <w:rPr>
                <w:rFonts w:ascii="Times New Roman" w:cs="Times New Roman" w:eastAsia="Times New Roman" w:hAnsi="Times New Roman"/>
                <w:sz w:val="12"/>
                <w:szCs w:val="12"/>
                <w:color w:val="auto"/>
                <w:vertAlign w:val="superscript"/>
              </w:rPr>
              <w:t>(6), (8)</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06/20/2025</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727</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RRA Corporate,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08/15/2029</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9.33 %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SOFR+500</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14,165</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14,025</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14,094</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RRA Corporate, LLC - Unfunded Term Loan 1 </w:t>
            </w:r>
            <w:r>
              <w:rPr>
                <w:rFonts w:ascii="Times New Roman" w:cs="Times New Roman" w:eastAsia="Times New Roman" w:hAnsi="Times New Roman"/>
                <w:sz w:val="12"/>
                <w:szCs w:val="12"/>
                <w:color w:val="auto"/>
                <w:vertAlign w:val="superscript"/>
              </w:rPr>
              <w:t>(8)</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02/15/2029</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11,506</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58</w:t>
            </w:r>
          </w:p>
        </w:tc>
        <w:tc>
          <w:tcPr>
            <w:tcW w:w="0" w:type="dxa"/>
            <w:vAlign w:val="bottom"/>
          </w:tcPr>
          <w:p>
            <w:pPr>
              <w:spacing w:after="0"/>
              <w:rPr>
                <w:sz w:val="1"/>
                <w:szCs w:val="1"/>
                <w:color w:val="auto"/>
              </w:rPr>
            </w:pPr>
          </w:p>
        </w:tc>
      </w:tr>
    </w:tbl>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8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Maturity</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88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80" w:type="dxa"/>
            <w:vAlign w:val="bottom"/>
          </w:tcPr>
          <w:p>
            <w:pPr>
              <w:jc w:val="center"/>
              <w:ind w:right="9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7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840" w:type="dxa"/>
            <w:vAlign w:val="bottom"/>
          </w:tcPr>
          <w:p>
            <w:pPr>
              <w:jc w:val="right"/>
              <w:ind w:right="11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RRA Corporate, LLC - Unfunded Term Loan 2 </w:t>
            </w:r>
            <w:r>
              <w:rPr>
                <w:rFonts w:ascii="Times New Roman" w:cs="Times New Roman" w:eastAsia="Times New Roman" w:hAnsi="Times New Roman"/>
                <w:sz w:val="12"/>
                <w:szCs w:val="12"/>
                <w:color w:val="auto"/>
                <w:vertAlign w:val="superscript"/>
              </w:rPr>
              <w:t>(8)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08/15/2026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21,719</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RRA Corporate, LLC - Funded Revolver</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08/15/2029</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9.33 %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SOFR+500</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1,746</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1,746</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1,738</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RRA Corporate, LLC - Unfunded Revolver </w:t>
            </w:r>
            <w:r>
              <w:rPr>
                <w:rFonts w:ascii="Times New Roman" w:cs="Times New Roman" w:eastAsia="Times New Roman" w:hAnsi="Times New Roman"/>
                <w:sz w:val="12"/>
                <w:szCs w:val="12"/>
                <w:color w:val="auto"/>
                <w:vertAlign w:val="superscript"/>
              </w:rPr>
              <w:t>(8)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08/15/2029</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4,970</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(25 )</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RTIC Subsidiary Holdings,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05/03/2029</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10.08 %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41,890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41,294</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41,156</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RTIC Subsidiary Holdings, LLC - Unfunded Revolver </w:t>
            </w:r>
            <w:r>
              <w:rPr>
                <w:rFonts w:ascii="Times New Roman" w:cs="Times New Roman" w:eastAsia="Times New Roman" w:hAnsi="Times New Roman"/>
                <w:sz w:val="12"/>
                <w:szCs w:val="12"/>
                <w:color w:val="auto"/>
                <w:vertAlign w:val="superscript"/>
              </w:rPr>
              <w:t>(8)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05/03/2029</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9,417</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(165 )</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06/15/2029</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10.08 %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1,138</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1,123</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1,121</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Rural Sourcing Holdings, Inc. (HPA SPQ Merger Sub, Inc.) - Unfunded Term Loan </w:t>
            </w:r>
            <w:r>
              <w:rPr>
                <w:rFonts w:ascii="Times New Roman" w:cs="Times New Roman" w:eastAsia="Times New Roman" w:hAnsi="Times New Roman"/>
                <w:sz w:val="12"/>
                <w:szCs w:val="12"/>
                <w:color w:val="auto"/>
                <w:vertAlign w:val="superscript"/>
              </w:rPr>
              <w:t>(8)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06/26/2026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1,146</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(11 )</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 - Funded Revolver</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06/15/2029</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10.08 %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86</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86</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85</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Rural Sourcing Holdings, Inc. (HPA SPQ Merger Sub, Inc.) (Revolver) </w:t>
            </w:r>
            <w:r>
              <w:rPr>
                <w:rFonts w:ascii="Times New Roman" w:cs="Times New Roman" w:eastAsia="Times New Roman" w:hAnsi="Times New Roman"/>
                <w:sz w:val="12"/>
                <w:szCs w:val="12"/>
                <w:color w:val="auto"/>
                <w:vertAlign w:val="superscript"/>
              </w:rPr>
              <w:t>(6), (8)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06/15/2029</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774</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Sabel Systems Technology Solutions,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10/31/2030</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Government Services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10.60 %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SOFR+625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26,850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26,583</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26,582</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Sabel Systems Technology Solutions, LLC - Unfunded Revolver </w:t>
            </w:r>
            <w:r>
              <w:rPr>
                <w:rFonts w:ascii="Times New Roman" w:cs="Times New Roman" w:eastAsia="Times New Roman" w:hAnsi="Times New Roman"/>
                <w:sz w:val="12"/>
                <w:szCs w:val="12"/>
                <w:color w:val="auto"/>
                <w:vertAlign w:val="superscript"/>
              </w:rPr>
              <w:t>(8)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10/31/2030</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Government Services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3,634</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(36 )</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Safe Haven Defense US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05/23/2029</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Building Products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9.36 %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13,526</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13,335</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13,526</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Safe Haven Defense US LLC - Unfunded Revolver </w:t>
            </w:r>
            <w:r>
              <w:rPr>
                <w:rFonts w:ascii="Times New Roman" w:cs="Times New Roman" w:eastAsia="Times New Roman" w:hAnsi="Times New Roman"/>
                <w:sz w:val="12"/>
                <w:szCs w:val="12"/>
                <w:color w:val="auto"/>
                <w:vertAlign w:val="superscript"/>
              </w:rPr>
              <w:t>(8)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05/23/2029</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Building Products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2,920</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07/07/2026</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10.53 %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SOFR+620</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2,527</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2,519</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2,527</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Sales Benchmark Index LLC (Revolver) </w:t>
            </w:r>
            <w:r>
              <w:rPr>
                <w:rFonts w:ascii="Times New Roman" w:cs="Times New Roman" w:eastAsia="Times New Roman" w:hAnsi="Times New Roman"/>
                <w:sz w:val="12"/>
                <w:szCs w:val="12"/>
                <w:color w:val="auto"/>
                <w:vertAlign w:val="superscript"/>
              </w:rPr>
              <w:t>(6), (8)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07/07/2026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1,077</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Schlesinger Global,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07/14/2025</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12.96 %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SOFR+860</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15,453</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15,426</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14,719</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880" w:type="dxa"/>
            <w:vAlign w:val="bottom"/>
            <w:shd w:val="clear" w:color="auto" w:fill="CCECFF"/>
          </w:tcPr>
          <w:p>
            <w:pPr>
              <w:spacing w:after="0"/>
              <w:rPr>
                <w:sz w:val="10"/>
                <w:szCs w:val="10"/>
                <w:color w:val="auto"/>
              </w:rPr>
            </w:pPr>
          </w:p>
        </w:tc>
        <w:tc>
          <w:tcPr>
            <w:tcW w:w="8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(PIK 5.85%)</w:t>
            </w:r>
          </w:p>
        </w:tc>
        <w:tc>
          <w:tcPr>
            <w:tcW w:w="88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Schlesinger Global, Inc. (Revolver)</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07/14/2025</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12.96 %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SOFR+860</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1,602</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1,602</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1,526</w:t>
            </w:r>
          </w:p>
        </w:tc>
        <w:tc>
          <w:tcPr>
            <w:tcW w:w="0" w:type="dxa"/>
            <w:vAlign w:val="bottom"/>
          </w:tcPr>
          <w:p>
            <w:pPr>
              <w:spacing w:after="0"/>
              <w:rPr>
                <w:sz w:val="1"/>
                <w:szCs w:val="1"/>
                <w:color w:val="auto"/>
              </w:rPr>
            </w:pPr>
          </w:p>
        </w:tc>
      </w:tr>
      <w:tr>
        <w:trPr>
          <w:trHeight w:val="120"/>
        </w:trPr>
        <w:tc>
          <w:tcPr>
            <w:tcW w:w="3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(PIK 5.85%)</w:t>
            </w: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Schlesinger Global, Inc. (Revolver) </w:t>
            </w:r>
            <w:r>
              <w:rPr>
                <w:rFonts w:ascii="Times New Roman" w:cs="Times New Roman" w:eastAsia="Times New Roman" w:hAnsi="Times New Roman"/>
                <w:sz w:val="12"/>
                <w:szCs w:val="12"/>
                <w:color w:val="auto"/>
                <w:vertAlign w:val="superscript"/>
              </w:rPr>
              <w:t>(6), (8)</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07/14/2025</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401</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(19 )</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Seacoast Service Partners,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12/20/2029</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9.35 %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SOFR+500</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7,833</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7,766</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7,765</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Seacoast Service Partners, LLC - Unfunded Term Loan </w:t>
            </w:r>
            <w:r>
              <w:rPr>
                <w:rFonts w:ascii="Times New Roman" w:cs="Times New Roman" w:eastAsia="Times New Roman" w:hAnsi="Times New Roman"/>
                <w:sz w:val="12"/>
                <w:szCs w:val="12"/>
                <w:color w:val="auto"/>
                <w:vertAlign w:val="superscript"/>
              </w:rPr>
              <w:t>(8)</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12/20/2026</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8,492</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Seacoast Service Partners, LLC - Unfunded Revolver </w:t>
            </w:r>
            <w:r>
              <w:rPr>
                <w:rFonts w:ascii="Times New Roman" w:cs="Times New Roman" w:eastAsia="Times New Roman" w:hAnsi="Times New Roman"/>
                <w:sz w:val="12"/>
                <w:szCs w:val="12"/>
                <w:color w:val="auto"/>
                <w:vertAlign w:val="superscript"/>
              </w:rPr>
              <w:t>(8)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12/20/2029</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2,123</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06/13/2029</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10.48 %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SOFR+615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1,896</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1,876</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1,820</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12/18/2027</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11.23 %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SOFR+690</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20,615</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20,379</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20,512</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Sigma Defense Systems, LLC (Revolver) </w:t>
            </w:r>
            <w:r>
              <w:rPr>
                <w:rFonts w:ascii="Times New Roman" w:cs="Times New Roman" w:eastAsia="Times New Roman" w:hAnsi="Times New Roman"/>
                <w:sz w:val="12"/>
                <w:szCs w:val="12"/>
                <w:color w:val="auto"/>
                <w:vertAlign w:val="superscript"/>
              </w:rPr>
              <w:t>(6), (8)</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12/18/2027</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3,311</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(17 )</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Smartronix,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11/23/2028</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10.35 %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1M SOFR+610</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13,486</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13,298</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13,486</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Smartronix, LLC - (Revolver) </w:t>
            </w:r>
            <w:r>
              <w:rPr>
                <w:rFonts w:ascii="Times New Roman" w:cs="Times New Roman" w:eastAsia="Times New Roman" w:hAnsi="Times New Roman"/>
                <w:sz w:val="12"/>
                <w:szCs w:val="12"/>
                <w:color w:val="auto"/>
                <w:vertAlign w:val="superscript"/>
              </w:rPr>
              <w:t>(8)</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11/23/2027</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1,791</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Smile Brands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10/12/2027</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10.43 %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1M SOFR+450</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2,465</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2,465</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2,181</w:t>
            </w:r>
          </w:p>
        </w:tc>
        <w:tc>
          <w:tcPr>
            <w:tcW w:w="0" w:type="dxa"/>
            <w:vAlign w:val="bottom"/>
          </w:tcPr>
          <w:p>
            <w:pPr>
              <w:spacing w:after="0"/>
              <w:rPr>
                <w:sz w:val="1"/>
                <w:szCs w:val="1"/>
                <w:color w:val="auto"/>
              </w:rPr>
            </w:pPr>
          </w:p>
        </w:tc>
      </w:tr>
      <w:tr>
        <w:trPr>
          <w:trHeight w:val="120"/>
        </w:trPr>
        <w:tc>
          <w:tcPr>
            <w:tcW w:w="3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(PIK 1.50%)</w:t>
            </w: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Smile Brands Inc. (Revolver)</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10/12/2027</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10.20 %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1M SOFR+550</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1,542</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1,542</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1,364</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Smile Brands Inc. (Revolver) </w:t>
            </w:r>
            <w:r>
              <w:rPr>
                <w:rFonts w:ascii="Times New Roman" w:cs="Times New Roman" w:eastAsia="Times New Roman" w:hAnsi="Times New Roman"/>
                <w:sz w:val="12"/>
                <w:szCs w:val="12"/>
                <w:color w:val="auto"/>
                <w:vertAlign w:val="superscript"/>
              </w:rPr>
              <w:t>(6), (8)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10/12/2027</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Smile Brands Inc. LC (Revolver) </w:t>
            </w:r>
            <w:r>
              <w:rPr>
                <w:rFonts w:ascii="Times New Roman" w:cs="Times New Roman" w:eastAsia="Times New Roman" w:hAnsi="Times New Roman"/>
                <w:sz w:val="12"/>
                <w:szCs w:val="12"/>
                <w:color w:val="auto"/>
                <w:vertAlign w:val="superscript"/>
              </w:rPr>
              <w:t>(6), (8)</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10/12/2027</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100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07/17/2025</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13.75 %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SOFR+600</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4,657</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4,642</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4,657</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Solutionreach, Inc. - Funded Revolver</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07/15/2025</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11.50 %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SOFR+715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833</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833</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833</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03/01/2028</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9.67 %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SOFR+515</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2,631</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2,609</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2,631</w:t>
            </w:r>
          </w:p>
        </w:tc>
        <w:tc>
          <w:tcPr>
            <w:tcW w:w="0" w:type="dxa"/>
            <w:vAlign w:val="bottom"/>
          </w:tcPr>
          <w:p>
            <w:pPr>
              <w:spacing w:after="0"/>
              <w:rPr>
                <w:sz w:val="1"/>
                <w:szCs w:val="1"/>
                <w:color w:val="auto"/>
              </w:rPr>
            </w:pPr>
          </w:p>
        </w:tc>
      </w:tr>
      <w:tr>
        <w:trPr>
          <w:trHeight w:val="124"/>
        </w:trPr>
        <w:tc>
          <w:tcPr>
            <w:tcW w:w="352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Spendmend Holdings LLC - Unfunded Term Loan </w:t>
            </w:r>
            <w:r>
              <w:rPr>
                <w:rFonts w:ascii="Times New Roman" w:cs="Times New Roman" w:eastAsia="Times New Roman" w:hAnsi="Times New Roman"/>
                <w:sz w:val="12"/>
                <w:szCs w:val="12"/>
                <w:color w:val="auto"/>
                <w:vertAlign w:val="superscript"/>
              </w:rPr>
              <w:t>(8)</w:t>
            </w:r>
          </w:p>
        </w:tc>
        <w:tc>
          <w:tcPr>
            <w:tcW w:w="82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03/03/2025</w:t>
            </w:r>
          </w:p>
        </w:tc>
        <w:tc>
          <w:tcPr>
            <w:tcW w:w="188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vMerge w:val="restart"/>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1,109</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w:t>
            </w:r>
          </w:p>
        </w:tc>
        <w:tc>
          <w:tcPr>
            <w:tcW w:w="0" w:type="dxa"/>
            <w:vAlign w:val="bottom"/>
          </w:tcPr>
          <w:p>
            <w:pPr>
              <w:spacing w:after="0"/>
              <w:rPr>
                <w:sz w:val="1"/>
                <w:szCs w:val="1"/>
                <w:color w:val="auto"/>
              </w:rPr>
            </w:pPr>
          </w:p>
        </w:tc>
      </w:tr>
      <w:tr>
        <w:trPr>
          <w:trHeight w:val="80"/>
        </w:trPr>
        <w:tc>
          <w:tcPr>
            <w:tcW w:w="3520" w:type="dxa"/>
            <w:vAlign w:val="bottom"/>
            <w:vMerge w:val="continue"/>
            <w:shd w:val="clear" w:color="auto" w:fill="CCECFF"/>
          </w:tcPr>
          <w:p>
            <w:pPr>
              <w:spacing w:after="0"/>
              <w:rPr>
                <w:sz w:val="6"/>
                <w:szCs w:val="6"/>
                <w:color w:val="auto"/>
              </w:rPr>
            </w:pPr>
          </w:p>
        </w:tc>
        <w:tc>
          <w:tcPr>
            <w:tcW w:w="820" w:type="dxa"/>
            <w:vAlign w:val="bottom"/>
            <w:vMerge w:val="continue"/>
            <w:shd w:val="clear" w:color="auto" w:fill="CCECFF"/>
          </w:tcPr>
          <w:p>
            <w:pPr>
              <w:spacing w:after="0"/>
              <w:rPr>
                <w:sz w:val="6"/>
                <w:szCs w:val="6"/>
                <w:color w:val="auto"/>
              </w:rPr>
            </w:pPr>
          </w:p>
        </w:tc>
        <w:tc>
          <w:tcPr>
            <w:tcW w:w="1880" w:type="dxa"/>
            <w:vAlign w:val="bottom"/>
            <w:vMerge w:val="continue"/>
            <w:shd w:val="clear" w:color="auto" w:fill="CCECFF"/>
          </w:tcPr>
          <w:p>
            <w:pPr>
              <w:spacing w:after="0"/>
              <w:rPr>
                <w:sz w:val="6"/>
                <w:szCs w:val="6"/>
                <w:color w:val="auto"/>
              </w:rPr>
            </w:pPr>
          </w:p>
        </w:tc>
        <w:tc>
          <w:tcPr>
            <w:tcW w:w="880" w:type="dxa"/>
            <w:vAlign w:val="bottom"/>
            <w:shd w:val="clear" w:color="auto" w:fill="CCECFF"/>
          </w:tcPr>
          <w:p>
            <w:pPr>
              <w:spacing w:after="0"/>
              <w:rPr>
                <w:sz w:val="6"/>
                <w:szCs w:val="6"/>
                <w:color w:val="auto"/>
              </w:rPr>
            </w:pPr>
          </w:p>
        </w:tc>
        <w:tc>
          <w:tcPr>
            <w:tcW w:w="880" w:type="dxa"/>
            <w:vAlign w:val="bottom"/>
            <w:shd w:val="clear" w:color="auto" w:fill="CCECFF"/>
          </w:tcPr>
          <w:p>
            <w:pPr>
              <w:spacing w:after="0"/>
              <w:rPr>
                <w:sz w:val="6"/>
                <w:szCs w:val="6"/>
                <w:color w:val="auto"/>
              </w:rPr>
            </w:pPr>
          </w:p>
        </w:tc>
        <w:tc>
          <w:tcPr>
            <w:tcW w:w="960" w:type="dxa"/>
            <w:vAlign w:val="bottom"/>
            <w:vMerge w:val="continue"/>
            <w:shd w:val="clear" w:color="auto" w:fill="CCECFF"/>
          </w:tcPr>
          <w:p>
            <w:pPr>
              <w:spacing w:after="0"/>
              <w:rPr>
                <w:sz w:val="6"/>
                <w:szCs w:val="6"/>
                <w:color w:val="auto"/>
              </w:rPr>
            </w:pPr>
          </w:p>
        </w:tc>
        <w:tc>
          <w:tcPr>
            <w:tcW w:w="780" w:type="dxa"/>
            <w:vAlign w:val="bottom"/>
            <w:shd w:val="clear" w:color="auto" w:fill="CCECFF"/>
          </w:tcPr>
          <w:p>
            <w:pPr>
              <w:spacing w:after="0"/>
              <w:rPr>
                <w:sz w:val="6"/>
                <w:szCs w:val="6"/>
                <w:color w:val="auto"/>
              </w:rPr>
            </w:pPr>
          </w:p>
        </w:tc>
        <w:tc>
          <w:tcPr>
            <w:tcW w:w="840" w:type="dxa"/>
            <w:vAlign w:val="bottom"/>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Spendmend Holdings LLC - Unfunded Term Loan </w:t>
            </w:r>
            <w:r>
              <w:rPr>
                <w:rFonts w:ascii="Times New Roman" w:cs="Times New Roman" w:eastAsia="Times New Roman" w:hAnsi="Times New Roman"/>
                <w:sz w:val="12"/>
                <w:szCs w:val="12"/>
                <w:color w:val="auto"/>
                <w:vertAlign w:val="superscript"/>
              </w:rPr>
              <w:t>(8)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11/25/2026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3,261</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Spendmend Holdings LLC (Revolver) </w:t>
            </w:r>
            <w:r>
              <w:rPr>
                <w:rFonts w:ascii="Times New Roman" w:cs="Times New Roman" w:eastAsia="Times New Roman" w:hAnsi="Times New Roman"/>
                <w:sz w:val="12"/>
                <w:szCs w:val="12"/>
                <w:color w:val="auto"/>
                <w:vertAlign w:val="superscript"/>
              </w:rPr>
              <w:t>(8)</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03/01/2028</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891</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11/24/2028</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8.76 %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1M SOFR+425</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1,985</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1,971</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1,588</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SV-Aero Holdings, LLC - Term Loan</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11/01/2030</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9.78 %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15,567</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15,489</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15,411</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SV-Aero Holdings, LLC - Unfunded Term Loan </w:t>
            </w:r>
            <w:r>
              <w:rPr>
                <w:rFonts w:ascii="Times New Roman" w:cs="Times New Roman" w:eastAsia="Times New Roman" w:hAnsi="Times New Roman"/>
                <w:sz w:val="12"/>
                <w:szCs w:val="12"/>
                <w:color w:val="auto"/>
                <w:vertAlign w:val="superscript"/>
              </w:rPr>
              <w:t>(8)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10/31/2026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7,259</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(36 )</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 Research,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08/16/2027</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9.28 %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SOFR+500</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20,409</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20,199</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20,429</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w w:val="97"/>
              </w:rPr>
              <w:t xml:space="preserve">System Planning and Analysis, Inc. (f/k/a Management Consulting &amp; Research, LLC) </w:t>
            </w:r>
            <w:r>
              <w:rPr>
                <w:rFonts w:ascii="Times New Roman" w:cs="Times New Roman" w:eastAsia="Times New Roman" w:hAnsi="Times New Roman"/>
                <w:sz w:val="12"/>
                <w:szCs w:val="12"/>
                <w:color w:val="auto"/>
                <w:w w:val="97"/>
                <w:vertAlign w:val="superscript"/>
              </w:rPr>
              <w:t>(8)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08/16/2027</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12,537</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107</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System Planning and Analysis, Inc. - (Revolver) </w:t>
            </w:r>
            <w:r>
              <w:rPr>
                <w:rFonts w:ascii="Times New Roman" w:cs="Times New Roman" w:eastAsia="Times New Roman" w:hAnsi="Times New Roman"/>
                <w:sz w:val="12"/>
                <w:szCs w:val="12"/>
                <w:color w:val="auto"/>
                <w:vertAlign w:val="superscript"/>
              </w:rPr>
              <w:t>(8)</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08/16/2027</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8,364</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3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S101 Holdings,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10.24 %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SOFR+565</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12,408</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12,284</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12,346</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8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S101 Holdings, Inc. - Unfunded Term Loan 2 </w:t>
            </w:r>
            <w:r>
              <w:rPr>
                <w:rFonts w:ascii="Times New Roman" w:cs="Times New Roman" w:eastAsia="Times New Roman" w:hAnsi="Times New Roman"/>
                <w:sz w:val="12"/>
                <w:szCs w:val="12"/>
                <w:color w:val="auto"/>
                <w:vertAlign w:val="superscript"/>
              </w:rPr>
              <w:t>(8)</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01/16/2025</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3,365</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17</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TCG 3.0 Jogger Acquisitionco,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01/26/2029</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10.83 %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SOFR+650</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6,948</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6,845</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6,878</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TCG 3.0 Jogger Acquisitionco, Inc. - Funded Revolver</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01/26/2029</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13.00 %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SOFR+550</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243</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243</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240</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TCG 3.0 Jogger Acquisitionco, Inc. - (Revolver) </w:t>
            </w:r>
            <w:r>
              <w:rPr>
                <w:rFonts w:ascii="Times New Roman" w:cs="Times New Roman" w:eastAsia="Times New Roman" w:hAnsi="Times New Roman"/>
                <w:sz w:val="12"/>
                <w:szCs w:val="12"/>
                <w:color w:val="auto"/>
                <w:vertAlign w:val="superscript"/>
              </w:rPr>
              <w:t>(8)</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01/26/2029</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2,184</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(22 )</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12/20/2027</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9.82 %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15,412</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15,178</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15,438</w:t>
            </w:r>
          </w:p>
        </w:tc>
        <w:tc>
          <w:tcPr>
            <w:tcW w:w="0" w:type="dxa"/>
            <w:vAlign w:val="bottom"/>
          </w:tcPr>
          <w:p>
            <w:pPr>
              <w:spacing w:after="0"/>
              <w:rPr>
                <w:sz w:val="1"/>
                <w:szCs w:val="1"/>
                <w:color w:val="auto"/>
              </w:rPr>
            </w:pPr>
          </w:p>
        </w:tc>
      </w:tr>
      <w:tr>
        <w:trPr>
          <w:trHeight w:val="120"/>
        </w:trPr>
        <w:tc>
          <w:tcPr>
            <w:tcW w:w="3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07/28/2026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11.05 %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SOFR+665</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8,549</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8,472</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8,549</w:t>
            </w:r>
          </w:p>
        </w:tc>
        <w:tc>
          <w:tcPr>
            <w:tcW w:w="0" w:type="dxa"/>
            <w:vAlign w:val="bottom"/>
          </w:tcPr>
          <w:p>
            <w:pPr>
              <w:spacing w:after="0"/>
              <w:rPr>
                <w:sz w:val="1"/>
                <w:szCs w:val="1"/>
                <w:color w:val="auto"/>
              </w:rPr>
            </w:pPr>
          </w:p>
        </w:tc>
      </w:tr>
      <w:tr>
        <w:trPr>
          <w:trHeight w:val="120"/>
        </w:trPr>
        <w:tc>
          <w:tcPr>
            <w:tcW w:w="3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The Bluebird Group LLC (Revolver) </w:t>
            </w:r>
            <w:r>
              <w:rPr>
                <w:rFonts w:ascii="Times New Roman" w:cs="Times New Roman" w:eastAsia="Times New Roman" w:hAnsi="Times New Roman"/>
                <w:sz w:val="12"/>
                <w:szCs w:val="12"/>
                <w:color w:val="auto"/>
                <w:vertAlign w:val="superscript"/>
              </w:rPr>
              <w:t>(6), (8)</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07/28/2026</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862</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bl>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90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8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100" w:type="dxa"/>
            <w:vAlign w:val="bottom"/>
          </w:tcPr>
          <w:p>
            <w:pPr>
              <w:jc w:val="center"/>
              <w:ind w:left="252"/>
              <w:spacing w:after="0"/>
              <w:rPr>
                <w:sz w:val="20"/>
                <w:szCs w:val="20"/>
                <w:color w:val="auto"/>
              </w:rPr>
            </w:pPr>
            <w:r>
              <w:rPr>
                <w:rFonts w:ascii="Times New Roman" w:cs="Times New Roman" w:eastAsia="Times New Roman" w:hAnsi="Times New Roman"/>
                <w:sz w:val="10"/>
                <w:szCs w:val="10"/>
                <w:b w:val="1"/>
                <w:bCs w:val="1"/>
                <w:color w:val="auto"/>
                <w:w w:val="92"/>
              </w:rPr>
              <w:t>Maturity</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90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80" w:type="dxa"/>
            <w:vAlign w:val="bottom"/>
          </w:tcPr>
          <w:p>
            <w:pPr>
              <w:jc w:val="center"/>
              <w:ind w:right="9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7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840" w:type="dxa"/>
            <w:vAlign w:val="bottom"/>
          </w:tcPr>
          <w:p>
            <w:pPr>
              <w:jc w:val="right"/>
              <w:ind w:right="11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The Vertex Companies, LLC </w:t>
            </w:r>
            <w:r>
              <w:rPr>
                <w:rFonts w:ascii="Times New Roman" w:cs="Times New Roman" w:eastAsia="Times New Roman" w:hAnsi="Times New Roman"/>
                <w:sz w:val="12"/>
                <w:szCs w:val="12"/>
                <w:color w:val="auto"/>
                <w:vertAlign w:val="superscript"/>
              </w:rPr>
              <w:t>(6)</w:t>
            </w:r>
          </w:p>
        </w:tc>
        <w:tc>
          <w:tcPr>
            <w:tcW w:w="11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08/30/2027</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10.24 %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1M SOFR+610</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8,957</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8,878</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8,832</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The Vertex Companies, LLC - Unfunded Term Loan </w:t>
            </w:r>
            <w:r>
              <w:rPr>
                <w:rFonts w:ascii="Times New Roman" w:cs="Times New Roman" w:eastAsia="Times New Roman" w:hAnsi="Times New Roman"/>
                <w:sz w:val="12"/>
                <w:szCs w:val="12"/>
                <w:color w:val="auto"/>
                <w:vertAlign w:val="superscript"/>
              </w:rPr>
              <w:t>(8)</w:t>
            </w:r>
          </w:p>
        </w:tc>
        <w:tc>
          <w:tcPr>
            <w:tcW w:w="11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11/04/2026</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9,122</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(59 )</w:t>
            </w: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The Vertex Companies, LLC (Revolver) </w:t>
            </w:r>
            <w:r>
              <w:rPr>
                <w:rFonts w:ascii="Times New Roman" w:cs="Times New Roman" w:eastAsia="Times New Roman" w:hAnsi="Times New Roman"/>
                <w:sz w:val="12"/>
                <w:szCs w:val="12"/>
                <w:color w:val="auto"/>
                <w:vertAlign w:val="superscript"/>
              </w:rPr>
              <w:t>(6), (8)</w:t>
            </w:r>
          </w:p>
        </w:tc>
        <w:tc>
          <w:tcPr>
            <w:tcW w:w="11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08/30/2027</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5,472</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(77 )</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TPC US Parent, LLC</w:t>
            </w:r>
          </w:p>
        </w:tc>
        <w:tc>
          <w:tcPr>
            <w:tcW w:w="11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11/24/2025</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Food Products</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10.49 %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SOFR+565</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11,858</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11,793</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11,858</w:t>
            </w: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TransGo, LLC</w:t>
            </w:r>
          </w:p>
        </w:tc>
        <w:tc>
          <w:tcPr>
            <w:tcW w:w="11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12/29/2028</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Components</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10.11 %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11,601</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11,450</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11,601</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TransGo, LLC (Revolver) </w:t>
            </w:r>
            <w:r>
              <w:rPr>
                <w:rFonts w:ascii="Times New Roman" w:cs="Times New Roman" w:eastAsia="Times New Roman" w:hAnsi="Times New Roman"/>
                <w:sz w:val="12"/>
                <w:szCs w:val="12"/>
                <w:color w:val="auto"/>
                <w:vertAlign w:val="superscript"/>
              </w:rPr>
              <w:t>(6), (8)</w:t>
            </w:r>
          </w:p>
        </w:tc>
        <w:tc>
          <w:tcPr>
            <w:tcW w:w="11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12/29/2028</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Components</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4,440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11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06/16/2025</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10.80 %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1M SOFR+640</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2,343</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2,340</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2,343</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TWS Acquisition Corporation (Revolver) </w:t>
            </w:r>
            <w:r>
              <w:rPr>
                <w:rFonts w:ascii="Times New Roman" w:cs="Times New Roman" w:eastAsia="Times New Roman" w:hAnsi="Times New Roman"/>
                <w:sz w:val="12"/>
                <w:szCs w:val="12"/>
                <w:color w:val="auto"/>
                <w:vertAlign w:val="superscript"/>
              </w:rPr>
              <w:t>(6), (8)</w:t>
            </w:r>
          </w:p>
        </w:tc>
        <w:tc>
          <w:tcPr>
            <w:tcW w:w="11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06/16/2025</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2,628</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11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04/01/2028</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9.49 %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1M SOFR+490</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11,928</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11,829</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11,761</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US Fertility Enterprises, LLC - Unfunded Term Loan </w:t>
            </w:r>
            <w:r>
              <w:rPr>
                <w:rFonts w:ascii="Times New Roman" w:cs="Times New Roman" w:eastAsia="Times New Roman" w:hAnsi="Times New Roman"/>
                <w:sz w:val="12"/>
                <w:szCs w:val="12"/>
                <w:color w:val="auto"/>
                <w:vertAlign w:val="superscript"/>
              </w:rPr>
              <w:t>(8)</w:t>
            </w:r>
          </w:p>
        </w:tc>
        <w:tc>
          <w:tcPr>
            <w:tcW w:w="11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10/07/2026</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54</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11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06/15/2027</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9.83 %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SOFR+550</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3,597</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3,580</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3,579</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Urology Management Holdings, Inc. - Unfunded Term Loan </w:t>
            </w:r>
            <w:r>
              <w:rPr>
                <w:rFonts w:ascii="Times New Roman" w:cs="Times New Roman" w:eastAsia="Times New Roman" w:hAnsi="Times New Roman"/>
                <w:sz w:val="12"/>
                <w:szCs w:val="12"/>
                <w:color w:val="auto"/>
                <w:vertAlign w:val="superscript"/>
              </w:rPr>
              <w:t>(8)</w:t>
            </w:r>
          </w:p>
        </w:tc>
        <w:tc>
          <w:tcPr>
            <w:tcW w:w="11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09/03/2026</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2,400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VRS Buyer, Inc.</w:t>
            </w:r>
          </w:p>
        </w:tc>
        <w:tc>
          <w:tcPr>
            <w:tcW w:w="11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11/22/2030</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Road and Rail</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9.26 %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SOFR+475</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14,454</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14,347</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14,346</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VRS Buyer, Inc. - Unfunded Term Loan </w:t>
            </w:r>
            <w:r>
              <w:rPr>
                <w:rFonts w:ascii="Times New Roman" w:cs="Times New Roman" w:eastAsia="Times New Roman" w:hAnsi="Times New Roman"/>
                <w:sz w:val="12"/>
                <w:szCs w:val="12"/>
                <w:color w:val="auto"/>
                <w:vertAlign w:val="superscript"/>
              </w:rPr>
              <w:t>(8)</w:t>
            </w:r>
          </w:p>
        </w:tc>
        <w:tc>
          <w:tcPr>
            <w:tcW w:w="11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11/22/2026</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Road and Rail</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7,644</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VRS Buyer, Inc. - Unfunded Revolver </w:t>
            </w:r>
            <w:r>
              <w:rPr>
                <w:rFonts w:ascii="Times New Roman" w:cs="Times New Roman" w:eastAsia="Times New Roman" w:hAnsi="Times New Roman"/>
                <w:sz w:val="12"/>
                <w:szCs w:val="12"/>
                <w:color w:val="auto"/>
                <w:vertAlign w:val="superscript"/>
              </w:rPr>
              <w:t>(8)</w:t>
            </w:r>
          </w:p>
        </w:tc>
        <w:tc>
          <w:tcPr>
            <w:tcW w:w="11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11/22/2030</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Road and Rail</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3,822</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LLC - Term Loan </w:t>
            </w:r>
            <w:r>
              <w:rPr>
                <w:rFonts w:ascii="Times New Roman" w:cs="Times New Roman" w:eastAsia="Times New Roman" w:hAnsi="Times New Roman"/>
                <w:sz w:val="12"/>
                <w:szCs w:val="12"/>
                <w:color w:val="auto"/>
                <w:vertAlign w:val="superscript"/>
              </w:rPr>
              <w:t>(10)</w:t>
            </w:r>
          </w:p>
        </w:tc>
        <w:tc>
          <w:tcPr>
            <w:tcW w:w="11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03/01/2029</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5,999</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5,359</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 Unfunded Term Loan </w:t>
            </w:r>
            <w:r>
              <w:rPr>
                <w:rFonts w:ascii="Times New Roman" w:cs="Times New Roman" w:eastAsia="Times New Roman" w:hAnsi="Times New Roman"/>
                <w:sz w:val="12"/>
                <w:szCs w:val="12"/>
                <w:color w:val="auto"/>
                <w:vertAlign w:val="superscript"/>
              </w:rPr>
              <w:t>(8), (10)</w:t>
            </w:r>
          </w:p>
        </w:tc>
        <w:tc>
          <w:tcPr>
            <w:tcW w:w="11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03/01/2029</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500</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(500 )</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 Funded Junior Revolver </w:t>
            </w:r>
            <w:r>
              <w:rPr>
                <w:rFonts w:ascii="Times New Roman" w:cs="Times New Roman" w:eastAsia="Times New Roman" w:hAnsi="Times New Roman"/>
                <w:sz w:val="12"/>
                <w:szCs w:val="12"/>
                <w:color w:val="auto"/>
                <w:vertAlign w:val="superscript"/>
              </w:rPr>
              <w:t>(10)</w:t>
            </w:r>
          </w:p>
        </w:tc>
        <w:tc>
          <w:tcPr>
            <w:tcW w:w="11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03/01/2029</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1,667</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1,667</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1,128</w:t>
            </w: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Watchtower Intermediate, LLC</w:t>
            </w:r>
          </w:p>
        </w:tc>
        <w:tc>
          <w:tcPr>
            <w:tcW w:w="11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12/01/2029</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10.33 %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SOFR+600</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9,032</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8,914</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9,032</w:t>
            </w:r>
          </w:p>
        </w:tc>
        <w:tc>
          <w:tcPr>
            <w:tcW w:w="0" w:type="dxa"/>
            <w:vAlign w:val="bottom"/>
          </w:tcPr>
          <w:p>
            <w:pPr>
              <w:spacing w:after="0"/>
              <w:rPr>
                <w:sz w:val="1"/>
                <w:szCs w:val="1"/>
                <w:color w:val="auto"/>
              </w:rPr>
            </w:pPr>
          </w:p>
        </w:tc>
      </w:tr>
      <w:tr>
        <w:trPr>
          <w:trHeight w:val="121"/>
        </w:trPr>
        <w:tc>
          <w:tcPr>
            <w:tcW w:w="3240" w:type="dxa"/>
            <w:vAlign w:val="bottom"/>
            <w:shd w:val="clear" w:color="auto" w:fill="CCECFF"/>
          </w:tcPr>
          <w:p>
            <w:pPr>
              <w:spacing w:after="0"/>
              <w:rPr>
                <w:sz w:val="10"/>
                <w:szCs w:val="10"/>
                <w:color w:val="auto"/>
              </w:rPr>
            </w:pPr>
          </w:p>
        </w:tc>
        <w:tc>
          <w:tcPr>
            <w:tcW w:w="1100" w:type="dxa"/>
            <w:vAlign w:val="bottom"/>
            <w:shd w:val="clear" w:color="auto" w:fill="CCECFF"/>
          </w:tcPr>
          <w:p>
            <w:pPr>
              <w:spacing w:after="0"/>
              <w:rPr>
                <w:sz w:val="10"/>
                <w:szCs w:val="10"/>
                <w:color w:val="auto"/>
              </w:rPr>
            </w:pP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9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Watchtower Intermediate, LLC - Unfunded Term Loan </w:t>
            </w:r>
            <w:r>
              <w:rPr>
                <w:rFonts w:ascii="Times New Roman" w:cs="Times New Roman" w:eastAsia="Times New Roman" w:hAnsi="Times New Roman"/>
                <w:sz w:val="12"/>
                <w:szCs w:val="12"/>
                <w:color w:val="auto"/>
                <w:vertAlign w:val="superscript"/>
              </w:rPr>
              <w:t>(8)</w:t>
            </w:r>
          </w:p>
        </w:tc>
        <w:tc>
          <w:tcPr>
            <w:tcW w:w="11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12/01/2025</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2,100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24</w:t>
            </w: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Watchtower Intermediate, LLC (Revolver) </w:t>
            </w:r>
            <w:r>
              <w:rPr>
                <w:rFonts w:ascii="Times New Roman" w:cs="Times New Roman" w:eastAsia="Times New Roman" w:hAnsi="Times New Roman"/>
                <w:sz w:val="12"/>
                <w:szCs w:val="12"/>
                <w:color w:val="auto"/>
                <w:vertAlign w:val="superscript"/>
              </w:rPr>
              <w:t>(8)</w:t>
            </w:r>
          </w:p>
        </w:tc>
        <w:tc>
          <w:tcPr>
            <w:tcW w:w="11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12/01/2029</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6,300</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Wrench Group, LLC</w:t>
            </w:r>
          </w:p>
        </w:tc>
        <w:tc>
          <w:tcPr>
            <w:tcW w:w="11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10/30/2028</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8.59 %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SOFR+426</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3,474</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3,467</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3,326</w:t>
            </w:r>
          </w:p>
        </w:tc>
        <w:tc>
          <w:tcPr>
            <w:tcW w:w="0" w:type="dxa"/>
            <w:vAlign w:val="bottom"/>
          </w:tcPr>
          <w:p>
            <w:pPr>
              <w:spacing w:after="0"/>
              <w:rPr>
                <w:sz w:val="1"/>
                <w:szCs w:val="1"/>
                <w:color w:val="auto"/>
              </w:rPr>
            </w:pPr>
          </w:p>
        </w:tc>
      </w:tr>
      <w:tr>
        <w:trPr>
          <w:trHeight w:val="121"/>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11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01/16/2025</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Automobiles</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12.46 %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SOFR+740</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13,670</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13,666</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12,132</w:t>
            </w:r>
          </w:p>
        </w:tc>
        <w:tc>
          <w:tcPr>
            <w:tcW w:w="0" w:type="dxa"/>
            <w:vAlign w:val="bottom"/>
          </w:tcPr>
          <w:p>
            <w:pPr>
              <w:spacing w:after="0"/>
              <w:rPr>
                <w:sz w:val="1"/>
                <w:szCs w:val="1"/>
                <w:color w:val="auto"/>
              </w:rPr>
            </w:pPr>
          </w:p>
        </w:tc>
      </w:tr>
      <w:tr>
        <w:trPr>
          <w:trHeight w:val="120"/>
        </w:trPr>
        <w:tc>
          <w:tcPr>
            <w:tcW w:w="3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(PIK 12.46%)</w:t>
            </w: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1100" w:type="dxa"/>
            <w:vAlign w:val="bottom"/>
            <w:shd w:val="clear" w:color="auto" w:fill="CCECFF"/>
          </w:tcPr>
          <w:p>
            <w:pPr>
              <w:spacing w:after="0"/>
              <w:rPr>
                <w:sz w:val="10"/>
                <w:szCs w:val="10"/>
                <w:color w:val="auto"/>
              </w:rPr>
            </w:pPr>
          </w:p>
        </w:tc>
        <w:tc>
          <w:tcPr>
            <w:tcW w:w="186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1,746,097</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1,726,126</w:t>
            </w: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Subordinate Debt - 0.4%</w:t>
            </w:r>
          </w:p>
        </w:tc>
        <w:tc>
          <w:tcPr>
            <w:tcW w:w="11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Beacon Behavioral Holdings LLC</w:t>
            </w:r>
          </w:p>
        </w:tc>
        <w:tc>
          <w:tcPr>
            <w:tcW w:w="11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06/21/2030</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15.00 %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1,082</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1,068</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1,066</w:t>
            </w: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ORL Holdco, Inc. - Convertible Notes</w:t>
            </w:r>
          </w:p>
        </w:tc>
        <w:tc>
          <w:tcPr>
            <w:tcW w:w="11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03/08/2028</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18.00 %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13</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13</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ORL Holdco, Inc. - Unfunded Convertible Notes </w:t>
            </w:r>
            <w:r>
              <w:rPr>
                <w:rFonts w:ascii="Times New Roman" w:cs="Times New Roman" w:eastAsia="Times New Roman" w:hAnsi="Times New Roman"/>
                <w:sz w:val="12"/>
                <w:szCs w:val="12"/>
                <w:color w:val="auto"/>
                <w:vertAlign w:val="superscript"/>
              </w:rPr>
              <w:t>(8)</w:t>
            </w:r>
          </w:p>
        </w:tc>
        <w:tc>
          <w:tcPr>
            <w:tcW w:w="11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03/08/2028</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13</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OSP Embedded Aggregator, LP - Convertible Note</w:t>
            </w:r>
          </w:p>
        </w:tc>
        <w:tc>
          <w:tcPr>
            <w:tcW w:w="11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05/08/2030</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12.00 %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47</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471</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609</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Schlesinger Global, LLC - Promissory Note</w:t>
            </w:r>
          </w:p>
        </w:tc>
        <w:tc>
          <w:tcPr>
            <w:tcW w:w="11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01/08/2026</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12.31 %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SOFR+700</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66</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66</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136</w:t>
            </w: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StoicLane, Inc. - Convertible Notes</w:t>
            </w:r>
          </w:p>
        </w:tc>
        <w:tc>
          <w:tcPr>
            <w:tcW w:w="11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08/15/2027</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12.00 %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1,526</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1,526</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1,571</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StoicLane, Inc. - Unfunded Convertible Notes </w:t>
            </w:r>
            <w:r>
              <w:rPr>
                <w:rFonts w:ascii="Times New Roman" w:cs="Times New Roman" w:eastAsia="Times New Roman" w:hAnsi="Times New Roman"/>
                <w:sz w:val="12"/>
                <w:szCs w:val="12"/>
                <w:color w:val="auto"/>
                <w:vertAlign w:val="superscript"/>
              </w:rPr>
              <w:t>(8)</w:t>
            </w:r>
          </w:p>
        </w:tc>
        <w:tc>
          <w:tcPr>
            <w:tcW w:w="11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08/15/2027</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1,526</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46</w:t>
            </w: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Subordinate Debt</w:t>
            </w:r>
          </w:p>
        </w:tc>
        <w:tc>
          <w:tcPr>
            <w:tcW w:w="11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3,144</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3,435</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Preferred Equity - 2.0% </w:t>
            </w:r>
            <w:r>
              <w:rPr>
                <w:rFonts w:ascii="Times New Roman" w:cs="Times New Roman" w:eastAsia="Times New Roman" w:hAnsi="Times New Roman"/>
                <w:sz w:val="12"/>
                <w:szCs w:val="12"/>
                <w:color w:val="auto"/>
                <w:vertAlign w:val="superscript"/>
              </w:rPr>
              <w:t>(5)</w:t>
            </w:r>
          </w:p>
        </w:tc>
        <w:tc>
          <w:tcPr>
            <w:tcW w:w="1100" w:type="dxa"/>
            <w:vAlign w:val="bottom"/>
            <w:shd w:val="clear" w:color="auto" w:fill="CCECFF"/>
          </w:tcPr>
          <w:p>
            <w:pPr>
              <w:spacing w:after="0"/>
              <w:rPr>
                <w:sz w:val="10"/>
                <w:szCs w:val="10"/>
                <w:color w:val="auto"/>
              </w:rPr>
            </w:pPr>
          </w:p>
        </w:tc>
        <w:tc>
          <w:tcPr>
            <w:tcW w:w="186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Accounting Platform Blocker, Inc -. Preferred Equity</w:t>
            </w:r>
          </w:p>
        </w:tc>
        <w:tc>
          <w:tcPr>
            <w:tcW w:w="1100" w:type="dxa"/>
            <w:vAlign w:val="bottom"/>
          </w:tcPr>
          <w:p>
            <w:pPr>
              <w:spacing w:after="0"/>
              <w:rPr>
                <w:sz w:val="10"/>
                <w:szCs w:val="1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1,075,900</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1,076</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1,087</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Ad.net Holdings, Inc.</w:t>
            </w:r>
          </w:p>
        </w:tc>
        <w:tc>
          <w:tcPr>
            <w:tcW w:w="1100" w:type="dxa"/>
            <w:vAlign w:val="bottom"/>
            <w:shd w:val="clear" w:color="auto" w:fill="CCECFF"/>
          </w:tcPr>
          <w:p>
            <w:pPr>
              <w:spacing w:after="0"/>
              <w:rPr>
                <w:sz w:val="10"/>
                <w:szCs w:val="10"/>
                <w:color w:val="auto"/>
              </w:rPr>
            </w:pP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6,720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672</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868</w:t>
            </w: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AFC Acquisitions, Inc. (Preferred) </w:t>
            </w:r>
            <w:r>
              <w:rPr>
                <w:rFonts w:ascii="Times New Roman" w:cs="Times New Roman" w:eastAsia="Times New Roman" w:hAnsi="Times New Roman"/>
                <w:sz w:val="12"/>
                <w:szCs w:val="12"/>
                <w:color w:val="auto"/>
                <w:vertAlign w:val="superscript"/>
              </w:rPr>
              <w:t>(7)</w:t>
            </w:r>
          </w:p>
        </w:tc>
        <w:tc>
          <w:tcPr>
            <w:tcW w:w="1100" w:type="dxa"/>
            <w:vAlign w:val="bottom"/>
          </w:tcPr>
          <w:p>
            <w:pPr>
              <w:spacing w:after="0"/>
              <w:rPr>
                <w:sz w:val="10"/>
                <w:szCs w:val="1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854</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1,314</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1,601</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Anteriad Holdings, LP (f/k/a MeritDirect Holdings, LP) </w:t>
            </w:r>
            <w:r>
              <w:rPr>
                <w:rFonts w:ascii="Times New Roman" w:cs="Times New Roman" w:eastAsia="Times New Roman" w:hAnsi="Times New Roman"/>
                <w:sz w:val="12"/>
                <w:szCs w:val="12"/>
                <w:color w:val="auto"/>
                <w:vertAlign w:val="superscript"/>
              </w:rPr>
              <w:t>(6), (7)</w:t>
            </w:r>
          </w:p>
        </w:tc>
        <w:tc>
          <w:tcPr>
            <w:tcW w:w="1100" w:type="dxa"/>
            <w:vAlign w:val="bottom"/>
            <w:shd w:val="clear" w:color="auto" w:fill="CCECFF"/>
          </w:tcPr>
          <w:p>
            <w:pPr>
              <w:spacing w:after="0"/>
              <w:rPr>
                <w:sz w:val="10"/>
                <w:szCs w:val="10"/>
                <w:color w:val="auto"/>
              </w:rPr>
            </w:pP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2,018</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2,018</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2,108</w:t>
            </w: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BioDerm Holdings, LP - Preferred Equity</w:t>
            </w:r>
          </w:p>
        </w:tc>
        <w:tc>
          <w:tcPr>
            <w:tcW w:w="1100" w:type="dxa"/>
            <w:vAlign w:val="bottom"/>
          </w:tcPr>
          <w:p>
            <w:pPr>
              <w:spacing w:after="0"/>
              <w:rPr>
                <w:sz w:val="10"/>
                <w:szCs w:val="1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1,313</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1,313</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1,128</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Cartessa Aesthetics, LLC (Preferred) </w:t>
            </w:r>
            <w:r>
              <w:rPr>
                <w:rFonts w:ascii="Times New Roman" w:cs="Times New Roman" w:eastAsia="Times New Roman" w:hAnsi="Times New Roman"/>
                <w:sz w:val="12"/>
                <w:szCs w:val="12"/>
                <w:color w:val="auto"/>
                <w:vertAlign w:val="superscript"/>
              </w:rPr>
              <w:t>(7)</w:t>
            </w:r>
          </w:p>
        </w:tc>
        <w:tc>
          <w:tcPr>
            <w:tcW w:w="1100" w:type="dxa"/>
            <w:vAlign w:val="bottom"/>
            <w:shd w:val="clear" w:color="auto" w:fill="CCECFF"/>
          </w:tcPr>
          <w:p>
            <w:pPr>
              <w:spacing w:after="0"/>
              <w:rPr>
                <w:sz w:val="10"/>
                <w:szCs w:val="10"/>
                <w:color w:val="auto"/>
              </w:rPr>
            </w:pP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1,437,500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1,438</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2,720</w:t>
            </w: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Parent, LLC - Preferred Equity</w:t>
            </w:r>
          </w:p>
        </w:tc>
        <w:tc>
          <w:tcPr>
            <w:tcW w:w="1100" w:type="dxa"/>
            <w:vAlign w:val="bottom"/>
          </w:tcPr>
          <w:p>
            <w:pPr>
              <w:spacing w:after="0"/>
              <w:rPr>
                <w:sz w:val="10"/>
                <w:szCs w:val="1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5,311</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C5MI Holdco, LLC. - Preferred Equity </w:t>
            </w:r>
            <w:r>
              <w:rPr>
                <w:rFonts w:ascii="Times New Roman" w:cs="Times New Roman" w:eastAsia="Times New Roman" w:hAnsi="Times New Roman"/>
                <w:sz w:val="12"/>
                <w:szCs w:val="12"/>
                <w:color w:val="auto"/>
                <w:vertAlign w:val="superscript"/>
              </w:rPr>
              <w:t>(7)</w:t>
            </w:r>
          </w:p>
        </w:tc>
        <w:tc>
          <w:tcPr>
            <w:tcW w:w="1100" w:type="dxa"/>
            <w:vAlign w:val="bottom"/>
            <w:shd w:val="clear" w:color="auto" w:fill="CCECFF"/>
          </w:tcPr>
          <w:p>
            <w:pPr>
              <w:spacing w:after="0"/>
              <w:rPr>
                <w:sz w:val="10"/>
                <w:szCs w:val="10"/>
                <w:color w:val="auto"/>
              </w:rPr>
            </w:pP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228,900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223</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243</w:t>
            </w: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EvAL Home Health Solutions, LLC - Preferred Equity </w:t>
            </w:r>
            <w:r>
              <w:rPr>
                <w:rFonts w:ascii="Times New Roman" w:cs="Times New Roman" w:eastAsia="Times New Roman" w:hAnsi="Times New Roman"/>
                <w:sz w:val="12"/>
                <w:szCs w:val="12"/>
                <w:color w:val="auto"/>
                <w:vertAlign w:val="superscript"/>
              </w:rPr>
              <w:t>(7)</w:t>
            </w:r>
          </w:p>
        </w:tc>
        <w:tc>
          <w:tcPr>
            <w:tcW w:w="1100" w:type="dxa"/>
            <w:vAlign w:val="bottom"/>
          </w:tcPr>
          <w:p>
            <w:pPr>
              <w:spacing w:after="0"/>
              <w:rPr>
                <w:sz w:val="10"/>
                <w:szCs w:val="1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876,386</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1,455</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1,557</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Schlesinger Coinvest LLC (Preferred Equity)</w:t>
            </w:r>
          </w:p>
        </w:tc>
        <w:tc>
          <w:tcPr>
            <w:tcW w:w="1100" w:type="dxa"/>
            <w:vAlign w:val="bottom"/>
            <w:shd w:val="clear" w:color="auto" w:fill="CCECFF"/>
          </w:tcPr>
          <w:p>
            <w:pPr>
              <w:spacing w:after="0"/>
              <w:rPr>
                <w:sz w:val="10"/>
                <w:szCs w:val="10"/>
                <w:color w:val="auto"/>
              </w:rPr>
            </w:pP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64</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64</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30</w:t>
            </w:r>
          </w:p>
        </w:tc>
        <w:tc>
          <w:tcPr>
            <w:tcW w:w="0" w:type="dxa"/>
            <w:vAlign w:val="bottom"/>
          </w:tcPr>
          <w:p>
            <w:pPr>
              <w:spacing w:after="0"/>
              <w:rPr>
                <w:sz w:val="1"/>
                <w:szCs w:val="1"/>
                <w:color w:val="auto"/>
              </w:rPr>
            </w:pPr>
          </w:p>
        </w:tc>
      </w:tr>
      <w:tr>
        <w:trPr>
          <w:trHeight w:val="158"/>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Hancock Claims Consultants Investors, LLC (Preferred Equity) </w:t>
            </w:r>
            <w:r>
              <w:rPr>
                <w:rFonts w:ascii="Times New Roman" w:cs="Times New Roman" w:eastAsia="Times New Roman" w:hAnsi="Times New Roman"/>
                <w:sz w:val="12"/>
                <w:szCs w:val="12"/>
                <w:color w:val="auto"/>
                <w:vertAlign w:val="superscript"/>
              </w:rPr>
              <w:t>(7)</w:t>
            </w:r>
          </w:p>
        </w:tc>
        <w:tc>
          <w:tcPr>
            <w:tcW w:w="1100" w:type="dxa"/>
            <w:vAlign w:val="bottom"/>
          </w:tcPr>
          <w:p>
            <w:pPr>
              <w:spacing w:after="0"/>
              <w:rPr>
                <w:sz w:val="13"/>
                <w:szCs w:val="13"/>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00" w:type="dxa"/>
            <w:vAlign w:val="bottom"/>
            <w:vMerge w:val="restart"/>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vMerge w:val="restart"/>
          </w:tcPr>
          <w:p>
            <w:pPr>
              <w:jc w:val="right"/>
              <w:ind w:right="172"/>
              <w:spacing w:after="0"/>
              <w:rPr>
                <w:sz w:val="20"/>
                <w:szCs w:val="20"/>
                <w:color w:val="auto"/>
              </w:rPr>
            </w:pPr>
            <w:r>
              <w:rPr>
                <w:rFonts w:ascii="Times New Roman" w:cs="Times New Roman" w:eastAsia="Times New Roman" w:hAnsi="Times New Roman"/>
                <w:sz w:val="10"/>
                <w:szCs w:val="10"/>
                <w:color w:val="auto"/>
              </w:rPr>
              <w:t>116,588</w:t>
            </w:r>
          </w:p>
        </w:tc>
        <w:tc>
          <w:tcPr>
            <w:tcW w:w="78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auto"/>
              </w:rPr>
              <w:t>76</w:t>
            </w:r>
          </w:p>
        </w:tc>
        <w:tc>
          <w:tcPr>
            <w:tcW w:w="84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187</w:t>
            </w:r>
          </w:p>
        </w:tc>
        <w:tc>
          <w:tcPr>
            <w:tcW w:w="0" w:type="dxa"/>
            <w:vAlign w:val="bottom"/>
          </w:tcPr>
          <w:p>
            <w:pPr>
              <w:spacing w:after="0"/>
              <w:rPr>
                <w:sz w:val="1"/>
                <w:szCs w:val="1"/>
                <w:color w:val="auto"/>
              </w:rPr>
            </w:pPr>
          </w:p>
        </w:tc>
      </w:tr>
      <w:tr>
        <w:trPr>
          <w:trHeight w:val="70"/>
        </w:trPr>
        <w:tc>
          <w:tcPr>
            <w:tcW w:w="3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Topco, LP</w:t>
            </w:r>
          </w:p>
        </w:tc>
        <w:tc>
          <w:tcPr>
            <w:tcW w:w="1100" w:type="dxa"/>
            <w:vAlign w:val="bottom"/>
            <w:shd w:val="clear" w:color="auto" w:fill="CCECFF"/>
          </w:tcPr>
          <w:p>
            <w:pPr>
              <w:spacing w:after="0"/>
              <w:rPr>
                <w:sz w:val="10"/>
                <w:szCs w:val="10"/>
                <w:color w:val="auto"/>
              </w:rPr>
            </w:pP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8.00 %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1,236,027</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1,236</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1,503</w:t>
            </w: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A Preferred Equity </w:t>
            </w:r>
            <w:r>
              <w:rPr>
                <w:rFonts w:ascii="Times New Roman" w:cs="Times New Roman" w:eastAsia="Times New Roman" w:hAnsi="Times New Roman"/>
                <w:sz w:val="12"/>
                <w:szCs w:val="12"/>
                <w:color w:val="auto"/>
                <w:vertAlign w:val="superscript"/>
              </w:rPr>
              <w:t>(7)</w:t>
            </w:r>
          </w:p>
        </w:tc>
        <w:tc>
          <w:tcPr>
            <w:tcW w:w="1100" w:type="dxa"/>
            <w:vAlign w:val="bottom"/>
          </w:tcPr>
          <w:p>
            <w:pPr>
              <w:spacing w:after="0"/>
              <w:rPr>
                <w:sz w:val="10"/>
                <w:szCs w:val="1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Automobiles</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47</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47</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32</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B Preferred Equity </w:t>
            </w:r>
            <w:r>
              <w:rPr>
                <w:rFonts w:ascii="Times New Roman" w:cs="Times New Roman" w:eastAsia="Times New Roman" w:hAnsi="Times New Roman"/>
                <w:sz w:val="12"/>
                <w:szCs w:val="12"/>
                <w:color w:val="auto"/>
                <w:vertAlign w:val="superscript"/>
              </w:rPr>
              <w:t>(7)</w:t>
            </w:r>
          </w:p>
        </w:tc>
        <w:tc>
          <w:tcPr>
            <w:tcW w:w="1100" w:type="dxa"/>
            <w:vAlign w:val="bottom"/>
            <w:shd w:val="clear" w:color="auto" w:fill="CCECFF"/>
          </w:tcPr>
          <w:p>
            <w:pPr>
              <w:spacing w:after="0"/>
              <w:rPr>
                <w:sz w:val="10"/>
                <w:szCs w:val="10"/>
                <w:color w:val="auto"/>
              </w:rPr>
            </w:pP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Automobiles</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31</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20</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Megawatt Acquisition Partners, LLC - Preferred A Equity</w:t>
            </w:r>
          </w:p>
        </w:tc>
        <w:tc>
          <w:tcPr>
            <w:tcW w:w="1100" w:type="dxa"/>
            <w:vAlign w:val="bottom"/>
          </w:tcPr>
          <w:p>
            <w:pPr>
              <w:spacing w:after="0"/>
              <w:rPr>
                <w:sz w:val="10"/>
                <w:szCs w:val="1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9,360</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936</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456</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NXOF Holdings, Inc. (Tyto Athene, LLC) </w:t>
            </w:r>
            <w:r>
              <w:rPr>
                <w:rFonts w:ascii="Times New Roman" w:cs="Times New Roman" w:eastAsia="Times New Roman" w:hAnsi="Times New Roman"/>
                <w:sz w:val="12"/>
                <w:szCs w:val="12"/>
                <w:color w:val="auto"/>
                <w:vertAlign w:val="superscript"/>
              </w:rPr>
              <w:t>(6)</w:t>
            </w:r>
          </w:p>
        </w:tc>
        <w:tc>
          <w:tcPr>
            <w:tcW w:w="1100" w:type="dxa"/>
            <w:vAlign w:val="bottom"/>
            <w:shd w:val="clear" w:color="auto" w:fill="CCECFF"/>
          </w:tcPr>
          <w:p>
            <w:pPr>
              <w:spacing w:after="0"/>
              <w:rPr>
                <w:sz w:val="10"/>
                <w:szCs w:val="10"/>
                <w:color w:val="auto"/>
              </w:rPr>
            </w:pP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1,935</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1,935</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2,690</w:t>
            </w: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ORL Holdco, Inc. </w:t>
            </w:r>
            <w:r>
              <w:rPr>
                <w:rFonts w:ascii="Times New Roman" w:cs="Times New Roman" w:eastAsia="Times New Roman" w:hAnsi="Times New Roman"/>
                <w:sz w:val="12"/>
                <w:szCs w:val="12"/>
                <w:color w:val="auto"/>
                <w:vertAlign w:val="superscript"/>
              </w:rPr>
              <w:t>(6)</w:t>
            </w:r>
          </w:p>
        </w:tc>
        <w:tc>
          <w:tcPr>
            <w:tcW w:w="1100" w:type="dxa"/>
            <w:vAlign w:val="bottom"/>
          </w:tcPr>
          <w:p>
            <w:pPr>
              <w:spacing w:after="0"/>
              <w:rPr>
                <w:sz w:val="10"/>
                <w:szCs w:val="1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1,327</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133</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PL Acquisitionco, LLC (Preferred Equity) </w:t>
            </w:r>
            <w:r>
              <w:rPr>
                <w:rFonts w:ascii="Times New Roman" w:cs="Times New Roman" w:eastAsia="Times New Roman" w:hAnsi="Times New Roman"/>
                <w:sz w:val="12"/>
                <w:szCs w:val="12"/>
                <w:color w:val="auto"/>
                <w:vertAlign w:val="superscript"/>
              </w:rPr>
              <w:t>(7)</w:t>
            </w:r>
          </w:p>
        </w:tc>
        <w:tc>
          <w:tcPr>
            <w:tcW w:w="1100" w:type="dxa"/>
            <w:vAlign w:val="bottom"/>
            <w:shd w:val="clear" w:color="auto" w:fill="CCECFF"/>
          </w:tcPr>
          <w:p>
            <w:pPr>
              <w:spacing w:after="0"/>
              <w:rPr>
                <w:sz w:val="10"/>
                <w:szCs w:val="10"/>
                <w:color w:val="auto"/>
              </w:rPr>
            </w:pP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Textiles, Apparel and Luxury Goods</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122</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122</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RTIC Parent Holdings, LLC - Class A Preferred Equity </w:t>
            </w:r>
            <w:r>
              <w:rPr>
                <w:rFonts w:ascii="Times New Roman" w:cs="Times New Roman" w:eastAsia="Times New Roman" w:hAnsi="Times New Roman"/>
                <w:sz w:val="12"/>
                <w:szCs w:val="12"/>
                <w:color w:val="auto"/>
                <w:vertAlign w:val="superscript"/>
              </w:rPr>
              <w:t>(7)</w:t>
            </w:r>
          </w:p>
        </w:tc>
        <w:tc>
          <w:tcPr>
            <w:tcW w:w="1100" w:type="dxa"/>
            <w:vAlign w:val="bottom"/>
          </w:tcPr>
          <w:p>
            <w:pPr>
              <w:spacing w:after="0"/>
              <w:rPr>
                <w:sz w:val="10"/>
                <w:szCs w:val="1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RTIC Parent Holdings, LLC - Class C Preferred Equity </w:t>
            </w:r>
            <w:r>
              <w:rPr>
                <w:rFonts w:ascii="Times New Roman" w:cs="Times New Roman" w:eastAsia="Times New Roman" w:hAnsi="Times New Roman"/>
                <w:sz w:val="12"/>
                <w:szCs w:val="12"/>
                <w:color w:val="auto"/>
                <w:vertAlign w:val="superscript"/>
              </w:rPr>
              <w:t>(7)</w:t>
            </w:r>
          </w:p>
        </w:tc>
        <w:tc>
          <w:tcPr>
            <w:tcW w:w="1100" w:type="dxa"/>
            <w:vAlign w:val="bottom"/>
            <w:shd w:val="clear" w:color="auto" w:fill="CCECFF"/>
          </w:tcPr>
          <w:p>
            <w:pPr>
              <w:spacing w:after="0"/>
              <w:rPr>
                <w:sz w:val="10"/>
                <w:szCs w:val="10"/>
                <w:color w:val="auto"/>
              </w:rPr>
            </w:pP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18,450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1,215</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1,837</w:t>
            </w: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RTIC Parent Holdings, LLC - Class D Preferred Equity </w:t>
            </w:r>
            <w:r>
              <w:rPr>
                <w:rFonts w:ascii="Times New Roman" w:cs="Times New Roman" w:eastAsia="Times New Roman" w:hAnsi="Times New Roman"/>
                <w:sz w:val="12"/>
                <w:szCs w:val="12"/>
                <w:color w:val="auto"/>
                <w:vertAlign w:val="superscript"/>
              </w:rPr>
              <w:t>(7)</w:t>
            </w:r>
          </w:p>
        </w:tc>
        <w:tc>
          <w:tcPr>
            <w:tcW w:w="1100" w:type="dxa"/>
            <w:vAlign w:val="bottom"/>
          </w:tcPr>
          <w:p>
            <w:pPr>
              <w:spacing w:after="0"/>
              <w:rPr>
                <w:sz w:val="10"/>
                <w:szCs w:val="1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19,584</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196</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229</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 L2 Holdings LLC - Preferred Equity</w:t>
            </w:r>
          </w:p>
        </w:tc>
        <w:tc>
          <w:tcPr>
            <w:tcW w:w="1100" w:type="dxa"/>
            <w:vAlign w:val="bottom"/>
            <w:shd w:val="clear" w:color="auto" w:fill="CCECFF"/>
          </w:tcPr>
          <w:p>
            <w:pPr>
              <w:spacing w:after="0"/>
              <w:rPr>
                <w:sz w:val="10"/>
                <w:szCs w:val="10"/>
                <w:color w:val="auto"/>
              </w:rPr>
            </w:pP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135,240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33</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33</w:t>
            </w: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SP L2 Holdings LLC - Unfunded Preferred Equity </w:t>
            </w:r>
            <w:r>
              <w:rPr>
                <w:rFonts w:ascii="Times New Roman" w:cs="Times New Roman" w:eastAsia="Times New Roman" w:hAnsi="Times New Roman"/>
                <w:sz w:val="12"/>
                <w:szCs w:val="12"/>
                <w:color w:val="auto"/>
                <w:vertAlign w:val="superscript"/>
              </w:rPr>
              <w:t>(8)</w:t>
            </w:r>
          </w:p>
        </w:tc>
        <w:tc>
          <w:tcPr>
            <w:tcW w:w="1100" w:type="dxa"/>
            <w:vAlign w:val="bottom"/>
          </w:tcPr>
          <w:p>
            <w:pPr>
              <w:spacing w:after="0"/>
              <w:rPr>
                <w:sz w:val="10"/>
                <w:szCs w:val="1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77,280</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TPC Holding Company, LP </w:t>
            </w:r>
            <w:r>
              <w:rPr>
                <w:rFonts w:ascii="Times New Roman" w:cs="Times New Roman" w:eastAsia="Times New Roman" w:hAnsi="Times New Roman"/>
                <w:sz w:val="12"/>
                <w:szCs w:val="12"/>
                <w:color w:val="auto"/>
                <w:vertAlign w:val="superscript"/>
              </w:rPr>
              <w:t>(6)</w:t>
            </w:r>
          </w:p>
        </w:tc>
        <w:tc>
          <w:tcPr>
            <w:tcW w:w="1100" w:type="dxa"/>
            <w:vAlign w:val="bottom"/>
            <w:shd w:val="clear" w:color="auto" w:fill="CCECFF"/>
          </w:tcPr>
          <w:p>
            <w:pPr>
              <w:spacing w:after="0"/>
              <w:rPr>
                <w:sz w:val="10"/>
                <w:szCs w:val="10"/>
                <w:color w:val="auto"/>
              </w:rPr>
            </w:pP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Food Products</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409</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409</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647</w:t>
            </w: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TWD Parent Holdings, LLC (The Vertex Companies, LLC) </w:t>
            </w:r>
            <w:r>
              <w:rPr>
                <w:rFonts w:ascii="Times New Roman" w:cs="Times New Roman" w:eastAsia="Times New Roman" w:hAnsi="Times New Roman"/>
                <w:sz w:val="12"/>
                <w:szCs w:val="12"/>
                <w:color w:val="auto"/>
                <w:vertAlign w:val="superscript"/>
              </w:rPr>
              <w:t>(6)</w:t>
            </w:r>
          </w:p>
        </w:tc>
        <w:tc>
          <w:tcPr>
            <w:tcW w:w="1100" w:type="dxa"/>
            <w:vAlign w:val="bottom"/>
          </w:tcPr>
          <w:p>
            <w:pPr>
              <w:spacing w:after="0"/>
              <w:rPr>
                <w:sz w:val="10"/>
                <w:szCs w:val="1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37</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35</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48</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UniTek Global Services, Inc. - Super Senior Preferred Equity </w:t>
            </w:r>
            <w:r>
              <w:rPr>
                <w:rFonts w:ascii="Times New Roman" w:cs="Times New Roman" w:eastAsia="Times New Roman" w:hAnsi="Times New Roman"/>
                <w:sz w:val="12"/>
                <w:szCs w:val="12"/>
                <w:color w:val="auto"/>
                <w:vertAlign w:val="superscript"/>
              </w:rPr>
              <w:t>(6)</w:t>
            </w:r>
          </w:p>
        </w:tc>
        <w:tc>
          <w:tcPr>
            <w:tcW w:w="1100" w:type="dxa"/>
            <w:vAlign w:val="bottom"/>
            <w:shd w:val="clear" w:color="auto" w:fill="CCECFF"/>
          </w:tcPr>
          <w:p>
            <w:pPr>
              <w:spacing w:after="0"/>
              <w:rPr>
                <w:sz w:val="10"/>
                <w:szCs w:val="10"/>
                <w:color w:val="auto"/>
              </w:rPr>
            </w:pP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20.00 %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343,861</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344</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33</w:t>
            </w:r>
          </w:p>
        </w:tc>
        <w:tc>
          <w:tcPr>
            <w:tcW w:w="0" w:type="dxa"/>
            <w:vAlign w:val="bottom"/>
          </w:tcPr>
          <w:p>
            <w:pPr>
              <w:spacing w:after="0"/>
              <w:rPr>
                <w:sz w:val="1"/>
                <w:szCs w:val="1"/>
                <w:color w:val="auto"/>
              </w:rPr>
            </w:pPr>
          </w:p>
        </w:tc>
      </w:tr>
      <w:tr>
        <w:trPr>
          <w:trHeight w:val="180"/>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UniTek Global Services, Inc. - Senior Preferred Equity </w:t>
            </w:r>
            <w:r>
              <w:rPr>
                <w:rFonts w:ascii="Times New Roman" w:cs="Times New Roman" w:eastAsia="Times New Roman" w:hAnsi="Times New Roman"/>
                <w:sz w:val="12"/>
                <w:szCs w:val="12"/>
                <w:color w:val="auto"/>
                <w:vertAlign w:val="superscript"/>
              </w:rPr>
              <w:t>(6)</w:t>
            </w:r>
          </w:p>
        </w:tc>
        <w:tc>
          <w:tcPr>
            <w:tcW w:w="110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19.00 %</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448,851</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449</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UniTek Global Services, Inc. </w:t>
            </w:r>
            <w:r>
              <w:rPr>
                <w:rFonts w:ascii="Times New Roman" w:cs="Times New Roman" w:eastAsia="Times New Roman" w:hAnsi="Times New Roman"/>
                <w:sz w:val="12"/>
                <w:szCs w:val="12"/>
                <w:color w:val="auto"/>
                <w:vertAlign w:val="superscript"/>
              </w:rPr>
              <w:t>(6)</w:t>
            </w:r>
          </w:p>
        </w:tc>
        <w:tc>
          <w:tcPr>
            <w:tcW w:w="1100" w:type="dxa"/>
            <w:vAlign w:val="bottom"/>
            <w:shd w:val="clear" w:color="auto" w:fill="CCECFF"/>
          </w:tcPr>
          <w:p>
            <w:pPr>
              <w:spacing w:after="0"/>
              <w:rPr>
                <w:sz w:val="10"/>
                <w:szCs w:val="10"/>
                <w:color w:val="auto"/>
              </w:rPr>
            </w:pP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13.50 %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1,047,317</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670</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Preferred Equity</w:t>
            </w:r>
          </w:p>
        </w:tc>
        <w:tc>
          <w:tcPr>
            <w:tcW w:w="11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17,443</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19,062</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Common Equity/Warrants - 16.5% </w:t>
            </w:r>
            <w:r>
              <w:rPr>
                <w:rFonts w:ascii="Times New Roman" w:cs="Times New Roman" w:eastAsia="Times New Roman" w:hAnsi="Times New Roman"/>
                <w:sz w:val="12"/>
                <w:szCs w:val="12"/>
                <w:color w:val="auto"/>
                <w:vertAlign w:val="superscript"/>
              </w:rPr>
              <w:t>(5)</w:t>
            </w:r>
          </w:p>
        </w:tc>
        <w:tc>
          <w:tcPr>
            <w:tcW w:w="1100" w:type="dxa"/>
            <w:vAlign w:val="bottom"/>
            <w:shd w:val="clear" w:color="auto" w:fill="CCECFF"/>
          </w:tcPr>
          <w:p>
            <w:pPr>
              <w:spacing w:after="0"/>
              <w:rPr>
                <w:sz w:val="10"/>
                <w:szCs w:val="10"/>
                <w:color w:val="auto"/>
              </w:rPr>
            </w:pPr>
          </w:p>
        </w:tc>
        <w:tc>
          <w:tcPr>
            <w:tcW w:w="186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A1 Garage Equity, LLC </w:t>
            </w:r>
            <w:r>
              <w:rPr>
                <w:rFonts w:ascii="Times New Roman" w:cs="Times New Roman" w:eastAsia="Times New Roman" w:hAnsi="Times New Roman"/>
                <w:sz w:val="12"/>
                <w:szCs w:val="12"/>
                <w:color w:val="auto"/>
                <w:vertAlign w:val="superscript"/>
              </w:rPr>
              <w:t>(7)</w:t>
            </w:r>
          </w:p>
        </w:tc>
        <w:tc>
          <w:tcPr>
            <w:tcW w:w="1100" w:type="dxa"/>
            <w:vAlign w:val="bottom"/>
          </w:tcPr>
          <w:p>
            <w:pPr>
              <w:spacing w:after="0"/>
              <w:rPr>
                <w:sz w:val="10"/>
                <w:szCs w:val="1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647,943</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648</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944</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ACP Big Top Holdings, L.P. - Common Equity</w:t>
            </w:r>
          </w:p>
        </w:tc>
        <w:tc>
          <w:tcPr>
            <w:tcW w:w="1100" w:type="dxa"/>
            <w:vAlign w:val="bottom"/>
            <w:shd w:val="clear" w:color="auto" w:fill="CCECFF"/>
          </w:tcPr>
          <w:p>
            <w:pPr>
              <w:spacing w:after="0"/>
              <w:rPr>
                <w:sz w:val="10"/>
                <w:szCs w:val="10"/>
                <w:color w:val="auto"/>
              </w:rPr>
            </w:pP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3,000,500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3,001</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3,745</w:t>
            </w:r>
          </w:p>
        </w:tc>
        <w:tc>
          <w:tcPr>
            <w:tcW w:w="0" w:type="dxa"/>
            <w:vAlign w:val="bottom"/>
          </w:tcPr>
          <w:p>
            <w:pPr>
              <w:spacing w:after="0"/>
              <w:rPr>
                <w:sz w:val="1"/>
                <w:szCs w:val="1"/>
                <w:color w:val="auto"/>
              </w:rPr>
            </w:pPr>
          </w:p>
        </w:tc>
      </w:tr>
      <w:tr>
        <w:trPr>
          <w:trHeight w:val="158"/>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Ad.net Holdings, Inc. </w:t>
            </w:r>
            <w:r>
              <w:rPr>
                <w:rFonts w:ascii="Times New Roman" w:cs="Times New Roman" w:eastAsia="Times New Roman" w:hAnsi="Times New Roman"/>
                <w:sz w:val="12"/>
                <w:szCs w:val="12"/>
                <w:color w:val="auto"/>
                <w:vertAlign w:val="superscript"/>
              </w:rPr>
              <w:t>(6)</w:t>
            </w:r>
          </w:p>
        </w:tc>
        <w:tc>
          <w:tcPr>
            <w:tcW w:w="110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7,467</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75</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22</w:t>
            </w: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4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40" w:type="dxa"/>
            <w:vAlign w:val="bottom"/>
          </w:tcPr>
          <w:p>
            <w:pPr>
              <w:ind w:left="42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78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40" w:type="dxa"/>
            <w:vAlign w:val="bottom"/>
          </w:tcPr>
          <w:p>
            <w:pPr>
              <w:jc w:val="center"/>
              <w:ind w:right="3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7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840" w:type="dxa"/>
            <w:vAlign w:val="bottom"/>
          </w:tcPr>
          <w:p>
            <w:pPr>
              <w:jc w:val="right"/>
              <w:ind w:right="11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Aechelon InvestCo, LP - Common Equity</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29,917</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2,992</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5,892</w:t>
            </w: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Aechelon InvestCo, LP - Unfunded </w:t>
            </w:r>
            <w:r>
              <w:rPr>
                <w:rFonts w:ascii="Times New Roman" w:cs="Times New Roman" w:eastAsia="Times New Roman" w:hAnsi="Times New Roman"/>
                <w:sz w:val="12"/>
                <w:szCs w:val="12"/>
                <w:color w:val="auto"/>
                <w:vertAlign w:val="superscript"/>
              </w:rPr>
              <w:t>(8)</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33,433</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Aftermarket Drivetrain Products Holdings, LLC</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Components</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2,632</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2,632</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3,701</w:t>
            </w: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12"/>
                <w:szCs w:val="12"/>
                <w:color w:val="auto"/>
                <w:vertAlign w:val="superscript"/>
              </w:rPr>
              <w:t>(6), (7)</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805,164</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805</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252</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12"/>
                <w:szCs w:val="12"/>
                <w:color w:val="auto"/>
                <w:vertAlign w:val="superscript"/>
              </w:rPr>
              <w:t>(6), (8)</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194,836</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(134 )</w:t>
            </w: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Altamira Intermediate Company II, Inc. </w:t>
            </w:r>
            <w:r>
              <w:rPr>
                <w:rFonts w:ascii="Times New Roman" w:cs="Times New Roman" w:eastAsia="Times New Roman" w:hAnsi="Times New Roman"/>
                <w:sz w:val="12"/>
                <w:szCs w:val="12"/>
                <w:color w:val="auto"/>
                <w:vertAlign w:val="superscript"/>
              </w:rPr>
              <w:t>(6)</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1,437,500</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1,438</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1,649</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Anteriad Holdings, LP (f/k/a MeritDirect Holdings, LP) </w:t>
            </w:r>
            <w:r>
              <w:rPr>
                <w:rFonts w:ascii="Times New Roman" w:cs="Times New Roman" w:eastAsia="Times New Roman" w:hAnsi="Times New Roman"/>
                <w:sz w:val="12"/>
                <w:szCs w:val="12"/>
                <w:color w:val="auto"/>
                <w:vertAlign w:val="superscript"/>
              </w:rPr>
              <w:t>(6), (7)</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2,018</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Athletico Holdings, LLC </w:t>
            </w:r>
            <w:r>
              <w:rPr>
                <w:rFonts w:ascii="Times New Roman" w:cs="Times New Roman" w:eastAsia="Times New Roman" w:hAnsi="Times New Roman"/>
                <w:sz w:val="12"/>
                <w:szCs w:val="12"/>
                <w:color w:val="auto"/>
                <w:vertAlign w:val="superscript"/>
              </w:rPr>
              <w:t>(7)</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4,678</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5,000</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3,368</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Azureon Holdings, LLC - Common Equity </w:t>
            </w:r>
            <w:r>
              <w:rPr>
                <w:rFonts w:ascii="Times New Roman" w:cs="Times New Roman" w:eastAsia="Times New Roman" w:hAnsi="Times New Roman"/>
                <w:sz w:val="12"/>
                <w:szCs w:val="12"/>
                <w:color w:val="auto"/>
                <w:vertAlign w:val="superscript"/>
              </w:rPr>
              <w:t>(7)</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1,130,707</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1,131</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1,047</w:t>
            </w: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BioDerm Holdings, LP</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1,313</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Holdings, LP</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Components</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112</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114</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118</w:t>
            </w: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By Light Investco LP </w:t>
            </w:r>
            <w:r>
              <w:rPr>
                <w:rFonts w:ascii="Times New Roman" w:cs="Times New Roman" w:eastAsia="Times New Roman" w:hAnsi="Times New Roman"/>
                <w:sz w:val="12"/>
                <w:szCs w:val="12"/>
                <w:color w:val="auto"/>
                <w:vertAlign w:val="superscript"/>
              </w:rPr>
              <w:t>(6), (7)</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22,789</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687</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21,231</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Carisk Parent, L.P.</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239,680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240</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236</w:t>
            </w: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Carnegie HoldCo, LLC - Common Equity </w:t>
            </w:r>
            <w:r>
              <w:rPr>
                <w:rFonts w:ascii="Times New Roman" w:cs="Times New Roman" w:eastAsia="Times New Roman" w:hAnsi="Times New Roman"/>
                <w:sz w:val="12"/>
                <w:szCs w:val="12"/>
                <w:color w:val="auto"/>
                <w:vertAlign w:val="superscript"/>
              </w:rPr>
              <w:t>(7)</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2,719,600</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2,646</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2,665</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Connatix Parent, LLC </w:t>
            </w:r>
            <w:r>
              <w:rPr>
                <w:rFonts w:ascii="Times New Roman" w:cs="Times New Roman" w:eastAsia="Times New Roman" w:hAnsi="Times New Roman"/>
                <w:sz w:val="12"/>
                <w:szCs w:val="12"/>
                <w:color w:val="auto"/>
                <w:vertAlign w:val="superscript"/>
              </w:rPr>
              <w:t>(6)</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38,278</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421</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47</w:t>
            </w: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Consello Pacific Aggregator, LLC </w:t>
            </w:r>
            <w:r>
              <w:rPr>
                <w:rFonts w:ascii="Times New Roman" w:cs="Times New Roman" w:eastAsia="Times New Roman" w:hAnsi="Times New Roman"/>
                <w:sz w:val="12"/>
                <w:szCs w:val="12"/>
                <w:color w:val="auto"/>
                <w:vertAlign w:val="superscript"/>
              </w:rPr>
              <w:t>(7)</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1,025,476</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973</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831</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Crane 1 Acquisition Parent Holdings, L.P. </w:t>
            </w:r>
            <w:r>
              <w:rPr>
                <w:rFonts w:ascii="Times New Roman" w:cs="Times New Roman" w:eastAsia="Times New Roman" w:hAnsi="Times New Roman"/>
                <w:sz w:val="12"/>
                <w:szCs w:val="12"/>
                <w:color w:val="auto"/>
                <w:vertAlign w:val="superscript"/>
              </w:rPr>
              <w:t>(6)</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130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120</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235</w:t>
            </w: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C5MI Holdco, LLC. - Common Equity </w:t>
            </w:r>
            <w:r>
              <w:rPr>
                <w:rFonts w:ascii="Times New Roman" w:cs="Times New Roman" w:eastAsia="Times New Roman" w:hAnsi="Times New Roman"/>
                <w:sz w:val="12"/>
                <w:szCs w:val="12"/>
                <w:color w:val="auto"/>
                <w:vertAlign w:val="superscript"/>
              </w:rPr>
              <w:t>(7)</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1,659,050</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1,659</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1,392</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Delta InvestCo LP (Sigma Defense Systems, LLC) </w:t>
            </w:r>
            <w:r>
              <w:rPr>
                <w:rFonts w:ascii="Times New Roman" w:cs="Times New Roman" w:eastAsia="Times New Roman" w:hAnsi="Times New Roman"/>
                <w:sz w:val="12"/>
                <w:szCs w:val="12"/>
                <w:color w:val="auto"/>
                <w:vertAlign w:val="superscript"/>
              </w:rPr>
              <w:t>(6), (7)</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804,615</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763</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1,359</w:t>
            </w: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Delta InvestCo LP (Sigma Defense Systems, LLC) </w:t>
            </w:r>
            <w:r>
              <w:rPr>
                <w:rFonts w:ascii="Times New Roman" w:cs="Times New Roman" w:eastAsia="Times New Roman" w:hAnsi="Times New Roman"/>
                <w:sz w:val="12"/>
                <w:szCs w:val="12"/>
                <w:color w:val="auto"/>
                <w:vertAlign w:val="superscript"/>
              </w:rPr>
              <w:t>(6), (8)</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200,255</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DUGGAL EQUITY, LP – Common Equity</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686</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686</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718</w:t>
            </w: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eCommission Holding Corporation </w:t>
            </w:r>
            <w:r>
              <w:rPr>
                <w:rFonts w:ascii="Times New Roman" w:cs="Times New Roman" w:eastAsia="Times New Roman" w:hAnsi="Times New Roman"/>
                <w:sz w:val="12"/>
                <w:szCs w:val="12"/>
                <w:color w:val="auto"/>
                <w:vertAlign w:val="superscript"/>
              </w:rPr>
              <w:t>(6), (9)</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Banking, Finance, Insurance &amp; Real Estate</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20</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226</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619</w:t>
            </w:r>
          </w:p>
        </w:tc>
        <w:tc>
          <w:tcPr>
            <w:tcW w:w="0" w:type="dxa"/>
            <w:vAlign w:val="bottom"/>
          </w:tcPr>
          <w:p>
            <w:pPr>
              <w:spacing w:after="0"/>
              <w:rPr>
                <w:sz w:val="1"/>
                <w:szCs w:val="1"/>
                <w:color w:val="auto"/>
              </w:rPr>
            </w:pPr>
          </w:p>
        </w:tc>
      </w:tr>
      <w:tr>
        <w:trPr>
          <w:trHeight w:val="121"/>
        </w:trPr>
        <w:tc>
          <w:tcPr>
            <w:tcW w:w="334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78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EDS Topco, LP</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1,125,000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1,125</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1,569</w:t>
            </w: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Events TopCo, LP</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Event Services</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381,300</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381</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381</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Exigo, LLC</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541,667</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542</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646</w:t>
            </w: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FedHC InvestCo LP </w:t>
            </w:r>
            <w:r>
              <w:rPr>
                <w:rFonts w:ascii="Times New Roman" w:cs="Times New Roman" w:eastAsia="Times New Roman" w:hAnsi="Times New Roman"/>
                <w:sz w:val="12"/>
                <w:szCs w:val="12"/>
                <w:color w:val="auto"/>
                <w:vertAlign w:val="superscript"/>
              </w:rPr>
              <w:t>(6), (7)</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22,671</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810</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2,648</w:t>
            </w:r>
          </w:p>
        </w:tc>
        <w:tc>
          <w:tcPr>
            <w:tcW w:w="0" w:type="dxa"/>
            <w:vAlign w:val="bottom"/>
          </w:tcPr>
          <w:p>
            <w:pPr>
              <w:spacing w:after="0"/>
              <w:rPr>
                <w:sz w:val="1"/>
                <w:szCs w:val="1"/>
                <w:color w:val="auto"/>
              </w:rPr>
            </w:pPr>
          </w:p>
        </w:tc>
      </w:tr>
      <w:tr>
        <w:trPr>
          <w:trHeight w:val="124"/>
        </w:trPr>
        <w:tc>
          <w:tcPr>
            <w:tcW w:w="334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FedHC InvestCo LP </w:t>
            </w:r>
            <w:r>
              <w:rPr>
                <w:rFonts w:ascii="Times New Roman" w:cs="Times New Roman" w:eastAsia="Times New Roman" w:hAnsi="Times New Roman"/>
                <w:sz w:val="12"/>
                <w:szCs w:val="12"/>
                <w:color w:val="auto"/>
                <w:vertAlign w:val="superscript"/>
              </w:rPr>
              <w:t>(6), (8)</w:t>
            </w:r>
          </w:p>
        </w:tc>
        <w:tc>
          <w:tcPr>
            <w:tcW w:w="940" w:type="dxa"/>
            <w:vAlign w:val="bottom"/>
            <w:shd w:val="clear" w:color="auto" w:fill="CCECFF"/>
          </w:tcPr>
          <w:p>
            <w:pPr>
              <w:spacing w:after="0"/>
              <w:rPr>
                <w:sz w:val="10"/>
                <w:szCs w:val="10"/>
                <w:color w:val="auto"/>
              </w:rPr>
            </w:pPr>
          </w:p>
        </w:tc>
        <w:tc>
          <w:tcPr>
            <w:tcW w:w="198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80" w:type="dxa"/>
            <w:vAlign w:val="bottom"/>
            <w:vMerge w:val="restart"/>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vMerge w:val="restart"/>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3,721</w:t>
            </w:r>
          </w:p>
        </w:tc>
        <w:tc>
          <w:tcPr>
            <w:tcW w:w="780" w:type="dxa"/>
            <w:vAlign w:val="bottom"/>
            <w:vMerge w:val="restart"/>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vMerge w:val="restart"/>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80"/>
        </w:trPr>
        <w:tc>
          <w:tcPr>
            <w:tcW w:w="3340" w:type="dxa"/>
            <w:vAlign w:val="bottom"/>
            <w:vMerge w:val="continue"/>
            <w:shd w:val="clear" w:color="auto" w:fill="CCECFF"/>
          </w:tcPr>
          <w:p>
            <w:pPr>
              <w:spacing w:after="0"/>
              <w:rPr>
                <w:sz w:val="6"/>
                <w:szCs w:val="6"/>
                <w:color w:val="auto"/>
              </w:rPr>
            </w:pPr>
          </w:p>
        </w:tc>
        <w:tc>
          <w:tcPr>
            <w:tcW w:w="940" w:type="dxa"/>
            <w:vAlign w:val="bottom"/>
            <w:shd w:val="clear" w:color="auto" w:fill="CCECFF"/>
          </w:tcPr>
          <w:p>
            <w:pPr>
              <w:spacing w:after="0"/>
              <w:rPr>
                <w:sz w:val="6"/>
                <w:szCs w:val="6"/>
                <w:color w:val="auto"/>
              </w:rPr>
            </w:pPr>
          </w:p>
        </w:tc>
        <w:tc>
          <w:tcPr>
            <w:tcW w:w="1980" w:type="dxa"/>
            <w:vAlign w:val="bottom"/>
            <w:vMerge w:val="continue"/>
            <w:shd w:val="clear" w:color="auto" w:fill="CCECFF"/>
          </w:tcPr>
          <w:p>
            <w:pPr>
              <w:spacing w:after="0"/>
              <w:rPr>
                <w:sz w:val="6"/>
                <w:szCs w:val="6"/>
                <w:color w:val="auto"/>
              </w:rPr>
            </w:pPr>
          </w:p>
        </w:tc>
        <w:tc>
          <w:tcPr>
            <w:tcW w:w="780" w:type="dxa"/>
            <w:vAlign w:val="bottom"/>
            <w:vMerge w:val="continue"/>
            <w:shd w:val="clear" w:color="auto" w:fill="CCECFF"/>
          </w:tcPr>
          <w:p>
            <w:pPr>
              <w:spacing w:after="0"/>
              <w:rPr>
                <w:sz w:val="6"/>
                <w:szCs w:val="6"/>
                <w:color w:val="auto"/>
              </w:rPr>
            </w:pPr>
          </w:p>
        </w:tc>
        <w:tc>
          <w:tcPr>
            <w:tcW w:w="940" w:type="dxa"/>
            <w:vAlign w:val="bottom"/>
            <w:vMerge w:val="continue"/>
            <w:shd w:val="clear" w:color="auto" w:fill="CCECFF"/>
          </w:tcPr>
          <w:p>
            <w:pPr>
              <w:spacing w:after="0"/>
              <w:rPr>
                <w:sz w:val="6"/>
                <w:szCs w:val="6"/>
                <w:color w:val="auto"/>
              </w:rPr>
            </w:pPr>
          </w:p>
        </w:tc>
        <w:tc>
          <w:tcPr>
            <w:tcW w:w="960" w:type="dxa"/>
            <w:vAlign w:val="bottom"/>
            <w:shd w:val="clear" w:color="auto" w:fill="CCECFF"/>
          </w:tcPr>
          <w:p>
            <w:pPr>
              <w:spacing w:after="0"/>
              <w:rPr>
                <w:sz w:val="6"/>
                <w:szCs w:val="6"/>
                <w:color w:val="auto"/>
              </w:rPr>
            </w:pPr>
          </w:p>
        </w:tc>
        <w:tc>
          <w:tcPr>
            <w:tcW w:w="780" w:type="dxa"/>
            <w:vAlign w:val="bottom"/>
            <w:vMerge w:val="continue"/>
            <w:shd w:val="clear" w:color="auto" w:fill="CCECFF"/>
          </w:tcPr>
          <w:p>
            <w:pPr>
              <w:spacing w:after="0"/>
              <w:rPr>
                <w:sz w:val="6"/>
                <w:szCs w:val="6"/>
                <w:color w:val="auto"/>
              </w:rPr>
            </w:pPr>
          </w:p>
        </w:tc>
        <w:tc>
          <w:tcPr>
            <w:tcW w:w="840" w:type="dxa"/>
            <w:vAlign w:val="bottom"/>
            <w:vMerge w:val="continue"/>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Five Star Parent Holdings, LLC</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655,714</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656</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546</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ETE Blocker, LLC</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374,444</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374</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258</w:t>
            </w: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Gauge Lash Coinvest LLC </w:t>
            </w:r>
            <w:r>
              <w:rPr>
                <w:rFonts w:ascii="Times New Roman" w:cs="Times New Roman" w:eastAsia="Times New Roman" w:hAnsi="Times New Roman"/>
                <w:sz w:val="12"/>
                <w:szCs w:val="12"/>
                <w:color w:val="auto"/>
                <w:vertAlign w:val="superscript"/>
              </w:rPr>
              <w:t>(6)</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1,840,021</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1,393</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4,783</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Loving Tan, LP</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2,914,701</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2,915</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2,968</w:t>
            </w: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Gauge Schlesinger Coinvest LLC </w:t>
            </w:r>
            <w:r>
              <w:rPr>
                <w:rFonts w:ascii="Times New Roman" w:cs="Times New Roman" w:eastAsia="Times New Roman" w:hAnsi="Times New Roman"/>
                <w:sz w:val="12"/>
                <w:szCs w:val="12"/>
                <w:color w:val="auto"/>
                <w:vertAlign w:val="superscript"/>
              </w:rPr>
              <w:t>(6)</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465</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476</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218</w:t>
            </w:r>
          </w:p>
        </w:tc>
        <w:tc>
          <w:tcPr>
            <w:tcW w:w="0" w:type="dxa"/>
            <w:vAlign w:val="bottom"/>
          </w:tcPr>
          <w:p>
            <w:pPr>
              <w:spacing w:after="0"/>
              <w:rPr>
                <w:sz w:val="1"/>
                <w:szCs w:val="1"/>
                <w:color w:val="auto"/>
              </w:rPr>
            </w:pPr>
          </w:p>
        </w:tc>
      </w:tr>
      <w:tr>
        <w:trPr>
          <w:trHeight w:val="121"/>
        </w:trPr>
        <w:tc>
          <w:tcPr>
            <w:tcW w:w="334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Independent Power and Renewable</w:t>
            </w:r>
          </w:p>
        </w:tc>
        <w:tc>
          <w:tcPr>
            <w:tcW w:w="78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GCP Boss Holdco, LLC - Common Equity</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Electricity Producers</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2,194,800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2,195</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2,195</w:t>
            </w: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GCOM InvestCo LP </w:t>
            </w:r>
            <w:r>
              <w:rPr>
                <w:rFonts w:ascii="Times New Roman" w:cs="Times New Roman" w:eastAsia="Times New Roman" w:hAnsi="Times New Roman"/>
                <w:sz w:val="12"/>
                <w:szCs w:val="12"/>
                <w:color w:val="auto"/>
                <w:vertAlign w:val="superscript"/>
              </w:rPr>
              <w:t>(6)</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19,184</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3,342</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4,590</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GGG Topco, LLC – Common Equity </w:t>
            </w:r>
            <w:r>
              <w:rPr>
                <w:rFonts w:ascii="Times New Roman" w:cs="Times New Roman" w:eastAsia="Times New Roman" w:hAnsi="Times New Roman"/>
                <w:sz w:val="12"/>
                <w:szCs w:val="12"/>
                <w:color w:val="auto"/>
                <w:vertAlign w:val="superscript"/>
              </w:rPr>
              <w:t>(7)</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2,759,800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2,760</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2,770</w:t>
            </w: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GMP Hills, L.P.</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4,430,843</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4,431</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4,387</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Hancock Claims Consultants Investors, LLC </w:t>
            </w:r>
            <w:r>
              <w:rPr>
                <w:rFonts w:ascii="Times New Roman" w:cs="Times New Roman" w:eastAsia="Times New Roman" w:hAnsi="Times New Roman"/>
                <w:sz w:val="12"/>
                <w:szCs w:val="12"/>
                <w:color w:val="auto"/>
                <w:vertAlign w:val="superscript"/>
              </w:rPr>
              <w:t>(6), (7)</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450,000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448</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414</w:t>
            </w: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HPA SPQ Aggregator LP</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750,399</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750</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786</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100,000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100</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Icon Partners V C, L.P.</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1,885,663</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1,886</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1,844</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Icon Partners V C, L.P. </w:t>
            </w:r>
            <w:r>
              <w:rPr>
                <w:rFonts w:ascii="Times New Roman" w:cs="Times New Roman" w:eastAsia="Times New Roman" w:hAnsi="Times New Roman"/>
                <w:sz w:val="12"/>
                <w:szCs w:val="12"/>
                <w:color w:val="auto"/>
                <w:vertAlign w:val="superscript"/>
              </w:rPr>
              <w:t>(6), (8)</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614,337</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IIN Group Holdings, LLC </w:t>
            </w:r>
            <w:r>
              <w:rPr>
                <w:rFonts w:ascii="Times New Roman" w:cs="Times New Roman" w:eastAsia="Times New Roman" w:hAnsi="Times New Roman"/>
                <w:sz w:val="12"/>
                <w:szCs w:val="12"/>
                <w:color w:val="auto"/>
                <w:vertAlign w:val="superscript"/>
              </w:rPr>
              <w:t>(7)</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Services</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1,000</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1,000</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Topco, LP (Common)</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1,236,027</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IHS Parent Holdngs, L.P.</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1,218,045</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1,218</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1,937</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Ironclad Holdco, LLC (Applied Technical Services, LLC) </w:t>
            </w:r>
            <w:r>
              <w:rPr>
                <w:rFonts w:ascii="Times New Roman" w:cs="Times New Roman" w:eastAsia="Times New Roman" w:hAnsi="Times New Roman"/>
                <w:sz w:val="12"/>
                <w:szCs w:val="12"/>
                <w:color w:val="auto"/>
                <w:vertAlign w:val="superscript"/>
              </w:rPr>
              <w:t>(6)</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6,355</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668</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988</w:t>
            </w: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ITC Infusion Co-invest, LP </w:t>
            </w:r>
            <w:r>
              <w:rPr>
                <w:rFonts w:ascii="Times New Roman" w:cs="Times New Roman" w:eastAsia="Times New Roman" w:hAnsi="Times New Roman"/>
                <w:sz w:val="12"/>
                <w:szCs w:val="12"/>
                <w:color w:val="auto"/>
                <w:vertAlign w:val="superscript"/>
              </w:rPr>
              <w:t>(7)</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116,032</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1,195</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2,424</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1,734,775</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1,735</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1,744</w:t>
            </w: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KL Stockton Co-Invest LP (Any Hour Services) </w:t>
            </w:r>
            <w:r>
              <w:rPr>
                <w:rFonts w:ascii="Times New Roman" w:cs="Times New Roman" w:eastAsia="Times New Roman" w:hAnsi="Times New Roman"/>
                <w:sz w:val="12"/>
                <w:szCs w:val="12"/>
                <w:color w:val="auto"/>
                <w:vertAlign w:val="superscript"/>
              </w:rPr>
              <w:t>(6), (7)</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Energy Equipment and Services</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382,353</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385</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781</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Lightspeed Investment Holdco LLC </w:t>
            </w:r>
            <w:r>
              <w:rPr>
                <w:rFonts w:ascii="Times New Roman" w:cs="Times New Roman" w:eastAsia="Times New Roman" w:hAnsi="Times New Roman"/>
                <w:sz w:val="12"/>
                <w:szCs w:val="12"/>
                <w:color w:val="auto"/>
                <w:vertAlign w:val="superscript"/>
              </w:rPr>
              <w:t>(6)</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585,587</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586</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2,107</w:t>
            </w: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LJ Avalon, LP</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1,638,043</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1,638</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2,342</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Lucky Bucks, LLC</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73,870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2,062</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781</w:t>
            </w: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Marketplace Events Holdings, LP</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4,099,000</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4,099</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4,099</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A Common Equity </w:t>
            </w:r>
            <w:r>
              <w:rPr>
                <w:rFonts w:ascii="Times New Roman" w:cs="Times New Roman" w:eastAsia="Times New Roman" w:hAnsi="Times New Roman"/>
                <w:sz w:val="12"/>
                <w:szCs w:val="12"/>
                <w:color w:val="auto"/>
                <w:vertAlign w:val="superscript"/>
              </w:rPr>
              <w:t>(7)</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Automobiles</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46,974</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B Common Equity </w:t>
            </w:r>
            <w:r>
              <w:rPr>
                <w:rFonts w:ascii="Times New Roman" w:cs="Times New Roman" w:eastAsia="Times New Roman" w:hAnsi="Times New Roman"/>
                <w:sz w:val="12"/>
                <w:szCs w:val="12"/>
                <w:color w:val="auto"/>
                <w:vertAlign w:val="superscript"/>
              </w:rPr>
              <w:t>(7)</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Automobiles</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30,926</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MDI Aggregator, LP</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Commodity Chemicals</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10,761</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1,078</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1,175</w:t>
            </w: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Meadowlark Title, LLC </w:t>
            </w:r>
            <w:r>
              <w:rPr>
                <w:rFonts w:ascii="Times New Roman" w:cs="Times New Roman" w:eastAsia="Times New Roman" w:hAnsi="Times New Roman"/>
                <w:sz w:val="12"/>
                <w:szCs w:val="12"/>
                <w:color w:val="auto"/>
                <w:vertAlign w:val="superscript"/>
              </w:rPr>
              <w:t>(7)</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819,231</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806</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334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78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Megawatt Acquisition Partners, LLC - Common A Equity</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1,040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104</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Municipal Emergency Services, Inc. </w:t>
            </w:r>
            <w:r>
              <w:rPr>
                <w:rFonts w:ascii="Times New Roman" w:cs="Times New Roman" w:eastAsia="Times New Roman" w:hAnsi="Times New Roman"/>
                <w:sz w:val="12"/>
                <w:szCs w:val="12"/>
                <w:color w:val="auto"/>
                <w:vertAlign w:val="superscript"/>
              </w:rPr>
              <w:t>(6)</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1,973,370</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2,005</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3,611</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NEPRT Parent Holdings, LLC (Recteq, LLC) </w:t>
            </w:r>
            <w:r>
              <w:rPr>
                <w:rFonts w:ascii="Times New Roman" w:cs="Times New Roman" w:eastAsia="Times New Roman" w:hAnsi="Times New Roman"/>
                <w:sz w:val="12"/>
                <w:szCs w:val="12"/>
                <w:color w:val="auto"/>
                <w:vertAlign w:val="superscript"/>
              </w:rPr>
              <w:t>(6), (7)</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1,494</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1,438</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104</w:t>
            </w: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New Insight Holdings, Inc. - Common Equity</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158,348</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2,771</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3,036</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New Medina Health, LLC </w:t>
            </w:r>
            <w:r>
              <w:rPr>
                <w:rFonts w:ascii="Times New Roman" w:cs="Times New Roman" w:eastAsia="Times New Roman" w:hAnsi="Times New Roman"/>
                <w:sz w:val="12"/>
                <w:szCs w:val="12"/>
                <w:color w:val="auto"/>
                <w:vertAlign w:val="superscript"/>
              </w:rPr>
              <w:t>(7)</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2,672,646</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2,673</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3,727</w:t>
            </w:r>
          </w:p>
        </w:tc>
        <w:tc>
          <w:tcPr>
            <w:tcW w:w="0" w:type="dxa"/>
            <w:vAlign w:val="bottom"/>
          </w:tcPr>
          <w:p>
            <w:pPr>
              <w:spacing w:after="0"/>
              <w:rPr>
                <w:sz w:val="1"/>
                <w:szCs w:val="1"/>
                <w:color w:val="auto"/>
              </w:rPr>
            </w:pPr>
          </w:p>
        </w:tc>
      </w:tr>
      <w:tr>
        <w:trPr>
          <w:trHeight w:val="124"/>
        </w:trPr>
        <w:tc>
          <w:tcPr>
            <w:tcW w:w="3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NFS - CFP Holdings LLC</w:t>
            </w:r>
          </w:p>
        </w:tc>
        <w:tc>
          <w:tcPr>
            <w:tcW w:w="940" w:type="dxa"/>
            <w:vAlign w:val="bottom"/>
          </w:tcPr>
          <w:p>
            <w:pPr>
              <w:spacing w:after="0"/>
              <w:rPr>
                <w:sz w:val="10"/>
                <w:szCs w:val="10"/>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780" w:type="dxa"/>
            <w:vAlign w:val="bottom"/>
            <w:vMerge w:val="restart"/>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vMerge w:val="restart"/>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vMerge w:val="restart"/>
          </w:tcPr>
          <w:p>
            <w:pPr>
              <w:jc w:val="right"/>
              <w:ind w:right="172"/>
              <w:spacing w:after="0"/>
              <w:rPr>
                <w:sz w:val="20"/>
                <w:szCs w:val="20"/>
                <w:color w:val="auto"/>
              </w:rPr>
            </w:pPr>
            <w:r>
              <w:rPr>
                <w:rFonts w:ascii="Times New Roman" w:cs="Times New Roman" w:eastAsia="Times New Roman" w:hAnsi="Times New Roman"/>
                <w:sz w:val="10"/>
                <w:szCs w:val="10"/>
                <w:color w:val="auto"/>
              </w:rPr>
              <w:t>1,337,017</w:t>
            </w:r>
          </w:p>
        </w:tc>
        <w:tc>
          <w:tcPr>
            <w:tcW w:w="78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auto"/>
              </w:rPr>
              <w:t>1,337</w:t>
            </w:r>
          </w:p>
        </w:tc>
        <w:tc>
          <w:tcPr>
            <w:tcW w:w="84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1,337</w:t>
            </w:r>
          </w:p>
        </w:tc>
        <w:tc>
          <w:tcPr>
            <w:tcW w:w="0" w:type="dxa"/>
            <w:vAlign w:val="bottom"/>
          </w:tcPr>
          <w:p>
            <w:pPr>
              <w:spacing w:after="0"/>
              <w:rPr>
                <w:sz w:val="1"/>
                <w:szCs w:val="1"/>
                <w:color w:val="auto"/>
              </w:rPr>
            </w:pPr>
          </w:p>
        </w:tc>
      </w:tr>
      <w:tr>
        <w:trPr>
          <w:trHeight w:val="92"/>
        </w:trPr>
        <w:tc>
          <w:tcPr>
            <w:tcW w:w="3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9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NORA Parent Holdings, LLC </w:t>
            </w:r>
            <w:r>
              <w:rPr>
                <w:rFonts w:ascii="Times New Roman" w:cs="Times New Roman" w:eastAsia="Times New Roman" w:hAnsi="Times New Roman"/>
                <w:sz w:val="12"/>
                <w:szCs w:val="12"/>
                <w:color w:val="auto"/>
                <w:vertAlign w:val="superscript"/>
              </w:rPr>
              <w:t>(7)</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2,544</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2,525</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2,037</w:t>
            </w: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North Haven Saints Equity Holdings, LP </w:t>
            </w:r>
            <w:r>
              <w:rPr>
                <w:rFonts w:ascii="Times New Roman" w:cs="Times New Roman" w:eastAsia="Times New Roman" w:hAnsi="Times New Roman"/>
                <w:sz w:val="12"/>
                <w:szCs w:val="12"/>
                <w:color w:val="auto"/>
                <w:vertAlign w:val="superscript"/>
              </w:rPr>
              <w:t>(7)</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223,602</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224</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250</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NXOF Holdings, Inc. (Tyto Athene, LLC) </w:t>
            </w:r>
            <w:r>
              <w:rPr>
                <w:rFonts w:ascii="Times New Roman" w:cs="Times New Roman" w:eastAsia="Times New Roman" w:hAnsi="Times New Roman"/>
                <w:sz w:val="12"/>
                <w:szCs w:val="12"/>
                <w:color w:val="auto"/>
                <w:vertAlign w:val="superscript"/>
              </w:rPr>
              <w:t>(6)</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37,561</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496</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OceanSound Discovery Equity, LP (Holdco Sands Intermediate, LLC) </w:t>
            </w:r>
            <w:r>
              <w:rPr>
                <w:rFonts w:ascii="Times New Roman" w:cs="Times New Roman" w:eastAsia="Times New Roman" w:hAnsi="Times New Roman"/>
                <w:sz w:val="12"/>
                <w:szCs w:val="12"/>
                <w:color w:val="auto"/>
                <w:vertAlign w:val="superscript"/>
              </w:rPr>
              <w:t>(6), (7)</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173,638</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1,736</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1,806</w:t>
            </w:r>
          </w:p>
        </w:tc>
        <w:tc>
          <w:tcPr>
            <w:tcW w:w="0" w:type="dxa"/>
            <w:vAlign w:val="bottom"/>
          </w:tcPr>
          <w:p>
            <w:pPr>
              <w:spacing w:after="0"/>
              <w:rPr>
                <w:sz w:val="1"/>
                <w:szCs w:val="1"/>
                <w:color w:val="auto"/>
              </w:rPr>
            </w:pPr>
          </w:p>
        </w:tc>
      </w:tr>
      <w:tr>
        <w:trPr>
          <w:trHeight w:val="124"/>
        </w:trPr>
        <w:tc>
          <w:tcPr>
            <w:tcW w:w="334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OES Co-Invest, LP - Class A Common Equity</w:t>
            </w:r>
          </w:p>
        </w:tc>
        <w:tc>
          <w:tcPr>
            <w:tcW w:w="940" w:type="dxa"/>
            <w:vAlign w:val="bottom"/>
            <w:shd w:val="clear" w:color="auto" w:fill="CCECFF"/>
          </w:tcPr>
          <w:p>
            <w:pPr>
              <w:spacing w:after="0"/>
              <w:rPr>
                <w:sz w:val="10"/>
                <w:szCs w:val="10"/>
                <w:color w:val="auto"/>
              </w:rPr>
            </w:pPr>
          </w:p>
        </w:tc>
        <w:tc>
          <w:tcPr>
            <w:tcW w:w="198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vMerge w:val="restart"/>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1,560</w:t>
            </w:r>
          </w:p>
        </w:tc>
        <w:tc>
          <w:tcPr>
            <w:tcW w:w="780" w:type="dxa"/>
            <w:vAlign w:val="bottom"/>
            <w:vMerge w:val="restart"/>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1,574</w:t>
            </w:r>
          </w:p>
        </w:tc>
        <w:tc>
          <w:tcPr>
            <w:tcW w:w="840" w:type="dxa"/>
            <w:vAlign w:val="bottom"/>
            <w:vMerge w:val="restart"/>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1,989</w:t>
            </w:r>
          </w:p>
        </w:tc>
        <w:tc>
          <w:tcPr>
            <w:tcW w:w="0" w:type="dxa"/>
            <w:vAlign w:val="bottom"/>
          </w:tcPr>
          <w:p>
            <w:pPr>
              <w:spacing w:after="0"/>
              <w:rPr>
                <w:sz w:val="1"/>
                <w:szCs w:val="1"/>
                <w:color w:val="auto"/>
              </w:rPr>
            </w:pPr>
          </w:p>
        </w:tc>
      </w:tr>
      <w:tr>
        <w:trPr>
          <w:trHeight w:val="92"/>
        </w:trPr>
        <w:tc>
          <w:tcPr>
            <w:tcW w:w="3340" w:type="dxa"/>
            <w:vAlign w:val="bottom"/>
            <w:vMerge w:val="continue"/>
            <w:shd w:val="clear" w:color="auto" w:fill="CCECFF"/>
          </w:tcPr>
          <w:p>
            <w:pPr>
              <w:spacing w:after="0"/>
              <w:rPr>
                <w:sz w:val="8"/>
                <w:szCs w:val="8"/>
                <w:color w:val="auto"/>
              </w:rPr>
            </w:pPr>
          </w:p>
        </w:tc>
        <w:tc>
          <w:tcPr>
            <w:tcW w:w="940" w:type="dxa"/>
            <w:vAlign w:val="bottom"/>
            <w:shd w:val="clear" w:color="auto" w:fill="CCECFF"/>
          </w:tcPr>
          <w:p>
            <w:pPr>
              <w:spacing w:after="0"/>
              <w:rPr>
                <w:sz w:val="8"/>
                <w:szCs w:val="8"/>
                <w:color w:val="auto"/>
              </w:rPr>
            </w:pPr>
          </w:p>
        </w:tc>
        <w:tc>
          <w:tcPr>
            <w:tcW w:w="1980" w:type="dxa"/>
            <w:vAlign w:val="bottom"/>
            <w:vMerge w:val="continue"/>
            <w:shd w:val="clear" w:color="auto" w:fill="CCECFF"/>
          </w:tcPr>
          <w:p>
            <w:pPr>
              <w:spacing w:after="0"/>
              <w:rPr>
                <w:sz w:val="8"/>
                <w:szCs w:val="8"/>
                <w:color w:val="auto"/>
              </w:rPr>
            </w:pPr>
          </w:p>
        </w:tc>
        <w:tc>
          <w:tcPr>
            <w:tcW w:w="780" w:type="dxa"/>
            <w:vAlign w:val="bottom"/>
            <w:shd w:val="clear" w:color="auto" w:fill="CCECFF"/>
          </w:tcPr>
          <w:p>
            <w:pPr>
              <w:spacing w:after="0"/>
              <w:rPr>
                <w:sz w:val="8"/>
                <w:szCs w:val="8"/>
                <w:color w:val="auto"/>
              </w:rPr>
            </w:pPr>
          </w:p>
        </w:tc>
        <w:tc>
          <w:tcPr>
            <w:tcW w:w="940" w:type="dxa"/>
            <w:vAlign w:val="bottom"/>
            <w:shd w:val="clear" w:color="auto" w:fill="CCECFF"/>
          </w:tcPr>
          <w:p>
            <w:pPr>
              <w:spacing w:after="0"/>
              <w:rPr>
                <w:sz w:val="8"/>
                <w:szCs w:val="8"/>
                <w:color w:val="auto"/>
              </w:rPr>
            </w:pPr>
          </w:p>
        </w:tc>
        <w:tc>
          <w:tcPr>
            <w:tcW w:w="960" w:type="dxa"/>
            <w:vAlign w:val="bottom"/>
            <w:vMerge w:val="continue"/>
            <w:shd w:val="clear" w:color="auto" w:fill="CCECFF"/>
          </w:tcPr>
          <w:p>
            <w:pPr>
              <w:spacing w:after="0"/>
              <w:rPr>
                <w:sz w:val="8"/>
                <w:szCs w:val="8"/>
                <w:color w:val="auto"/>
              </w:rPr>
            </w:pPr>
          </w:p>
        </w:tc>
        <w:tc>
          <w:tcPr>
            <w:tcW w:w="780" w:type="dxa"/>
            <w:vAlign w:val="bottom"/>
            <w:vMerge w:val="continue"/>
            <w:shd w:val="clear" w:color="auto" w:fill="CCECFF"/>
          </w:tcPr>
          <w:p>
            <w:pPr>
              <w:spacing w:after="0"/>
              <w:rPr>
                <w:sz w:val="8"/>
                <w:szCs w:val="8"/>
                <w:color w:val="auto"/>
              </w:rPr>
            </w:pPr>
          </w:p>
        </w:tc>
        <w:tc>
          <w:tcPr>
            <w:tcW w:w="840" w:type="dxa"/>
            <w:vAlign w:val="bottom"/>
            <w:vMerge w:val="continue"/>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OHCP V BC COI, L.P.</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1,166,407</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1,166</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758</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OHCP V BC COI, L.P. </w:t>
            </w:r>
            <w:r>
              <w:rPr>
                <w:rFonts w:ascii="Times New Roman" w:cs="Times New Roman" w:eastAsia="Times New Roman" w:hAnsi="Times New Roman"/>
                <w:sz w:val="12"/>
                <w:szCs w:val="12"/>
                <w:color w:val="auto"/>
                <w:vertAlign w:val="superscript"/>
              </w:rPr>
              <w:t>(8)</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83,593</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(29 )</w:t>
            </w: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ORL Holdco, Inc. </w:t>
            </w:r>
            <w:r>
              <w:rPr>
                <w:rFonts w:ascii="Times New Roman" w:cs="Times New Roman" w:eastAsia="Times New Roman" w:hAnsi="Times New Roman"/>
                <w:sz w:val="12"/>
                <w:szCs w:val="12"/>
                <w:color w:val="auto"/>
                <w:vertAlign w:val="superscript"/>
              </w:rPr>
              <w:t>(6)</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1,474</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15</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OSP Embedded Aggregator, LP</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1,728</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1,728</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2,234</w:t>
            </w: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Output Services Group, Inc.</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80,170</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642</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835</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PAR Excellence Holdings, Inc. - Common Equity</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1,902</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1,902</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2,569</w:t>
            </w: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PCS Parent, LP - Common Equity</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423,247</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423</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466</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PennantPark-TSO Senior Loan Fund, LP </w:t>
            </w:r>
            <w:r>
              <w:rPr>
                <w:rFonts w:ascii="Times New Roman" w:cs="Times New Roman" w:eastAsia="Times New Roman" w:hAnsi="Times New Roman"/>
                <w:sz w:val="12"/>
                <w:szCs w:val="12"/>
                <w:color w:val="auto"/>
                <w:vertAlign w:val="superscript"/>
              </w:rPr>
              <w:t>(6), (9)</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11,167,847</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11,168</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8,919</w:t>
            </w:r>
          </w:p>
        </w:tc>
        <w:tc>
          <w:tcPr>
            <w:tcW w:w="0" w:type="dxa"/>
            <w:vAlign w:val="bottom"/>
          </w:tcPr>
          <w:p>
            <w:pPr>
              <w:spacing w:after="0"/>
              <w:rPr>
                <w:sz w:val="1"/>
                <w:szCs w:val="1"/>
                <w:color w:val="auto"/>
              </w:rPr>
            </w:pPr>
          </w:p>
        </w:tc>
      </w:tr>
      <w:tr>
        <w:trPr>
          <w:trHeight w:val="120"/>
        </w:trPr>
        <w:tc>
          <w:tcPr>
            <w:tcW w:w="33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Pink Lily Holdco, LLC </w:t>
            </w:r>
            <w:r>
              <w:rPr>
                <w:rFonts w:ascii="Times New Roman" w:cs="Times New Roman" w:eastAsia="Times New Roman" w:hAnsi="Times New Roman"/>
                <w:sz w:val="12"/>
                <w:szCs w:val="12"/>
                <w:color w:val="auto"/>
                <w:vertAlign w:val="superscript"/>
              </w:rPr>
              <w:t>(7)</w:t>
            </w:r>
          </w:p>
        </w:tc>
        <w:tc>
          <w:tcPr>
            <w:tcW w:w="9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Textiles, Apparel and Luxury Goods</w:t>
            </w:r>
          </w:p>
        </w:tc>
        <w:tc>
          <w:tcPr>
            <w:tcW w:w="7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1,735</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1735</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Pragmatic Institute, LLC</w:t>
            </w:r>
          </w:p>
        </w:tc>
        <w:tc>
          <w:tcPr>
            <w:tcW w:w="94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7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610,583</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611</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bl>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3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10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0"/>
        </w:trPr>
        <w:tc>
          <w:tcPr>
            <w:tcW w:w="33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8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10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33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60" w:type="dxa"/>
            <w:vAlign w:val="bottom"/>
          </w:tcPr>
          <w:p>
            <w:pPr>
              <w:jc w:val="center"/>
              <w:ind w:left="112"/>
              <w:spacing w:after="0"/>
              <w:rPr>
                <w:sz w:val="20"/>
                <w:szCs w:val="20"/>
                <w:color w:val="auto"/>
              </w:rPr>
            </w:pPr>
            <w:r>
              <w:rPr>
                <w:rFonts w:ascii="Times New Roman" w:cs="Times New Roman" w:eastAsia="Times New Roman" w:hAnsi="Times New Roman"/>
                <w:sz w:val="10"/>
                <w:szCs w:val="10"/>
                <w:b w:val="1"/>
                <w:bCs w:val="1"/>
                <w:color w:val="auto"/>
                <w:w w:val="92"/>
              </w:rPr>
              <w:t>Maturity</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80" w:type="dxa"/>
            <w:vAlign w:val="bottom"/>
          </w:tcPr>
          <w:p>
            <w:pPr>
              <w:jc w:val="center"/>
              <w:ind w:right="9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108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62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0"/>
                <w:szCs w:val="10"/>
                <w:color w:val="auto"/>
              </w:rPr>
            </w:pPr>
          </w:p>
        </w:tc>
        <w:tc>
          <w:tcPr>
            <w:tcW w:w="720" w:type="dxa"/>
            <w:vAlign w:val="bottom"/>
          </w:tcPr>
          <w:p>
            <w:pPr>
              <w:jc w:val="right"/>
              <w:ind w:right="11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(2)</w:t>
            </w:r>
          </w:p>
        </w:tc>
      </w:tr>
      <w:tr>
        <w:trPr>
          <w:trHeight w:val="120"/>
        </w:trPr>
        <w:tc>
          <w:tcPr>
            <w:tcW w:w="33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Project Granite Holdings, LLC - Common Equity</w:t>
            </w:r>
          </w:p>
        </w:tc>
        <w:tc>
          <w:tcPr>
            <w:tcW w:w="96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1,139</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1,139</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1,139</w:t>
            </w:r>
          </w:p>
        </w:tc>
      </w:tr>
      <w:tr>
        <w:trPr>
          <w:trHeight w:val="120"/>
        </w:trPr>
        <w:tc>
          <w:tcPr>
            <w:tcW w:w="3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Quad (U.S.) Co-Invest, L.P.</w:t>
            </w:r>
          </w:p>
        </w:tc>
        <w:tc>
          <w:tcPr>
            <w:tcW w:w="960" w:type="dxa"/>
            <w:vAlign w:val="bottom"/>
            <w:shd w:val="clear" w:color="auto" w:fill="CCECFF"/>
          </w:tcPr>
          <w:p>
            <w:pPr>
              <w:spacing w:after="0"/>
              <w:rPr>
                <w:sz w:val="10"/>
                <w:szCs w:val="10"/>
                <w:color w:val="auto"/>
              </w:rPr>
            </w:pP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jc w:val="right"/>
              <w:ind w:right="292"/>
              <w:spacing w:after="0"/>
              <w:rPr>
                <w:sz w:val="20"/>
                <w:szCs w:val="20"/>
                <w:color w:val="auto"/>
              </w:rPr>
            </w:pPr>
            <w:r>
              <w:rPr>
                <w:rFonts w:ascii="Times New Roman" w:cs="Times New Roman" w:eastAsia="Times New Roman" w:hAnsi="Times New Roman"/>
                <w:sz w:val="10"/>
                <w:szCs w:val="10"/>
                <w:color w:val="auto"/>
              </w:rPr>
              <w:t>266,864</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267</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358</w:t>
            </w:r>
          </w:p>
        </w:tc>
      </w:tr>
      <w:tr>
        <w:trPr>
          <w:trHeight w:val="120"/>
        </w:trPr>
        <w:tc>
          <w:tcPr>
            <w:tcW w:w="33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QuantiTech InvestCo LP </w:t>
            </w:r>
            <w:r>
              <w:rPr>
                <w:rFonts w:ascii="Times New Roman" w:cs="Times New Roman" w:eastAsia="Times New Roman" w:hAnsi="Times New Roman"/>
                <w:sz w:val="12"/>
                <w:szCs w:val="12"/>
                <w:color w:val="auto"/>
                <w:vertAlign w:val="superscript"/>
              </w:rPr>
              <w:t>(6), (7)</w:t>
            </w:r>
          </w:p>
        </w:tc>
        <w:tc>
          <w:tcPr>
            <w:tcW w:w="96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700</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172</w:t>
            </w:r>
          </w:p>
        </w:tc>
      </w:tr>
      <w:tr>
        <w:trPr>
          <w:trHeight w:val="120"/>
        </w:trPr>
        <w:tc>
          <w:tcPr>
            <w:tcW w:w="33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QuantiTech InvestCo LP </w:t>
            </w:r>
            <w:r>
              <w:rPr>
                <w:rFonts w:ascii="Times New Roman" w:cs="Times New Roman" w:eastAsia="Times New Roman" w:hAnsi="Times New Roman"/>
                <w:sz w:val="12"/>
                <w:szCs w:val="12"/>
                <w:color w:val="auto"/>
                <w:vertAlign w:val="superscript"/>
              </w:rPr>
              <w:t>(6), (8)</w:t>
            </w:r>
          </w:p>
        </w:tc>
        <w:tc>
          <w:tcPr>
            <w:tcW w:w="960" w:type="dxa"/>
            <w:vAlign w:val="bottom"/>
            <w:shd w:val="clear" w:color="auto" w:fill="CCECFF"/>
          </w:tcPr>
          <w:p>
            <w:pPr>
              <w:spacing w:after="0"/>
              <w:rPr>
                <w:sz w:val="10"/>
                <w:szCs w:val="10"/>
                <w:color w:val="auto"/>
              </w:rPr>
            </w:pP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jc w:val="right"/>
              <w:ind w:right="292"/>
              <w:spacing w:after="0"/>
              <w:rPr>
                <w:sz w:val="20"/>
                <w:szCs w:val="20"/>
                <w:color w:val="auto"/>
              </w:rPr>
            </w:pPr>
            <w:r>
              <w:rPr>
                <w:rFonts w:ascii="Times New Roman" w:cs="Times New Roman" w:eastAsia="Times New Roman" w:hAnsi="Times New Roman"/>
                <w:sz w:val="10"/>
                <w:szCs w:val="10"/>
                <w:color w:val="auto"/>
              </w:rPr>
              <w:t>955</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3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QuantiTech InvestCo II LP </w:t>
            </w:r>
            <w:r>
              <w:rPr>
                <w:rFonts w:ascii="Times New Roman" w:cs="Times New Roman" w:eastAsia="Times New Roman" w:hAnsi="Times New Roman"/>
                <w:sz w:val="12"/>
                <w:szCs w:val="12"/>
                <w:color w:val="auto"/>
                <w:vertAlign w:val="superscript"/>
              </w:rPr>
              <w:t>(6), (7)</w:t>
            </w:r>
          </w:p>
        </w:tc>
        <w:tc>
          <w:tcPr>
            <w:tcW w:w="96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40</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w:t>
            </w:r>
          </w:p>
        </w:tc>
      </w:tr>
      <w:tr>
        <w:trPr>
          <w:trHeight w:val="120"/>
        </w:trPr>
        <w:tc>
          <w:tcPr>
            <w:tcW w:w="33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RFMG Parent, LP (Rancho Health MSO, Inc.) </w:t>
            </w:r>
            <w:r>
              <w:rPr>
                <w:rFonts w:ascii="Times New Roman" w:cs="Times New Roman" w:eastAsia="Times New Roman" w:hAnsi="Times New Roman"/>
                <w:sz w:val="12"/>
                <w:szCs w:val="12"/>
                <w:color w:val="auto"/>
                <w:vertAlign w:val="superscript"/>
              </w:rPr>
              <w:t>(6)</w:t>
            </w:r>
          </w:p>
        </w:tc>
        <w:tc>
          <w:tcPr>
            <w:tcW w:w="960" w:type="dxa"/>
            <w:vAlign w:val="bottom"/>
            <w:shd w:val="clear" w:color="auto" w:fill="CCECFF"/>
          </w:tcPr>
          <w:p>
            <w:pPr>
              <w:spacing w:after="0"/>
              <w:rPr>
                <w:sz w:val="10"/>
                <w:szCs w:val="10"/>
                <w:color w:val="auto"/>
              </w:rPr>
            </w:pP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jc w:val="right"/>
              <w:ind w:right="292"/>
              <w:spacing w:after="0"/>
              <w:rPr>
                <w:sz w:val="20"/>
                <w:szCs w:val="20"/>
                <w:color w:val="auto"/>
              </w:rPr>
            </w:pPr>
            <w:r>
              <w:rPr>
                <w:rFonts w:ascii="Times New Roman" w:cs="Times New Roman" w:eastAsia="Times New Roman" w:hAnsi="Times New Roman"/>
                <w:sz w:val="10"/>
                <w:szCs w:val="10"/>
                <w:color w:val="auto"/>
              </w:rPr>
              <w:t>1,050,000</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1,050</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1,258</w:t>
            </w:r>
          </w:p>
        </w:tc>
      </w:tr>
      <w:tr>
        <w:trPr>
          <w:trHeight w:val="120"/>
        </w:trPr>
        <w:tc>
          <w:tcPr>
            <w:tcW w:w="33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Safe Haven Defense MidCo, LLC - Common Equity </w:t>
            </w:r>
            <w:r>
              <w:rPr>
                <w:rFonts w:ascii="Times New Roman" w:cs="Times New Roman" w:eastAsia="Times New Roman" w:hAnsi="Times New Roman"/>
                <w:sz w:val="12"/>
                <w:szCs w:val="12"/>
                <w:color w:val="auto"/>
                <w:vertAlign w:val="superscript"/>
              </w:rPr>
              <w:t>(7)</w:t>
            </w:r>
          </w:p>
        </w:tc>
        <w:tc>
          <w:tcPr>
            <w:tcW w:w="96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Building Products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596</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596</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711</w:t>
            </w:r>
          </w:p>
        </w:tc>
      </w:tr>
      <w:tr>
        <w:trPr>
          <w:trHeight w:val="120"/>
        </w:trPr>
        <w:tc>
          <w:tcPr>
            <w:tcW w:w="33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SBI Holdings Investments LLC (Sales Benchmark Index LLC) </w:t>
            </w:r>
            <w:r>
              <w:rPr>
                <w:rFonts w:ascii="Times New Roman" w:cs="Times New Roman" w:eastAsia="Times New Roman" w:hAnsi="Times New Roman"/>
                <w:sz w:val="12"/>
                <w:szCs w:val="12"/>
                <w:color w:val="auto"/>
                <w:vertAlign w:val="superscript"/>
              </w:rPr>
              <w:t>(6)</w:t>
            </w:r>
          </w:p>
        </w:tc>
        <w:tc>
          <w:tcPr>
            <w:tcW w:w="960" w:type="dxa"/>
            <w:vAlign w:val="bottom"/>
            <w:shd w:val="clear" w:color="auto" w:fill="CCECFF"/>
          </w:tcPr>
          <w:p>
            <w:pPr>
              <w:spacing w:after="0"/>
              <w:rPr>
                <w:sz w:val="10"/>
                <w:szCs w:val="10"/>
                <w:color w:val="auto"/>
              </w:rPr>
            </w:pP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jc w:val="right"/>
              <w:ind w:right="292"/>
              <w:spacing w:after="0"/>
              <w:rPr>
                <w:sz w:val="20"/>
                <w:szCs w:val="20"/>
                <w:color w:val="auto"/>
              </w:rPr>
            </w:pPr>
            <w:r>
              <w:rPr>
                <w:rFonts w:ascii="Times New Roman" w:cs="Times New Roman" w:eastAsia="Times New Roman" w:hAnsi="Times New Roman"/>
                <w:sz w:val="10"/>
                <w:szCs w:val="10"/>
                <w:color w:val="auto"/>
              </w:rPr>
              <w:t>64,634</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646</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735</w:t>
            </w:r>
          </w:p>
        </w:tc>
      </w:tr>
      <w:tr>
        <w:trPr>
          <w:trHeight w:val="120"/>
        </w:trPr>
        <w:tc>
          <w:tcPr>
            <w:tcW w:w="33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Sabel InvestCo, LP - Common Equity </w:t>
            </w:r>
            <w:r>
              <w:rPr>
                <w:rFonts w:ascii="Times New Roman" w:cs="Times New Roman" w:eastAsia="Times New Roman" w:hAnsi="Times New Roman"/>
                <w:sz w:val="12"/>
                <w:szCs w:val="12"/>
                <w:color w:val="auto"/>
                <w:vertAlign w:val="superscript"/>
              </w:rPr>
              <w:t>(7)</w:t>
            </w:r>
          </w:p>
        </w:tc>
        <w:tc>
          <w:tcPr>
            <w:tcW w:w="96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Government Services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87,524</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2,271</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2,271</w:t>
            </w:r>
          </w:p>
        </w:tc>
      </w:tr>
      <w:tr>
        <w:trPr>
          <w:trHeight w:val="120"/>
        </w:trPr>
        <w:tc>
          <w:tcPr>
            <w:tcW w:w="33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Sabel InvestCo, LP - Common Equity Unfunded </w:t>
            </w:r>
            <w:r>
              <w:rPr>
                <w:rFonts w:ascii="Times New Roman" w:cs="Times New Roman" w:eastAsia="Times New Roman" w:hAnsi="Times New Roman"/>
                <w:sz w:val="12"/>
                <w:szCs w:val="12"/>
                <w:color w:val="auto"/>
                <w:vertAlign w:val="superscript"/>
              </w:rPr>
              <w:t>(8)</w:t>
            </w:r>
          </w:p>
        </w:tc>
        <w:tc>
          <w:tcPr>
            <w:tcW w:w="960" w:type="dxa"/>
            <w:vAlign w:val="bottom"/>
            <w:shd w:val="clear" w:color="auto" w:fill="CCECFF"/>
          </w:tcPr>
          <w:p>
            <w:pPr>
              <w:spacing w:after="0"/>
              <w:rPr>
                <w:sz w:val="10"/>
                <w:szCs w:val="10"/>
                <w:color w:val="auto"/>
              </w:rPr>
            </w:pP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Government Services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jc w:val="right"/>
              <w:ind w:right="292"/>
              <w:spacing w:after="0"/>
              <w:rPr>
                <w:sz w:val="20"/>
                <w:szCs w:val="20"/>
                <w:color w:val="auto"/>
              </w:rPr>
            </w:pPr>
            <w:r>
              <w:rPr>
                <w:rFonts w:ascii="Times New Roman" w:cs="Times New Roman" w:eastAsia="Times New Roman" w:hAnsi="Times New Roman"/>
                <w:sz w:val="10"/>
                <w:szCs w:val="10"/>
                <w:color w:val="auto"/>
              </w:rPr>
              <w:t>131,286</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3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Seaway Topco, LP</w:t>
            </w:r>
          </w:p>
        </w:tc>
        <w:tc>
          <w:tcPr>
            <w:tcW w:w="96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296</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296</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141</w:t>
            </w:r>
          </w:p>
        </w:tc>
      </w:tr>
      <w:tr>
        <w:trPr>
          <w:trHeight w:val="120"/>
        </w:trPr>
        <w:tc>
          <w:tcPr>
            <w:tcW w:w="3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Seacoast Service Partners, LLC - Equity Co-Invest</w:t>
            </w:r>
          </w:p>
        </w:tc>
        <w:tc>
          <w:tcPr>
            <w:tcW w:w="960" w:type="dxa"/>
            <w:vAlign w:val="bottom"/>
            <w:shd w:val="clear" w:color="auto" w:fill="CCECFF"/>
          </w:tcPr>
          <w:p>
            <w:pPr>
              <w:spacing w:after="0"/>
              <w:rPr>
                <w:sz w:val="10"/>
                <w:szCs w:val="10"/>
                <w:color w:val="auto"/>
              </w:rPr>
            </w:pP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jc w:val="right"/>
              <w:ind w:right="292"/>
              <w:spacing w:after="0"/>
              <w:rPr>
                <w:sz w:val="20"/>
                <w:szCs w:val="20"/>
                <w:color w:val="auto"/>
              </w:rPr>
            </w:pPr>
            <w:r>
              <w:rPr>
                <w:rFonts w:ascii="Times New Roman" w:cs="Times New Roman" w:eastAsia="Times New Roman" w:hAnsi="Times New Roman"/>
                <w:sz w:val="10"/>
                <w:szCs w:val="10"/>
                <w:color w:val="auto"/>
              </w:rPr>
              <w:t>372</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439</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439</w:t>
            </w:r>
          </w:p>
        </w:tc>
      </w:tr>
      <w:tr>
        <w:trPr>
          <w:trHeight w:val="120"/>
        </w:trPr>
        <w:tc>
          <w:tcPr>
            <w:tcW w:w="33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 L2 Holdings, LLC (Ledge Lounger, Inc.)</w:t>
            </w:r>
          </w:p>
        </w:tc>
        <w:tc>
          <w:tcPr>
            <w:tcW w:w="96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360,103</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360</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w:t>
            </w:r>
          </w:p>
        </w:tc>
      </w:tr>
      <w:tr>
        <w:trPr>
          <w:trHeight w:val="120"/>
        </w:trPr>
        <w:tc>
          <w:tcPr>
            <w:tcW w:w="33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SSC Dominion Holdings, LLC - Class B (US Dominion, Inc.) </w:t>
            </w:r>
            <w:r>
              <w:rPr>
                <w:rFonts w:ascii="Times New Roman" w:cs="Times New Roman" w:eastAsia="Times New Roman" w:hAnsi="Times New Roman"/>
                <w:sz w:val="12"/>
                <w:szCs w:val="12"/>
                <w:color w:val="auto"/>
                <w:vertAlign w:val="superscript"/>
              </w:rPr>
              <w:t>(6)</w:t>
            </w:r>
          </w:p>
        </w:tc>
        <w:tc>
          <w:tcPr>
            <w:tcW w:w="960" w:type="dxa"/>
            <w:vAlign w:val="bottom"/>
            <w:shd w:val="clear" w:color="auto" w:fill="CCECFF"/>
          </w:tcPr>
          <w:p>
            <w:pPr>
              <w:spacing w:after="0"/>
              <w:rPr>
                <w:sz w:val="10"/>
                <w:szCs w:val="10"/>
                <w:color w:val="auto"/>
              </w:rPr>
            </w:pP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jc w:val="right"/>
              <w:ind w:right="292"/>
              <w:spacing w:after="0"/>
              <w:rPr>
                <w:sz w:val="20"/>
                <w:szCs w:val="20"/>
                <w:color w:val="auto"/>
              </w:rPr>
            </w:pPr>
            <w:r>
              <w:rPr>
                <w:rFonts w:ascii="Times New Roman" w:cs="Times New Roman" w:eastAsia="Times New Roman" w:hAnsi="Times New Roman"/>
                <w:sz w:val="10"/>
                <w:szCs w:val="10"/>
                <w:color w:val="auto"/>
              </w:rPr>
              <w:t>12</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1,495</w:t>
            </w:r>
          </w:p>
        </w:tc>
      </w:tr>
      <w:tr>
        <w:trPr>
          <w:trHeight w:val="120"/>
        </w:trPr>
        <w:tc>
          <w:tcPr>
            <w:tcW w:w="33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StellPen Holdings, LLC (CF512, Inc.) </w:t>
            </w:r>
            <w:r>
              <w:rPr>
                <w:rFonts w:ascii="Times New Roman" w:cs="Times New Roman" w:eastAsia="Times New Roman" w:hAnsi="Times New Roman"/>
                <w:sz w:val="12"/>
                <w:szCs w:val="12"/>
                <w:color w:val="auto"/>
                <w:vertAlign w:val="superscript"/>
              </w:rPr>
              <w:t>(6)</w:t>
            </w:r>
          </w:p>
        </w:tc>
        <w:tc>
          <w:tcPr>
            <w:tcW w:w="96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161,538</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162</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139</w:t>
            </w:r>
          </w:p>
        </w:tc>
      </w:tr>
      <w:tr>
        <w:trPr>
          <w:trHeight w:val="120"/>
        </w:trPr>
        <w:tc>
          <w:tcPr>
            <w:tcW w:w="33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SV Aero Holdings, LLC </w:t>
            </w:r>
            <w:r>
              <w:rPr>
                <w:rFonts w:ascii="Times New Roman" w:cs="Times New Roman" w:eastAsia="Times New Roman" w:hAnsi="Times New Roman"/>
                <w:sz w:val="12"/>
                <w:szCs w:val="12"/>
                <w:color w:val="auto"/>
                <w:vertAlign w:val="superscript"/>
              </w:rPr>
              <w:t>(7)</w:t>
            </w:r>
          </w:p>
        </w:tc>
        <w:tc>
          <w:tcPr>
            <w:tcW w:w="960" w:type="dxa"/>
            <w:vAlign w:val="bottom"/>
            <w:shd w:val="clear" w:color="auto" w:fill="CCECFF"/>
          </w:tcPr>
          <w:p>
            <w:pPr>
              <w:spacing w:after="0"/>
              <w:rPr>
                <w:sz w:val="10"/>
                <w:szCs w:val="10"/>
                <w:color w:val="auto"/>
              </w:rPr>
            </w:pP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jc w:val="right"/>
              <w:ind w:right="292"/>
              <w:spacing w:after="0"/>
              <w:rPr>
                <w:sz w:val="20"/>
                <w:szCs w:val="20"/>
                <w:color w:val="auto"/>
              </w:rPr>
            </w:pPr>
            <w:r>
              <w:rPr>
                <w:rFonts w:ascii="Times New Roman" w:cs="Times New Roman" w:eastAsia="Times New Roman" w:hAnsi="Times New Roman"/>
                <w:sz w:val="10"/>
                <w:szCs w:val="10"/>
                <w:color w:val="auto"/>
              </w:rPr>
              <w:t>61</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535</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1,328</w:t>
            </w:r>
          </w:p>
        </w:tc>
      </w:tr>
      <w:tr>
        <w:trPr>
          <w:trHeight w:val="120"/>
        </w:trPr>
        <w:tc>
          <w:tcPr>
            <w:tcW w:w="33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TAC LifePort Holdings, LLC </w:t>
            </w:r>
            <w:r>
              <w:rPr>
                <w:rFonts w:ascii="Times New Roman" w:cs="Times New Roman" w:eastAsia="Times New Roman" w:hAnsi="Times New Roman"/>
                <w:sz w:val="12"/>
                <w:szCs w:val="12"/>
                <w:color w:val="auto"/>
                <w:vertAlign w:val="superscript"/>
              </w:rPr>
              <w:t>(6), (7)</w:t>
            </w:r>
          </w:p>
        </w:tc>
        <w:tc>
          <w:tcPr>
            <w:tcW w:w="96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533,833</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502</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1,046</w:t>
            </w:r>
          </w:p>
        </w:tc>
      </w:tr>
      <w:tr>
        <w:trPr>
          <w:trHeight w:val="120"/>
        </w:trPr>
        <w:tc>
          <w:tcPr>
            <w:tcW w:w="3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TCG 3.0 Jogger Co-Invest, LP</w:t>
            </w:r>
          </w:p>
        </w:tc>
        <w:tc>
          <w:tcPr>
            <w:tcW w:w="960" w:type="dxa"/>
            <w:vAlign w:val="bottom"/>
            <w:shd w:val="clear" w:color="auto" w:fill="CCECFF"/>
          </w:tcPr>
          <w:p>
            <w:pPr>
              <w:spacing w:after="0"/>
              <w:rPr>
                <w:sz w:val="10"/>
                <w:szCs w:val="10"/>
                <w:color w:val="auto"/>
              </w:rPr>
            </w:pP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jc w:val="right"/>
              <w:ind w:right="292"/>
              <w:spacing w:after="0"/>
              <w:rPr>
                <w:sz w:val="20"/>
                <w:szCs w:val="20"/>
                <w:color w:val="auto"/>
              </w:rPr>
            </w:pPr>
            <w:r>
              <w:rPr>
                <w:rFonts w:ascii="Times New Roman" w:cs="Times New Roman" w:eastAsia="Times New Roman" w:hAnsi="Times New Roman"/>
                <w:sz w:val="10"/>
                <w:szCs w:val="10"/>
                <w:color w:val="auto"/>
              </w:rPr>
              <w:t>9,108</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1,760</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1,209</w:t>
            </w:r>
          </w:p>
        </w:tc>
      </w:tr>
      <w:tr>
        <w:trPr>
          <w:trHeight w:val="120"/>
        </w:trPr>
        <w:tc>
          <w:tcPr>
            <w:tcW w:w="33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Tower Arch Infolinks Media, LP (Infolinks Media Buyco, LLC) </w:t>
            </w:r>
            <w:r>
              <w:rPr>
                <w:rFonts w:ascii="Times New Roman" w:cs="Times New Roman" w:eastAsia="Times New Roman" w:hAnsi="Times New Roman"/>
                <w:sz w:val="12"/>
                <w:szCs w:val="12"/>
                <w:color w:val="auto"/>
                <w:vertAlign w:val="superscript"/>
              </w:rPr>
              <w:t>(7)</w:t>
            </w:r>
          </w:p>
        </w:tc>
        <w:tc>
          <w:tcPr>
            <w:tcW w:w="96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222,570</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102</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302</w:t>
            </w:r>
          </w:p>
        </w:tc>
      </w:tr>
      <w:tr>
        <w:trPr>
          <w:trHeight w:val="120"/>
        </w:trPr>
        <w:tc>
          <w:tcPr>
            <w:tcW w:w="33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Tower Arch Infolinks Media, LP (Infolinks Media Buyco, LLC) </w:t>
            </w:r>
            <w:r>
              <w:rPr>
                <w:rFonts w:ascii="Times New Roman" w:cs="Times New Roman" w:eastAsia="Times New Roman" w:hAnsi="Times New Roman"/>
                <w:sz w:val="12"/>
                <w:szCs w:val="12"/>
                <w:color w:val="auto"/>
                <w:vertAlign w:val="superscript"/>
              </w:rPr>
              <w:t>(8)</w:t>
            </w:r>
          </w:p>
        </w:tc>
        <w:tc>
          <w:tcPr>
            <w:tcW w:w="960" w:type="dxa"/>
            <w:vAlign w:val="bottom"/>
            <w:shd w:val="clear" w:color="auto" w:fill="CCECFF"/>
          </w:tcPr>
          <w:p>
            <w:pPr>
              <w:spacing w:after="0"/>
              <w:rPr>
                <w:sz w:val="10"/>
                <w:szCs w:val="10"/>
                <w:color w:val="auto"/>
              </w:rPr>
            </w:pP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jc w:val="right"/>
              <w:ind w:right="292"/>
              <w:spacing w:after="0"/>
              <w:rPr>
                <w:sz w:val="20"/>
                <w:szCs w:val="20"/>
                <w:color w:val="auto"/>
              </w:rPr>
            </w:pPr>
            <w:r>
              <w:rPr>
                <w:rFonts w:ascii="Times New Roman" w:cs="Times New Roman" w:eastAsia="Times New Roman" w:hAnsi="Times New Roman"/>
                <w:sz w:val="10"/>
                <w:szCs w:val="10"/>
                <w:color w:val="auto"/>
              </w:rPr>
              <w:t>143,036</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3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TPC Holding Company, LP </w:t>
            </w:r>
            <w:r>
              <w:rPr>
                <w:rFonts w:ascii="Times New Roman" w:cs="Times New Roman" w:eastAsia="Times New Roman" w:hAnsi="Times New Roman"/>
                <w:sz w:val="12"/>
                <w:szCs w:val="12"/>
                <w:color w:val="auto"/>
                <w:vertAlign w:val="superscript"/>
              </w:rPr>
              <w:t>(6)</w:t>
            </w:r>
          </w:p>
        </w:tc>
        <w:tc>
          <w:tcPr>
            <w:tcW w:w="96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Food Products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21,527</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3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TWD Parent Holdings, LLC (The Vertex Companies, LLC) </w:t>
            </w:r>
            <w:r>
              <w:rPr>
                <w:rFonts w:ascii="Times New Roman" w:cs="Times New Roman" w:eastAsia="Times New Roman" w:hAnsi="Times New Roman"/>
                <w:sz w:val="12"/>
                <w:szCs w:val="12"/>
                <w:color w:val="auto"/>
                <w:vertAlign w:val="superscript"/>
              </w:rPr>
              <w:t>(6)</w:t>
            </w:r>
          </w:p>
        </w:tc>
        <w:tc>
          <w:tcPr>
            <w:tcW w:w="960" w:type="dxa"/>
            <w:vAlign w:val="bottom"/>
            <w:shd w:val="clear" w:color="auto" w:fill="CCECFF"/>
          </w:tcPr>
          <w:p>
            <w:pPr>
              <w:spacing w:after="0"/>
              <w:rPr>
                <w:sz w:val="10"/>
                <w:szCs w:val="10"/>
                <w:color w:val="auto"/>
              </w:rPr>
            </w:pP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jc w:val="right"/>
              <w:ind w:right="292"/>
              <w:spacing w:after="0"/>
              <w:rPr>
                <w:sz w:val="20"/>
                <w:szCs w:val="20"/>
                <w:color w:val="auto"/>
              </w:rPr>
            </w:pPr>
            <w:r>
              <w:rPr>
                <w:rFonts w:ascii="Times New Roman" w:cs="Times New Roman" w:eastAsia="Times New Roman" w:hAnsi="Times New Roman"/>
                <w:sz w:val="10"/>
                <w:szCs w:val="10"/>
                <w:color w:val="auto"/>
              </w:rPr>
              <w:t>749</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w:t>
            </w:r>
          </w:p>
        </w:tc>
      </w:tr>
      <w:tr>
        <w:trPr>
          <w:trHeight w:val="120"/>
        </w:trPr>
        <w:tc>
          <w:tcPr>
            <w:tcW w:w="33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Tinicum Space Coast Co-Invest, LLC - Common Equity </w:t>
            </w:r>
            <w:r>
              <w:rPr>
                <w:rFonts w:ascii="Times New Roman" w:cs="Times New Roman" w:eastAsia="Times New Roman" w:hAnsi="Times New Roman"/>
                <w:sz w:val="12"/>
                <w:szCs w:val="12"/>
                <w:color w:val="auto"/>
                <w:vertAlign w:val="superscript"/>
              </w:rPr>
              <w:t>(7)</w:t>
            </w:r>
          </w:p>
        </w:tc>
        <w:tc>
          <w:tcPr>
            <w:tcW w:w="96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466</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4,702</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4,609</w:t>
            </w:r>
          </w:p>
        </w:tc>
      </w:tr>
      <w:tr>
        <w:trPr>
          <w:trHeight w:val="120"/>
        </w:trPr>
        <w:tc>
          <w:tcPr>
            <w:tcW w:w="3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UniTek Global Services, Inc.(C)</w:t>
            </w:r>
          </w:p>
        </w:tc>
        <w:tc>
          <w:tcPr>
            <w:tcW w:w="960" w:type="dxa"/>
            <w:vAlign w:val="bottom"/>
            <w:shd w:val="clear" w:color="auto" w:fill="CCECFF"/>
          </w:tcPr>
          <w:p>
            <w:pPr>
              <w:spacing w:after="0"/>
              <w:rPr>
                <w:sz w:val="10"/>
                <w:szCs w:val="10"/>
                <w:color w:val="auto"/>
              </w:rPr>
            </w:pP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jc w:val="right"/>
              <w:ind w:right="292"/>
              <w:spacing w:after="0"/>
              <w:rPr>
                <w:sz w:val="20"/>
                <w:szCs w:val="20"/>
                <w:color w:val="auto"/>
              </w:rPr>
            </w:pPr>
            <w:r>
              <w:rPr>
                <w:rFonts w:ascii="Times New Roman" w:cs="Times New Roman" w:eastAsia="Times New Roman" w:hAnsi="Times New Roman"/>
                <w:sz w:val="10"/>
                <w:szCs w:val="10"/>
                <w:color w:val="auto"/>
              </w:rPr>
              <w:t>213,739</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3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UniVista Insurance </w:t>
            </w:r>
            <w:r>
              <w:rPr>
                <w:rFonts w:ascii="Times New Roman" w:cs="Times New Roman" w:eastAsia="Times New Roman" w:hAnsi="Times New Roman"/>
                <w:sz w:val="12"/>
                <w:szCs w:val="12"/>
                <w:color w:val="auto"/>
                <w:vertAlign w:val="superscript"/>
              </w:rPr>
              <w:t>(6), (7)</w:t>
            </w:r>
          </w:p>
        </w:tc>
        <w:tc>
          <w:tcPr>
            <w:tcW w:w="96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400</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328</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760</w:t>
            </w:r>
          </w:p>
        </w:tc>
      </w:tr>
      <w:tr>
        <w:trPr>
          <w:trHeight w:val="120"/>
        </w:trPr>
        <w:tc>
          <w:tcPr>
            <w:tcW w:w="3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Partners Co., L.P.</w:t>
            </w:r>
          </w:p>
        </w:tc>
        <w:tc>
          <w:tcPr>
            <w:tcW w:w="960" w:type="dxa"/>
            <w:vAlign w:val="bottom"/>
            <w:shd w:val="clear" w:color="auto" w:fill="CCECFF"/>
          </w:tcPr>
          <w:p>
            <w:pPr>
              <w:spacing w:after="0"/>
              <w:rPr>
                <w:sz w:val="10"/>
                <w:szCs w:val="10"/>
                <w:color w:val="auto"/>
              </w:rPr>
            </w:pP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jc w:val="right"/>
              <w:ind w:right="292"/>
              <w:spacing w:after="0"/>
              <w:rPr>
                <w:sz w:val="20"/>
                <w:szCs w:val="20"/>
                <w:color w:val="auto"/>
              </w:rPr>
            </w:pPr>
            <w:r>
              <w:rPr>
                <w:rFonts w:ascii="Times New Roman" w:cs="Times New Roman" w:eastAsia="Times New Roman" w:hAnsi="Times New Roman"/>
                <w:sz w:val="10"/>
                <w:szCs w:val="10"/>
                <w:color w:val="auto"/>
              </w:rPr>
              <w:t>694,444</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694</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1,035</w:t>
            </w:r>
          </w:p>
        </w:tc>
      </w:tr>
      <w:tr>
        <w:trPr>
          <w:trHeight w:val="120"/>
        </w:trPr>
        <w:tc>
          <w:tcPr>
            <w:tcW w:w="33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Walker Edison Holdco LLC</w:t>
            </w:r>
          </w:p>
        </w:tc>
        <w:tc>
          <w:tcPr>
            <w:tcW w:w="96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36,458</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3,393</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38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8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r>
      <w:tr>
        <w:trPr>
          <w:trHeight w:val="120"/>
        </w:trPr>
        <w:tc>
          <w:tcPr>
            <w:tcW w:w="33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Watchtower Holdings, LLC </w:t>
            </w:r>
            <w:r>
              <w:rPr>
                <w:rFonts w:ascii="Times New Roman" w:cs="Times New Roman" w:eastAsia="Times New Roman" w:hAnsi="Times New Roman"/>
                <w:sz w:val="12"/>
                <w:szCs w:val="12"/>
                <w:color w:val="auto"/>
                <w:vertAlign w:val="superscript"/>
              </w:rPr>
              <w:t>(7)</w:t>
            </w:r>
          </w:p>
        </w:tc>
        <w:tc>
          <w:tcPr>
            <w:tcW w:w="960" w:type="dxa"/>
            <w:vAlign w:val="bottom"/>
            <w:shd w:val="clear" w:color="auto" w:fill="CCECFF"/>
          </w:tcPr>
          <w:p>
            <w:pPr>
              <w:spacing w:after="0"/>
              <w:rPr>
                <w:sz w:val="10"/>
                <w:szCs w:val="10"/>
                <w:color w:val="auto"/>
              </w:rPr>
            </w:pP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jc w:val="right"/>
              <w:ind w:right="292"/>
              <w:spacing w:after="0"/>
              <w:rPr>
                <w:sz w:val="20"/>
                <w:szCs w:val="20"/>
                <w:color w:val="auto"/>
              </w:rPr>
            </w:pPr>
            <w:r>
              <w:rPr>
                <w:rFonts w:ascii="Times New Roman" w:cs="Times New Roman" w:eastAsia="Times New Roman" w:hAnsi="Times New Roman"/>
                <w:sz w:val="10"/>
                <w:szCs w:val="10"/>
                <w:color w:val="auto"/>
              </w:rPr>
              <w:t>12,419</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1,242</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1,369</w:t>
            </w:r>
          </w:p>
        </w:tc>
      </w:tr>
      <w:tr>
        <w:trPr>
          <w:trHeight w:val="120"/>
        </w:trPr>
        <w:tc>
          <w:tcPr>
            <w:tcW w:w="33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WCP IvyRehab Coinvestment, LP </w:t>
            </w:r>
            <w:r>
              <w:rPr>
                <w:rFonts w:ascii="Times New Roman" w:cs="Times New Roman" w:eastAsia="Times New Roman" w:hAnsi="Times New Roman"/>
                <w:sz w:val="12"/>
                <w:szCs w:val="12"/>
                <w:color w:val="auto"/>
                <w:vertAlign w:val="superscript"/>
              </w:rPr>
              <w:t>(7)</w:t>
            </w:r>
          </w:p>
        </w:tc>
        <w:tc>
          <w:tcPr>
            <w:tcW w:w="96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208</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208</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222</w:t>
            </w:r>
          </w:p>
        </w:tc>
      </w:tr>
      <w:tr>
        <w:trPr>
          <w:trHeight w:val="120"/>
        </w:trPr>
        <w:tc>
          <w:tcPr>
            <w:tcW w:w="33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WCP IvyRehab QP CF Feeder, LP </w:t>
            </w:r>
            <w:r>
              <w:rPr>
                <w:rFonts w:ascii="Times New Roman" w:cs="Times New Roman" w:eastAsia="Times New Roman" w:hAnsi="Times New Roman"/>
                <w:sz w:val="12"/>
                <w:szCs w:val="12"/>
                <w:color w:val="auto"/>
                <w:vertAlign w:val="superscript"/>
              </w:rPr>
              <w:t>(7)</w:t>
            </w:r>
          </w:p>
        </w:tc>
        <w:tc>
          <w:tcPr>
            <w:tcW w:w="960" w:type="dxa"/>
            <w:vAlign w:val="bottom"/>
            <w:shd w:val="clear" w:color="auto" w:fill="CCECFF"/>
          </w:tcPr>
          <w:p>
            <w:pPr>
              <w:spacing w:after="0"/>
              <w:rPr>
                <w:sz w:val="10"/>
                <w:szCs w:val="10"/>
                <w:color w:val="auto"/>
              </w:rPr>
            </w:pP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jc w:val="right"/>
              <w:ind w:right="292"/>
              <w:spacing w:after="0"/>
              <w:rPr>
                <w:sz w:val="20"/>
                <w:szCs w:val="20"/>
                <w:color w:val="auto"/>
              </w:rPr>
            </w:pPr>
            <w:r>
              <w:rPr>
                <w:rFonts w:ascii="Times New Roman" w:cs="Times New Roman" w:eastAsia="Times New Roman" w:hAnsi="Times New Roman"/>
                <w:sz w:val="10"/>
                <w:szCs w:val="10"/>
                <w:color w:val="auto"/>
              </w:rPr>
              <w:t>3,754</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3,784</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4,007</w:t>
            </w:r>
          </w:p>
        </w:tc>
      </w:tr>
      <w:tr>
        <w:trPr>
          <w:trHeight w:val="120"/>
        </w:trPr>
        <w:tc>
          <w:tcPr>
            <w:tcW w:w="33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WCP Ivyrehab QP CF Feeder, LP. - Unfunded </w:t>
            </w:r>
            <w:r>
              <w:rPr>
                <w:rFonts w:ascii="Times New Roman" w:cs="Times New Roman" w:eastAsia="Times New Roman" w:hAnsi="Times New Roman"/>
                <w:sz w:val="12"/>
                <w:szCs w:val="12"/>
                <w:color w:val="auto"/>
                <w:vertAlign w:val="superscript"/>
              </w:rPr>
              <w:t>(7)</w:t>
            </w:r>
          </w:p>
        </w:tc>
        <w:tc>
          <w:tcPr>
            <w:tcW w:w="96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246</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UniTek Global Services, Inc.(W)</w:t>
            </w:r>
          </w:p>
        </w:tc>
        <w:tc>
          <w:tcPr>
            <w:tcW w:w="960" w:type="dxa"/>
            <w:vAlign w:val="bottom"/>
            <w:shd w:val="clear" w:color="auto" w:fill="CCECFF"/>
          </w:tcPr>
          <w:p>
            <w:pPr>
              <w:spacing w:after="0"/>
              <w:rPr>
                <w:sz w:val="10"/>
                <w:szCs w:val="10"/>
                <w:color w:val="auto"/>
              </w:rPr>
            </w:pP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jc w:val="right"/>
              <w:ind w:right="292"/>
              <w:spacing w:after="0"/>
              <w:rPr>
                <w:sz w:val="20"/>
                <w:szCs w:val="20"/>
                <w:color w:val="auto"/>
              </w:rPr>
            </w:pPr>
            <w:r>
              <w:rPr>
                <w:rFonts w:ascii="Times New Roman" w:cs="Times New Roman" w:eastAsia="Times New Roman" w:hAnsi="Times New Roman"/>
                <w:sz w:val="10"/>
                <w:szCs w:val="10"/>
                <w:color w:val="auto"/>
              </w:rPr>
              <w:t>23,889</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3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Kentucky Racing Holdco, LLC (Warrants) </w:t>
            </w:r>
            <w:r>
              <w:rPr>
                <w:rFonts w:ascii="Times New Roman" w:cs="Times New Roman" w:eastAsia="Times New Roman" w:hAnsi="Times New Roman"/>
                <w:sz w:val="12"/>
                <w:szCs w:val="12"/>
                <w:color w:val="auto"/>
                <w:vertAlign w:val="superscript"/>
              </w:rPr>
              <w:t>(7)</w:t>
            </w:r>
          </w:p>
        </w:tc>
        <w:tc>
          <w:tcPr>
            <w:tcW w:w="96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87,345</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995</w:t>
            </w:r>
          </w:p>
        </w:tc>
      </w:tr>
      <w:tr>
        <w:trPr>
          <w:trHeight w:val="120"/>
        </w:trPr>
        <w:tc>
          <w:tcPr>
            <w:tcW w:w="3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Equity/Warrants</w:t>
            </w:r>
          </w:p>
        </w:tc>
        <w:tc>
          <w:tcPr>
            <w:tcW w:w="960" w:type="dxa"/>
            <w:vAlign w:val="bottom"/>
            <w:shd w:val="clear" w:color="auto" w:fill="CCECFF"/>
          </w:tcPr>
          <w:p>
            <w:pPr>
              <w:spacing w:after="0"/>
              <w:rPr>
                <w:sz w:val="10"/>
                <w:szCs w:val="10"/>
                <w:color w:val="auto"/>
              </w:rPr>
            </w:pPr>
          </w:p>
        </w:tc>
        <w:tc>
          <w:tcPr>
            <w:tcW w:w="18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128,109</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158,726</w:t>
            </w:r>
          </w:p>
        </w:tc>
      </w:tr>
      <w:tr>
        <w:trPr>
          <w:trHeight w:val="120"/>
        </w:trPr>
        <w:tc>
          <w:tcPr>
            <w:tcW w:w="33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Non-Controlled, Non-Affiliated Portfolio Companies</w:t>
            </w:r>
          </w:p>
        </w:tc>
        <w:tc>
          <w:tcPr>
            <w:tcW w:w="9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1,894,793</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1,907,349</w:t>
            </w:r>
          </w:p>
        </w:tc>
      </w:tr>
      <w:tr>
        <w:trPr>
          <w:trHeight w:val="120"/>
        </w:trPr>
        <w:tc>
          <w:tcPr>
            <w:tcW w:w="33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Investments in Controlled, Affiliated Portfolio Companies - 29.8% </w:t>
            </w:r>
            <w:r>
              <w:rPr>
                <w:rFonts w:ascii="Times New Roman" w:cs="Times New Roman" w:eastAsia="Times New Roman" w:hAnsi="Times New Roman"/>
                <w:sz w:val="12"/>
                <w:szCs w:val="12"/>
                <w:color w:val="auto"/>
                <w:vertAlign w:val="superscript"/>
              </w:rPr>
              <w:t>(3), (4)</w:t>
            </w:r>
          </w:p>
        </w:tc>
        <w:tc>
          <w:tcPr>
            <w:tcW w:w="960" w:type="dxa"/>
            <w:vAlign w:val="bottom"/>
            <w:shd w:val="clear" w:color="auto" w:fill="CCECFF"/>
          </w:tcPr>
          <w:p>
            <w:pPr>
              <w:spacing w:after="0"/>
              <w:rPr>
                <w:sz w:val="10"/>
                <w:szCs w:val="10"/>
                <w:color w:val="auto"/>
              </w:rPr>
            </w:pPr>
          </w:p>
        </w:tc>
        <w:tc>
          <w:tcPr>
            <w:tcW w:w="18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r>
      <w:tr>
        <w:trPr>
          <w:trHeight w:val="120"/>
        </w:trPr>
        <w:tc>
          <w:tcPr>
            <w:tcW w:w="33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- 24.7%</w:t>
            </w:r>
          </w:p>
        </w:tc>
        <w:tc>
          <w:tcPr>
            <w:tcW w:w="9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0"/>
        </w:trPr>
        <w:tc>
          <w:tcPr>
            <w:tcW w:w="33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PennantPark Senior Secured Loan Fund I LLC </w:t>
            </w:r>
            <w:r>
              <w:rPr>
                <w:rFonts w:ascii="Times New Roman" w:cs="Times New Roman" w:eastAsia="Times New Roman" w:hAnsi="Times New Roman"/>
                <w:sz w:val="12"/>
                <w:szCs w:val="12"/>
                <w:color w:val="auto"/>
                <w:vertAlign w:val="superscript"/>
              </w:rPr>
              <w:t>(6), (9)</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05/06/2029</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12.61 %</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SOFR+800</w:t>
            </w:r>
          </w:p>
        </w:tc>
        <w:tc>
          <w:tcPr>
            <w:tcW w:w="1080" w:type="dxa"/>
            <w:vAlign w:val="bottom"/>
            <w:shd w:val="clear" w:color="auto" w:fill="CCECFF"/>
          </w:tcPr>
          <w:p>
            <w:pPr>
              <w:jc w:val="right"/>
              <w:ind w:right="292"/>
              <w:spacing w:after="0"/>
              <w:rPr>
                <w:sz w:val="20"/>
                <w:szCs w:val="20"/>
                <w:color w:val="auto"/>
              </w:rPr>
            </w:pPr>
            <w:r>
              <w:rPr>
                <w:rFonts w:ascii="Times New Roman" w:cs="Times New Roman" w:eastAsia="Times New Roman" w:hAnsi="Times New Roman"/>
                <w:sz w:val="10"/>
                <w:szCs w:val="10"/>
                <w:color w:val="auto"/>
              </w:rPr>
              <w:t>237,650</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237,650</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237,650</w:t>
            </w:r>
          </w:p>
        </w:tc>
      </w:tr>
      <w:tr>
        <w:trPr>
          <w:trHeight w:val="120"/>
        </w:trPr>
        <w:tc>
          <w:tcPr>
            <w:tcW w:w="33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9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237,650</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237,650</w:t>
            </w:r>
          </w:p>
        </w:tc>
      </w:tr>
      <w:tr>
        <w:trPr>
          <w:trHeight w:val="120"/>
        </w:trPr>
        <w:tc>
          <w:tcPr>
            <w:tcW w:w="3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Equity Interests - 5.1%</w:t>
            </w:r>
          </w:p>
        </w:tc>
        <w:tc>
          <w:tcPr>
            <w:tcW w:w="960" w:type="dxa"/>
            <w:vAlign w:val="bottom"/>
            <w:shd w:val="clear" w:color="auto" w:fill="CCECFF"/>
          </w:tcPr>
          <w:p>
            <w:pPr>
              <w:spacing w:after="0"/>
              <w:rPr>
                <w:sz w:val="10"/>
                <w:szCs w:val="10"/>
                <w:color w:val="auto"/>
              </w:rPr>
            </w:pPr>
          </w:p>
        </w:tc>
        <w:tc>
          <w:tcPr>
            <w:tcW w:w="18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r>
      <w:tr>
        <w:trPr>
          <w:trHeight w:val="120"/>
        </w:trPr>
        <w:tc>
          <w:tcPr>
            <w:tcW w:w="33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PennantPark Senior Secured Loan Fund I LLC </w:t>
            </w:r>
            <w:r>
              <w:rPr>
                <w:rFonts w:ascii="Times New Roman" w:cs="Times New Roman" w:eastAsia="Times New Roman" w:hAnsi="Times New Roman"/>
                <w:sz w:val="12"/>
                <w:szCs w:val="12"/>
                <w:color w:val="auto"/>
                <w:vertAlign w:val="superscript"/>
              </w:rPr>
              <w:t>(6), (9)</w:t>
            </w:r>
          </w:p>
        </w:tc>
        <w:tc>
          <w:tcPr>
            <w:tcW w:w="96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101,850</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101,850</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48,911</w:t>
            </w:r>
          </w:p>
        </w:tc>
      </w:tr>
      <w:tr>
        <w:trPr>
          <w:trHeight w:val="120"/>
        </w:trPr>
        <w:tc>
          <w:tcPr>
            <w:tcW w:w="3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Equity Interests</w:t>
            </w:r>
          </w:p>
        </w:tc>
        <w:tc>
          <w:tcPr>
            <w:tcW w:w="960" w:type="dxa"/>
            <w:vAlign w:val="bottom"/>
            <w:shd w:val="clear" w:color="auto" w:fill="CCECFF"/>
          </w:tcPr>
          <w:p>
            <w:pPr>
              <w:spacing w:after="0"/>
              <w:rPr>
                <w:sz w:val="10"/>
                <w:szCs w:val="10"/>
                <w:color w:val="auto"/>
              </w:rPr>
            </w:pPr>
          </w:p>
        </w:tc>
        <w:tc>
          <w:tcPr>
            <w:tcW w:w="18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101,850</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48,911</w:t>
            </w:r>
          </w:p>
        </w:tc>
      </w:tr>
      <w:tr>
        <w:trPr>
          <w:trHeight w:val="120"/>
        </w:trPr>
        <w:tc>
          <w:tcPr>
            <w:tcW w:w="33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Controlled, Affiliated Portfolio Companies</w:t>
            </w:r>
          </w:p>
        </w:tc>
        <w:tc>
          <w:tcPr>
            <w:tcW w:w="9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339,500</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286,561</w:t>
            </w:r>
          </w:p>
        </w:tc>
      </w:tr>
      <w:tr>
        <w:trPr>
          <w:trHeight w:val="120"/>
        </w:trPr>
        <w:tc>
          <w:tcPr>
            <w:tcW w:w="33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Total Investments - 227.9%</w:t>
            </w:r>
            <w:r>
              <w:rPr>
                <w:rFonts w:ascii="Times New Roman" w:cs="Times New Roman" w:eastAsia="Times New Roman" w:hAnsi="Times New Roman"/>
                <w:sz w:val="12"/>
                <w:szCs w:val="12"/>
                <w:color w:val="auto"/>
                <w:vertAlign w:val="superscript"/>
              </w:rPr>
              <w:t>(11)</w:t>
            </w:r>
          </w:p>
        </w:tc>
        <w:tc>
          <w:tcPr>
            <w:tcW w:w="960" w:type="dxa"/>
            <w:vAlign w:val="bottom"/>
            <w:shd w:val="clear" w:color="auto" w:fill="CCECFF"/>
          </w:tcPr>
          <w:p>
            <w:pPr>
              <w:spacing w:after="0"/>
              <w:rPr>
                <w:sz w:val="10"/>
                <w:szCs w:val="10"/>
                <w:color w:val="auto"/>
              </w:rPr>
            </w:pPr>
          </w:p>
        </w:tc>
        <w:tc>
          <w:tcPr>
            <w:tcW w:w="18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2,234,293</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2,193,910</w:t>
            </w:r>
          </w:p>
        </w:tc>
      </w:tr>
      <w:tr>
        <w:trPr>
          <w:trHeight w:val="120"/>
        </w:trPr>
        <w:tc>
          <w:tcPr>
            <w:tcW w:w="33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- 10.6%</w:t>
            </w:r>
          </w:p>
        </w:tc>
        <w:tc>
          <w:tcPr>
            <w:tcW w:w="9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0"/>
        </w:trPr>
        <w:tc>
          <w:tcPr>
            <w:tcW w:w="3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Money Market - BlackRock Federal FD Institutional 30</w:t>
            </w:r>
          </w:p>
        </w:tc>
        <w:tc>
          <w:tcPr>
            <w:tcW w:w="960" w:type="dxa"/>
            <w:vAlign w:val="bottom"/>
            <w:shd w:val="clear" w:color="auto" w:fill="CCECFF"/>
          </w:tcPr>
          <w:p>
            <w:pPr>
              <w:spacing w:after="0"/>
              <w:rPr>
                <w:sz w:val="10"/>
                <w:szCs w:val="10"/>
                <w:color w:val="auto"/>
              </w:rPr>
            </w:pPr>
          </w:p>
        </w:tc>
        <w:tc>
          <w:tcPr>
            <w:tcW w:w="188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4.43 %</w:t>
            </w:r>
          </w:p>
        </w:tc>
        <w:tc>
          <w:tcPr>
            <w:tcW w:w="88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26,711</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26,711</w:t>
            </w:r>
          </w:p>
        </w:tc>
      </w:tr>
      <w:tr>
        <w:trPr>
          <w:trHeight w:val="120"/>
        </w:trPr>
        <w:tc>
          <w:tcPr>
            <w:tcW w:w="33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Non-Money Market Cash</w:t>
            </w:r>
          </w:p>
        </w:tc>
        <w:tc>
          <w:tcPr>
            <w:tcW w:w="9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75,562</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75,551</w:t>
            </w:r>
          </w:p>
        </w:tc>
      </w:tr>
      <w:tr>
        <w:trPr>
          <w:trHeight w:val="120"/>
        </w:trPr>
        <w:tc>
          <w:tcPr>
            <w:tcW w:w="3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960" w:type="dxa"/>
            <w:vAlign w:val="bottom"/>
            <w:shd w:val="clear" w:color="auto" w:fill="CCECFF"/>
          </w:tcPr>
          <w:p>
            <w:pPr>
              <w:spacing w:after="0"/>
              <w:rPr>
                <w:sz w:val="10"/>
                <w:szCs w:val="10"/>
                <w:color w:val="auto"/>
              </w:rPr>
            </w:pPr>
          </w:p>
        </w:tc>
        <w:tc>
          <w:tcPr>
            <w:tcW w:w="18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102,273</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102,262</w:t>
            </w:r>
          </w:p>
        </w:tc>
      </w:tr>
      <w:tr>
        <w:trPr>
          <w:trHeight w:val="120"/>
        </w:trPr>
        <w:tc>
          <w:tcPr>
            <w:tcW w:w="33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 - 238.5%</w:t>
            </w:r>
          </w:p>
        </w:tc>
        <w:tc>
          <w:tcPr>
            <w:tcW w:w="9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2,336,566</w:t>
            </w: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2,296,172</w:t>
            </w:r>
          </w:p>
        </w:tc>
      </w:tr>
      <w:tr>
        <w:trPr>
          <w:trHeight w:val="120"/>
        </w:trPr>
        <w:tc>
          <w:tcPr>
            <w:tcW w:w="3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 - (138.5)%</w:t>
            </w:r>
          </w:p>
        </w:tc>
        <w:tc>
          <w:tcPr>
            <w:tcW w:w="960" w:type="dxa"/>
            <w:vAlign w:val="bottom"/>
            <w:shd w:val="clear" w:color="auto" w:fill="CCECFF"/>
          </w:tcPr>
          <w:p>
            <w:pPr>
              <w:spacing w:after="0"/>
              <w:rPr>
                <w:sz w:val="10"/>
                <w:szCs w:val="10"/>
                <w:color w:val="auto"/>
              </w:rPr>
            </w:pPr>
          </w:p>
        </w:tc>
        <w:tc>
          <w:tcPr>
            <w:tcW w:w="18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(1,333,521 )</w:t>
            </w:r>
          </w:p>
        </w:tc>
      </w:tr>
      <w:tr>
        <w:trPr>
          <w:trHeight w:val="125"/>
        </w:trPr>
        <w:tc>
          <w:tcPr>
            <w:tcW w:w="33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Net Assets - 100%</w:t>
            </w:r>
          </w:p>
        </w:tc>
        <w:tc>
          <w:tcPr>
            <w:tcW w:w="9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962,651</w:t>
            </w:r>
          </w:p>
        </w:tc>
      </w:tr>
    </w:tbl>
    <w:p>
      <w:pPr>
        <w:spacing w:after="0"/>
        <w:rPr>
          <w:sz w:val="20"/>
          <w:szCs w:val="20"/>
          <w:color w:val="auto"/>
        </w:rPr>
      </w:pPr>
      <w:r>
        <w:rPr>
          <w:rFonts w:ascii="Times New Roman" w:cs="Times New Roman" w:eastAsia="Times New Roman" w:hAnsi="Times New Roman"/>
          <w:sz w:val="16"/>
          <w:szCs w:val="16"/>
          <w:color w:val="auto"/>
        </w:rPr>
        <w:t>—————</w:t>
      </w:r>
    </w:p>
    <w:p>
      <w:pPr>
        <w:spacing w:after="0" w:line="1" w:lineRule="exact"/>
        <w:rPr>
          <w:sz w:val="20"/>
          <w:szCs w:val="20"/>
          <w:color w:val="auto"/>
        </w:rPr>
      </w:pPr>
    </w:p>
    <w:p>
      <w:pPr>
        <w:ind w:right="160"/>
        <w:spacing w:after="0" w:line="231"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Secured Overnight Financing Rate, or “SOFR”, or Prime rate, or “P, or Sterling Overnight Index Average, or “SONIA.” The spread may change based on the type of rate used. The terms in the Schedule of Investments disclose the actual interest rate in effect as of the reporting period. SOFR loans are typically indexed to a 30-day, 90-day or 180-day SOFR rates (1M S, 3M S, or 6M S, respectively) at the borrower’s option. SONIA loans are typically indexed daily for GBP loans with a quarterly frequency payment. All securities are subject to a SOFR or Prime rate floor where a spread is provided, unless noted. The spread provided includes payment-in-kind, or "PIK", interest and other fee rates, if any.</w:t>
      </w:r>
    </w:p>
    <w:p>
      <w:pPr>
        <w:spacing w:after="0" w:line="207"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1"/>
          <w:szCs w:val="11"/>
          <w:color w:val="auto"/>
        </w:rPr>
        <w:t>Valued based on our accounting policy. The value of all securities was determined using significant unobservable inputs.</w:t>
      </w:r>
    </w:p>
    <w:p>
      <w:pPr>
        <w:ind w:right="40"/>
        <w:spacing w:after="0" w:line="216" w:lineRule="auto"/>
        <w:rPr>
          <w:sz w:val="20"/>
          <w:szCs w:val="20"/>
          <w:color w:val="auto"/>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1"/>
          <w:szCs w:val="11"/>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1"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1"/>
          <w:szCs w:val="11"/>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6" w:lineRule="auto"/>
        <w:rPr>
          <w:sz w:val="20"/>
          <w:szCs w:val="20"/>
          <w:color w:val="auto"/>
        </w:rPr>
      </w:pP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1"/>
          <w:szCs w:val="11"/>
          <w:color w:val="auto"/>
        </w:rPr>
        <w:t>Non-income producing securities.</w:t>
      </w:r>
    </w:p>
    <w:p>
      <w:pPr>
        <w:spacing w:after="0" w:line="1"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21"/>
          <w:szCs w:val="21"/>
          <w:color w:val="auto"/>
          <w:vertAlign w:val="superscript"/>
        </w:rPr>
        <w:t>(6)</w:t>
      </w:r>
      <w:r>
        <w:rPr>
          <w:rFonts w:ascii="Times New Roman" w:cs="Times New Roman" w:eastAsia="Times New Roman" w:hAnsi="Times New Roman"/>
          <w:sz w:val="11"/>
          <w:szCs w:val="11"/>
          <w:color w:val="auto"/>
        </w:rPr>
        <w:t>The securities, or a portion thereof, are not 1) pledged as collateral under the Credit Facility and held through Funding I; or, 2) securing the 2036-R Asset-Backed Debt and held through PennantPark CLO I, Ltd; or 3) 2036 Asset-Backed Debt and held through PennantPark CLO VIII, Ltd.</w:t>
      </w:r>
    </w:p>
    <w:p>
      <w:pPr>
        <w:spacing w:after="0" w:line="207" w:lineRule="auto"/>
        <w:rPr>
          <w:sz w:val="20"/>
          <w:szCs w:val="20"/>
          <w:color w:val="auto"/>
        </w:rPr>
      </w:pPr>
      <w:r>
        <w:rPr>
          <w:rFonts w:ascii="Times New Roman" w:cs="Times New Roman" w:eastAsia="Times New Roman" w:hAnsi="Times New Roman"/>
          <w:sz w:val="21"/>
          <w:szCs w:val="21"/>
          <w:color w:val="auto"/>
          <w:vertAlign w:val="superscript"/>
        </w:rPr>
        <w:t>(7)</w:t>
      </w:r>
      <w:r>
        <w:rPr>
          <w:rFonts w:ascii="Times New Roman" w:cs="Times New Roman" w:eastAsia="Times New Roman" w:hAnsi="Times New Roman"/>
          <w:sz w:val="11"/>
          <w:szCs w:val="11"/>
          <w:color w:val="auto"/>
        </w:rPr>
        <w:t>Investment is held through our Taxable Subsidiary.</w:t>
      </w:r>
    </w:p>
    <w:p>
      <w:pPr>
        <w:spacing w:after="0" w:line="203" w:lineRule="auto"/>
        <w:rPr>
          <w:sz w:val="20"/>
          <w:szCs w:val="20"/>
          <w:color w:val="auto"/>
        </w:rPr>
      </w:pPr>
      <w:r>
        <w:rPr>
          <w:rFonts w:ascii="Times New Roman" w:cs="Times New Roman" w:eastAsia="Times New Roman" w:hAnsi="Times New Roman"/>
          <w:sz w:val="21"/>
          <w:szCs w:val="21"/>
          <w:color w:val="auto"/>
          <w:vertAlign w:val="superscript"/>
        </w:rPr>
        <w:t>(8)</w:t>
      </w:r>
      <w:r>
        <w:rPr>
          <w:rFonts w:ascii="Times New Roman" w:cs="Times New Roman" w:eastAsia="Times New Roman" w:hAnsi="Times New Roman"/>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 w:lineRule="exact"/>
        <w:rPr>
          <w:sz w:val="20"/>
          <w:szCs w:val="20"/>
          <w:color w:val="auto"/>
        </w:rPr>
      </w:pPr>
    </w:p>
    <w:p>
      <w:pPr>
        <w:ind w:right="80"/>
        <w:spacing w:after="0" w:line="216" w:lineRule="auto"/>
        <w:rPr>
          <w:sz w:val="20"/>
          <w:szCs w:val="20"/>
          <w:color w:val="auto"/>
        </w:rPr>
      </w:pPr>
      <w:r>
        <w:rPr>
          <w:rFonts w:ascii="Times New Roman" w:cs="Times New Roman" w:eastAsia="Times New Roman" w:hAnsi="Times New Roman"/>
          <w:sz w:val="21"/>
          <w:szCs w:val="21"/>
          <w:color w:val="auto"/>
          <w:vertAlign w:val="superscript"/>
        </w:rPr>
        <w:t>(9)</w:t>
      </w:r>
      <w:r>
        <w:rPr>
          <w:rFonts w:ascii="Times New Roman" w:cs="Times New Roman" w:eastAsia="Times New Roman" w:hAnsi="Times New Roman"/>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December 31, 2024, qualifying assets represent 87% of our total assets and non-qualifying assets represent 13% of our total assets.</w:t>
      </w:r>
    </w:p>
    <w:p>
      <w:pPr>
        <w:spacing w:after="0" w:line="207" w:lineRule="auto"/>
        <w:rPr>
          <w:sz w:val="20"/>
          <w:szCs w:val="20"/>
          <w:color w:val="auto"/>
        </w:rPr>
      </w:pPr>
      <w:r>
        <w:rPr>
          <w:rFonts w:ascii="Times New Roman" w:cs="Times New Roman" w:eastAsia="Times New Roman" w:hAnsi="Times New Roman"/>
          <w:sz w:val="21"/>
          <w:szCs w:val="21"/>
          <w:color w:val="auto"/>
          <w:vertAlign w:val="superscript"/>
        </w:rPr>
        <w:t>(10)</w:t>
      </w:r>
      <w:r>
        <w:rPr>
          <w:rFonts w:ascii="Times New Roman" w:cs="Times New Roman" w:eastAsia="Times New Roman" w:hAnsi="Times New Roman"/>
          <w:sz w:val="11"/>
          <w:szCs w:val="11"/>
          <w:color w:val="auto"/>
        </w:rPr>
        <w:t>Non-accrual security.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(11)</w:t>
      </w:r>
      <w:r>
        <w:rPr>
          <w:rFonts w:ascii="Times New Roman" w:cs="Times New Roman" w:eastAsia="Times New Roman" w:hAnsi="Times New Roman"/>
          <w:sz w:val="11"/>
          <w:szCs w:val="11"/>
          <w:color w:val="auto"/>
        </w:rPr>
        <w:t>All investments are in US Companies unless noted otherwise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ind w:left="320"/>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Current</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860" w:type="dxa"/>
            <w:vAlign w:val="bottom"/>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1060" w:type="dxa"/>
            <w:vAlign w:val="bottom"/>
          </w:tcPr>
          <w:p>
            <w:pPr>
              <w:jc w:val="center"/>
              <w:ind w:right="11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86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60" w:type="dxa"/>
            <w:vAlign w:val="bottom"/>
          </w:tcPr>
          <w:p>
            <w:pPr>
              <w:spacing w:after="0"/>
              <w:rPr>
                <w:sz w:val="10"/>
                <w:szCs w:val="10"/>
                <w:color w:val="auto"/>
              </w:rPr>
            </w:pPr>
          </w:p>
        </w:tc>
        <w:tc>
          <w:tcPr>
            <w:tcW w:w="700" w:type="dxa"/>
            <w:vAlign w:val="bottom"/>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0"/>
                <w:szCs w:val="10"/>
                <w:color w:val="auto"/>
              </w:rPr>
            </w:pPr>
          </w:p>
        </w:tc>
        <w:tc>
          <w:tcPr>
            <w:tcW w:w="800" w:type="dxa"/>
            <w:vAlign w:val="bottom"/>
          </w:tcPr>
          <w:p>
            <w:pPr>
              <w:jc w:val="right"/>
              <w:ind w:right="172"/>
              <w:spacing w:after="0" w:line="122" w:lineRule="exact"/>
              <w:rPr>
                <w:sz w:val="20"/>
                <w:szCs w:val="20"/>
                <w:color w:val="auto"/>
              </w:rPr>
            </w:pPr>
            <w:r>
              <w:rPr>
                <w:rFonts w:ascii="Times New Roman" w:cs="Times New Roman" w:eastAsia="Times New Roman" w:hAnsi="Times New Roman"/>
                <w:sz w:val="10"/>
                <w:szCs w:val="10"/>
                <w:b w:val="1"/>
                <w:bCs w:val="1"/>
                <w:color w:val="auto"/>
                <w:w w:val="97"/>
              </w:rPr>
              <w:t xml:space="preserve">Fair Value </w:t>
            </w:r>
            <w:r>
              <w:rPr>
                <w:rFonts w:ascii="Times New Roman" w:cs="Times New Roman" w:eastAsia="Times New Roman" w:hAnsi="Times New Roman"/>
                <w:sz w:val="12"/>
                <w:szCs w:val="12"/>
                <w:b w:val="1"/>
                <w:bCs w:val="1"/>
                <w:color w:val="auto"/>
                <w:w w:val="97"/>
                <w:vertAlign w:val="superscript"/>
              </w:rPr>
              <w:t>(2)</w:t>
            </w:r>
          </w:p>
        </w:tc>
        <w:tc>
          <w:tcPr>
            <w:tcW w:w="0" w:type="dxa"/>
            <w:vAlign w:val="bottom"/>
          </w:tcPr>
          <w:p>
            <w:pPr>
              <w:spacing w:after="0"/>
              <w:rPr>
                <w:sz w:val="1"/>
                <w:szCs w:val="1"/>
                <w:color w:val="auto"/>
              </w:rPr>
            </w:pPr>
          </w:p>
        </w:tc>
      </w:tr>
      <w:tr>
        <w:trPr>
          <w:trHeight w:val="121"/>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w w:val="99"/>
              </w:rPr>
              <w:t>Investments in Non-Controlled, Non-Affiliated Portfolio Companies -</w:t>
            </w:r>
          </w:p>
        </w:tc>
        <w:tc>
          <w:tcPr>
            <w:tcW w:w="960" w:type="dxa"/>
            <w:vAlign w:val="bottom"/>
            <w:shd w:val="clear" w:color="auto" w:fill="CCECFF"/>
          </w:tcPr>
          <w:p>
            <w:pPr>
              <w:spacing w:after="0"/>
              <w:rPr>
                <w:sz w:val="10"/>
                <w:szCs w:val="10"/>
                <w:color w:val="auto"/>
              </w:rPr>
            </w:pPr>
          </w:p>
        </w:tc>
        <w:tc>
          <w:tcPr>
            <w:tcW w:w="190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19" w:lineRule="exact"/>
              <w:rPr>
                <w:sz w:val="20"/>
                <w:szCs w:val="20"/>
                <w:color w:val="auto"/>
              </w:rPr>
            </w:pPr>
            <w:r>
              <w:rPr>
                <w:rFonts w:ascii="Times New Roman" w:cs="Times New Roman" w:eastAsia="Times New Roman" w:hAnsi="Times New Roman"/>
                <w:sz w:val="13"/>
                <w:szCs w:val="13"/>
                <w:color w:val="auto"/>
                <w:vertAlign w:val="subscript"/>
              </w:rPr>
              <w:t>186.1%</w:t>
            </w:r>
            <w:r>
              <w:rPr>
                <w:rFonts w:ascii="Times New Roman" w:cs="Times New Roman" w:eastAsia="Times New Roman" w:hAnsi="Times New Roman"/>
                <w:sz w:val="5"/>
                <w:szCs w:val="5"/>
                <w:color w:val="auto"/>
              </w:rPr>
              <w:t xml:space="preserve"> (3), (4)</w:t>
            </w:r>
          </w:p>
        </w:tc>
        <w:tc>
          <w:tcPr>
            <w:tcW w:w="960" w:type="dxa"/>
            <w:vAlign w:val="bottom"/>
            <w:shd w:val="clear" w:color="auto" w:fill="CCECFF"/>
          </w:tcPr>
          <w:p>
            <w:pPr>
              <w:spacing w:after="0"/>
              <w:rPr>
                <w:sz w:val="10"/>
                <w:szCs w:val="10"/>
                <w:color w:val="auto"/>
              </w:rPr>
            </w:pPr>
          </w:p>
        </w:tc>
        <w:tc>
          <w:tcPr>
            <w:tcW w:w="190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- 167.8%</w:t>
            </w:r>
          </w:p>
        </w:tc>
        <w:tc>
          <w:tcPr>
            <w:tcW w:w="9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12/22/2028</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1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0"/>
              </w:rPr>
              <w:t>10.95%</w:t>
            </w: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SOFR+610</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1,579</w:t>
            </w:r>
          </w:p>
        </w:tc>
        <w:tc>
          <w:tcPr>
            <w:tcW w:w="2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1,559</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1,579</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A1 Garage Merger Sub, LLC - Unfunded Term Loan </w:t>
            </w:r>
            <w:r>
              <w:rPr>
                <w:rFonts w:ascii="Times New Roman" w:cs="Times New Roman" w:eastAsia="Times New Roman" w:hAnsi="Times New Roman"/>
                <w:sz w:val="12"/>
                <w:szCs w:val="12"/>
                <w:color w:val="auto"/>
                <w:vertAlign w:val="superscript"/>
              </w:rPr>
              <w:t>(9)</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12/22/2028</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102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453</w:t>
            </w:r>
          </w:p>
        </w:tc>
        <w:tc>
          <w:tcPr>
            <w:tcW w:w="2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A1 Garage Merger Sub, LLC (Revolver) </w:t>
            </w:r>
            <w:r>
              <w:rPr>
                <w:rFonts w:ascii="Times New Roman" w:cs="Times New Roman" w:eastAsia="Times New Roman" w:hAnsi="Times New Roman"/>
                <w:sz w:val="12"/>
                <w:szCs w:val="12"/>
                <w:color w:val="auto"/>
                <w:vertAlign w:val="superscript"/>
              </w:rPr>
              <w:t>(7), (9)</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12/22/2028</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102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748</w:t>
            </w: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Avenu Buyer, LLC</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10/02/2029</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10.58%</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SOFR+525</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14,121</w:t>
            </w:r>
          </w:p>
        </w:tc>
        <w:tc>
          <w:tcPr>
            <w:tcW w:w="2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13,905</w:t>
            </w:r>
          </w:p>
        </w:tc>
        <w:tc>
          <w:tcPr>
            <w:tcW w:w="18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13,662</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ACP Avenu Buyer, LLC - Unfunded Term Loan </w:t>
            </w:r>
            <w:r>
              <w:rPr>
                <w:rFonts w:ascii="Times New Roman" w:cs="Times New Roman" w:eastAsia="Times New Roman" w:hAnsi="Times New Roman"/>
                <w:sz w:val="12"/>
                <w:szCs w:val="12"/>
                <w:color w:val="auto"/>
                <w:vertAlign w:val="superscript"/>
              </w:rPr>
              <w:t>(9)</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04/02/2025</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102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5,621</w:t>
            </w: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(105 )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Avenu Buyer, LLC - Funded Revolver</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10/02/2029</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9.85%</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SOFR+525</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847</w:t>
            </w:r>
          </w:p>
        </w:tc>
        <w:tc>
          <w:tcPr>
            <w:tcW w:w="2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847</w:t>
            </w:r>
          </w:p>
        </w:tc>
        <w:tc>
          <w:tcPr>
            <w:tcW w:w="18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819</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ACP Avenu Buyer, LLC (Revolver) </w:t>
            </w:r>
            <w:r>
              <w:rPr>
                <w:rFonts w:ascii="Times New Roman" w:cs="Times New Roman" w:eastAsia="Times New Roman" w:hAnsi="Times New Roman"/>
                <w:sz w:val="12"/>
                <w:szCs w:val="12"/>
                <w:color w:val="auto"/>
                <w:vertAlign w:val="superscript"/>
              </w:rPr>
              <w:t>(7), (9)</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10/02/2029</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102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2,960</w:t>
            </w: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(96 )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ACP Falcon Buyer, LLC (Revolver) </w:t>
            </w:r>
            <w:r>
              <w:rPr>
                <w:rFonts w:ascii="Times New Roman" w:cs="Times New Roman" w:eastAsia="Times New Roman" w:hAnsi="Times New Roman"/>
                <w:sz w:val="12"/>
                <w:szCs w:val="12"/>
                <w:color w:val="auto"/>
                <w:vertAlign w:val="superscript"/>
              </w:rPr>
              <w:t>(7), (9)</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08/01/2029</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2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3,096</w:t>
            </w:r>
          </w:p>
        </w:tc>
        <w:tc>
          <w:tcPr>
            <w:tcW w:w="2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05/07/2026</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0"/>
              </w:rPr>
              <w:t>10.93%</w:t>
            </w: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SOFR+626</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4,838</w:t>
            </w: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4,808</w:t>
            </w: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4,838</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Acquisition, LLC - Funded Revolver</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05/07/2026</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10.93%</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SOFR+626</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498</w:t>
            </w:r>
          </w:p>
        </w:tc>
        <w:tc>
          <w:tcPr>
            <w:tcW w:w="2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498</w:t>
            </w:r>
          </w:p>
        </w:tc>
        <w:tc>
          <w:tcPr>
            <w:tcW w:w="18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498</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Ad.net Acquisition, LLC (Revolver) </w:t>
            </w:r>
            <w:r>
              <w:rPr>
                <w:rFonts w:ascii="Times New Roman" w:cs="Times New Roman" w:eastAsia="Times New Roman" w:hAnsi="Times New Roman"/>
                <w:sz w:val="12"/>
                <w:szCs w:val="12"/>
                <w:color w:val="auto"/>
                <w:vertAlign w:val="superscript"/>
              </w:rPr>
              <w:t>(7), (9)</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05/07/2026</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02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747</w:t>
            </w: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Aechelon Technology, Inc.</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08/16/2029</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12.35%</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SOFR+750</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14,000</w:t>
            </w:r>
          </w:p>
        </w:tc>
        <w:tc>
          <w:tcPr>
            <w:tcW w:w="2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13,862</w:t>
            </w:r>
          </w:p>
        </w:tc>
        <w:tc>
          <w:tcPr>
            <w:tcW w:w="18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13,719</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Aechelon Technology, Inc. - Unfunded Revolver </w:t>
            </w:r>
            <w:r>
              <w:rPr>
                <w:rFonts w:ascii="Times New Roman" w:cs="Times New Roman" w:eastAsia="Times New Roman" w:hAnsi="Times New Roman"/>
                <w:sz w:val="12"/>
                <w:szCs w:val="12"/>
                <w:color w:val="auto"/>
                <w:vertAlign w:val="superscript"/>
              </w:rPr>
              <w:t>(9)</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08/16/2029</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2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3,104</w:t>
            </w: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(62 )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Aeronix, Inc.</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12/18/2028</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9.85%</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SOFR+525</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32,753</w:t>
            </w:r>
          </w:p>
        </w:tc>
        <w:tc>
          <w:tcPr>
            <w:tcW w:w="2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32,332</w:t>
            </w:r>
          </w:p>
        </w:tc>
        <w:tc>
          <w:tcPr>
            <w:tcW w:w="18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32,753</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Aeronix, Inc. - (Revolver) </w:t>
            </w:r>
            <w:r>
              <w:rPr>
                <w:rFonts w:ascii="Times New Roman" w:cs="Times New Roman" w:eastAsia="Times New Roman" w:hAnsi="Times New Roman"/>
                <w:sz w:val="12"/>
                <w:szCs w:val="12"/>
                <w:color w:val="auto"/>
                <w:vertAlign w:val="superscript"/>
              </w:rPr>
              <w:t>(9)</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12/18/2028</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2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6,099</w:t>
            </w: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AFC Dell Holding Corp.</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04/09/2027</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10.49%</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SOFR+550</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28,494</w:t>
            </w:r>
          </w:p>
        </w:tc>
        <w:tc>
          <w:tcPr>
            <w:tcW w:w="2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28,420</w:t>
            </w:r>
          </w:p>
        </w:tc>
        <w:tc>
          <w:tcPr>
            <w:tcW w:w="18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28,209</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AFC Dell Holding Corp. - Unfunded Term Loan </w:t>
            </w:r>
            <w:r>
              <w:rPr>
                <w:rFonts w:ascii="Times New Roman" w:cs="Times New Roman" w:eastAsia="Times New Roman" w:hAnsi="Times New Roman"/>
                <w:sz w:val="12"/>
                <w:szCs w:val="12"/>
                <w:color w:val="auto"/>
                <w:vertAlign w:val="superscript"/>
              </w:rPr>
              <w:t>(9)</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04/09/2027</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2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7,460</w:t>
            </w: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(75 )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Amsive Holding Corporation (f/k/a Vision Purchaser Corporation)</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06/10/2025</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10.75%</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SOFR+650</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13,813</w:t>
            </w:r>
          </w:p>
        </w:tc>
        <w:tc>
          <w:tcPr>
            <w:tcW w:w="2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13,765</w:t>
            </w:r>
          </w:p>
        </w:tc>
        <w:tc>
          <w:tcPr>
            <w:tcW w:w="18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13,675</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06/30/2026</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0"/>
              </w:rPr>
              <w:t>10.50%</w:t>
            </w: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SOFR+590</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13,005</w:t>
            </w: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12,845</w:t>
            </w: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13,005</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 - Incremental Term Loan</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06/30/2026</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10.50%</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SOFR+590</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2,098</w:t>
            </w:r>
          </w:p>
        </w:tc>
        <w:tc>
          <w:tcPr>
            <w:tcW w:w="2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2,085</w:t>
            </w:r>
          </w:p>
        </w:tc>
        <w:tc>
          <w:tcPr>
            <w:tcW w:w="18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2,097</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Anteriad, LLC (f/k/a MeritDirect, LLC) - (Revolver) </w:t>
            </w:r>
            <w:r>
              <w:rPr>
                <w:rFonts w:ascii="Times New Roman" w:cs="Times New Roman" w:eastAsia="Times New Roman" w:hAnsi="Times New Roman"/>
                <w:sz w:val="12"/>
                <w:szCs w:val="12"/>
                <w:color w:val="auto"/>
                <w:vertAlign w:val="superscript"/>
              </w:rPr>
              <w:t>(9)</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06/30/2026</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02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2,869</w:t>
            </w: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4"/>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0"/>
              </w:rPr>
              <w:t>10.50%</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SOFR+590</w:t>
            </w:r>
          </w:p>
        </w:tc>
        <w:tc>
          <w:tcPr>
            <w:tcW w:w="8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12,597</w:t>
            </w:r>
          </w:p>
        </w:tc>
        <w:tc>
          <w:tcPr>
            <w:tcW w:w="260" w:type="dxa"/>
            <w:vAlign w:val="bottom"/>
          </w:tcPr>
          <w:p>
            <w:pPr>
              <w:spacing w:after="0"/>
              <w:rPr>
                <w:sz w:val="10"/>
                <w:szCs w:val="10"/>
                <w:color w:val="auto"/>
              </w:rPr>
            </w:pPr>
          </w:p>
        </w:tc>
        <w:tc>
          <w:tcPr>
            <w:tcW w:w="7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12,486</w:t>
            </w:r>
          </w:p>
        </w:tc>
        <w:tc>
          <w:tcPr>
            <w:tcW w:w="180" w:type="dxa"/>
            <w:vAlign w:val="bottom"/>
          </w:tcPr>
          <w:p>
            <w:pPr>
              <w:spacing w:after="0"/>
              <w:rPr>
                <w:sz w:val="10"/>
                <w:szCs w:val="10"/>
                <w:color w:val="auto"/>
              </w:rPr>
            </w:pPr>
          </w:p>
        </w:tc>
        <w:tc>
          <w:tcPr>
            <w:tcW w:w="8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12,408</w:t>
            </w:r>
          </w:p>
        </w:tc>
        <w:tc>
          <w:tcPr>
            <w:tcW w:w="0" w:type="dxa"/>
            <w:vAlign w:val="bottom"/>
          </w:tcPr>
          <w:p>
            <w:pPr>
              <w:spacing w:after="0"/>
              <w:rPr>
                <w:sz w:val="1"/>
                <w:szCs w:val="1"/>
                <w:color w:val="auto"/>
              </w:rPr>
            </w:pPr>
          </w:p>
        </w:tc>
      </w:tr>
      <w:tr>
        <w:trPr>
          <w:trHeight w:val="56"/>
        </w:trPr>
        <w:tc>
          <w:tcPr>
            <w:tcW w:w="282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190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Applied Technical Services, LLC - Unfunded Term Loan </w:t>
            </w:r>
            <w:r>
              <w:rPr>
                <w:rFonts w:ascii="Times New Roman" w:cs="Times New Roman" w:eastAsia="Times New Roman" w:hAnsi="Times New Roman"/>
                <w:sz w:val="12"/>
                <w:szCs w:val="12"/>
                <w:color w:val="auto"/>
                <w:vertAlign w:val="superscript"/>
              </w:rPr>
              <w:t>(9)</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07/17/2025</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102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3,990</w:t>
            </w: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(20 )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 (Revolver)</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12.75%</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SOFR+475</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1,441</w:t>
            </w:r>
          </w:p>
        </w:tc>
        <w:tc>
          <w:tcPr>
            <w:tcW w:w="2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1,441</w:t>
            </w:r>
          </w:p>
        </w:tc>
        <w:tc>
          <w:tcPr>
            <w:tcW w:w="18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1,420</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Applied Technical Services, LLC (Revolver) </w:t>
            </w:r>
            <w:r>
              <w:rPr>
                <w:rFonts w:ascii="Times New Roman" w:cs="Times New Roman" w:eastAsia="Times New Roman" w:hAnsi="Times New Roman"/>
                <w:sz w:val="12"/>
                <w:szCs w:val="12"/>
                <w:color w:val="auto"/>
                <w:vertAlign w:val="superscript"/>
              </w:rPr>
              <w:t>(7),(9)</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102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852</w:t>
            </w: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Arcfield Acquisition Corp. (Revolver)</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08/03/2029</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11.56%</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1M SOFR+625</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5,951</w:t>
            </w:r>
          </w:p>
        </w:tc>
        <w:tc>
          <w:tcPr>
            <w:tcW w:w="2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5,869</w:t>
            </w:r>
          </w:p>
        </w:tc>
        <w:tc>
          <w:tcPr>
            <w:tcW w:w="18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5,921</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Arcfield Acquisition Corp. (Revolver) </w:t>
            </w:r>
            <w:r>
              <w:rPr>
                <w:rFonts w:ascii="Times New Roman" w:cs="Times New Roman" w:eastAsia="Times New Roman" w:hAnsi="Times New Roman"/>
                <w:sz w:val="12"/>
                <w:szCs w:val="12"/>
                <w:color w:val="auto"/>
                <w:vertAlign w:val="superscript"/>
              </w:rPr>
              <w:t>(7),(9)</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08/04/2028</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2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1,379</w:t>
            </w: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(7 )</w:t>
            </w: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Archer Lewis, LLC</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08/28/2029</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10.83%</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SOFR+575</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21,700</w:t>
            </w:r>
          </w:p>
        </w:tc>
        <w:tc>
          <w:tcPr>
            <w:tcW w:w="260" w:type="dxa"/>
            <w:vAlign w:val="bottom"/>
          </w:tcPr>
          <w:p>
            <w:pPr>
              <w:spacing w:after="0"/>
              <w:rPr>
                <w:sz w:val="18"/>
                <w:szCs w:val="18"/>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21,485</w:t>
            </w:r>
          </w:p>
        </w:tc>
        <w:tc>
          <w:tcPr>
            <w:tcW w:w="18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21,266</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Archer Lewis, LLC - Unfunded Term Loan A </w:t>
            </w:r>
            <w:r>
              <w:rPr>
                <w:rFonts w:ascii="Times New Roman" w:cs="Times New Roman" w:eastAsia="Times New Roman" w:hAnsi="Times New Roman"/>
                <w:sz w:val="12"/>
                <w:szCs w:val="12"/>
                <w:color w:val="auto"/>
                <w:vertAlign w:val="superscript"/>
              </w:rPr>
              <w:t>(9)</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08/28/2025</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102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13,280</w:t>
            </w: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(133 )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Archer Lewis, LLC - Unfunded Term Loan B </w:t>
            </w:r>
            <w:r>
              <w:rPr>
                <w:rFonts w:ascii="Times New Roman" w:cs="Times New Roman" w:eastAsia="Times New Roman" w:hAnsi="Times New Roman"/>
                <w:sz w:val="12"/>
                <w:szCs w:val="12"/>
                <w:color w:val="auto"/>
                <w:vertAlign w:val="superscript"/>
              </w:rPr>
              <w:t>(9)</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08/28/2026</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102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21,267</w:t>
            </w:r>
          </w:p>
        </w:tc>
        <w:tc>
          <w:tcPr>
            <w:tcW w:w="2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(213 )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Archer Lewis, LLC - Unfunded Revolver </w:t>
            </w:r>
            <w:r>
              <w:rPr>
                <w:rFonts w:ascii="Times New Roman" w:cs="Times New Roman" w:eastAsia="Times New Roman" w:hAnsi="Times New Roman"/>
                <w:sz w:val="12"/>
                <w:szCs w:val="12"/>
                <w:color w:val="auto"/>
                <w:vertAlign w:val="superscript"/>
              </w:rPr>
              <w:t>(9)</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08/28/2029</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102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3,252</w:t>
            </w: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(65 )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ARGANO, LLC</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09/13/2029</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10.85%</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SOFR+575</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35,768</w:t>
            </w:r>
          </w:p>
        </w:tc>
        <w:tc>
          <w:tcPr>
            <w:tcW w:w="2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35,411</w:t>
            </w:r>
          </w:p>
        </w:tc>
        <w:tc>
          <w:tcPr>
            <w:tcW w:w="18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35,409</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ARGANO, LLC - Unfunded Term Loan </w:t>
            </w:r>
            <w:r>
              <w:rPr>
                <w:rFonts w:ascii="Times New Roman" w:cs="Times New Roman" w:eastAsia="Times New Roman" w:hAnsi="Times New Roman"/>
                <w:sz w:val="12"/>
                <w:szCs w:val="12"/>
                <w:color w:val="auto"/>
                <w:vertAlign w:val="superscript"/>
              </w:rPr>
              <w:t>(9)</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03/13/2025</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2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8,907</w:t>
            </w: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ARGANO, LLC – Unfunded Revolver </w:t>
            </w:r>
            <w:r>
              <w:rPr>
                <w:rFonts w:ascii="Times New Roman" w:cs="Times New Roman" w:eastAsia="Times New Roman" w:hAnsi="Times New Roman"/>
                <w:sz w:val="12"/>
                <w:szCs w:val="12"/>
                <w:color w:val="auto"/>
                <w:vertAlign w:val="superscript"/>
              </w:rPr>
              <w:t>(9)</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09/13/2029</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2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1,421</w:t>
            </w:r>
          </w:p>
        </w:tc>
        <w:tc>
          <w:tcPr>
            <w:tcW w:w="2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Beacon Behavioral Support Service, LLC</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06/21/2029</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0"/>
              </w:rPr>
              <w:t>10.10%</w:t>
            </w: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SOFR+525</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25,067</w:t>
            </w: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24,725</w:t>
            </w: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24,691</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900" w:type="dxa"/>
            <w:vAlign w:val="bottom"/>
            <w:shd w:val="clear" w:color="auto" w:fill="CCECFF"/>
          </w:tcPr>
          <w:p>
            <w:pPr>
              <w:spacing w:after="0"/>
              <w:rPr>
                <w:sz w:val="10"/>
                <w:szCs w:val="10"/>
                <w:color w:val="auto"/>
              </w:rPr>
            </w:pPr>
          </w:p>
        </w:tc>
        <w:tc>
          <w:tcPr>
            <w:tcW w:w="1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(PIK 15.00%)</w:t>
            </w:r>
          </w:p>
        </w:tc>
        <w:tc>
          <w:tcPr>
            <w:tcW w:w="106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Beacon Behavioral Support Service, LLC - Unfunded Term Loan </w:t>
            </w:r>
            <w:r>
              <w:rPr>
                <w:rFonts w:ascii="Times New Roman" w:cs="Times New Roman" w:eastAsia="Times New Roman" w:hAnsi="Times New Roman"/>
                <w:sz w:val="12"/>
                <w:szCs w:val="12"/>
                <w:color w:val="auto"/>
                <w:vertAlign w:val="superscript"/>
              </w:rPr>
              <w:t>(9)</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12/21/2025</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2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7,565</w:t>
            </w:r>
          </w:p>
        </w:tc>
        <w:tc>
          <w:tcPr>
            <w:tcW w:w="2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(38 )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Beacon Behavioral Support Service, LLC - Unfunded Revolver </w:t>
            </w:r>
            <w:r>
              <w:rPr>
                <w:rFonts w:ascii="Times New Roman" w:cs="Times New Roman" w:eastAsia="Times New Roman" w:hAnsi="Times New Roman"/>
                <w:sz w:val="12"/>
                <w:szCs w:val="12"/>
                <w:color w:val="auto"/>
                <w:vertAlign w:val="superscript"/>
              </w:rPr>
              <w:t>(9)</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06/21/2029</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2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2,434</w:t>
            </w: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(37 )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07/01/2029</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10.35%</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SOFR+575</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19,806</w:t>
            </w:r>
          </w:p>
        </w:tc>
        <w:tc>
          <w:tcPr>
            <w:tcW w:w="2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19,212</w:t>
            </w:r>
          </w:p>
        </w:tc>
        <w:tc>
          <w:tcPr>
            <w:tcW w:w="18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19,212</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Big Top Holdings, LLC</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02/28/2030</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1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0"/>
              </w:rPr>
              <w:t>11.10%</w:t>
            </w: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1M SOFR+625</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30,873</w:t>
            </w: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30,358</w:t>
            </w: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30,873</w:t>
            </w:r>
          </w:p>
        </w:tc>
        <w:tc>
          <w:tcPr>
            <w:tcW w:w="0" w:type="dxa"/>
            <w:vAlign w:val="bottom"/>
          </w:tcPr>
          <w:p>
            <w:pPr>
              <w:spacing w:after="0"/>
              <w:rPr>
                <w:sz w:val="1"/>
                <w:szCs w:val="1"/>
                <w:color w:val="auto"/>
              </w:rPr>
            </w:pPr>
          </w:p>
        </w:tc>
      </w:tr>
      <w:tr>
        <w:trPr>
          <w:trHeight w:val="124"/>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 xml:space="preserve">Big Top Holdings, LLC - (Revolver) </w:t>
            </w:r>
            <w:r>
              <w:rPr>
                <w:rFonts w:ascii="Times New Roman" w:cs="Times New Roman" w:eastAsia="Times New Roman" w:hAnsi="Times New Roman"/>
                <w:sz w:val="12"/>
                <w:szCs w:val="12"/>
                <w:color w:val="auto"/>
                <w:vertAlign w:val="superscript"/>
              </w:rPr>
              <w:t>(9)</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02/28/2030</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102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4,479</w:t>
            </w:r>
          </w:p>
        </w:tc>
        <w:tc>
          <w:tcPr>
            <w:tcW w:w="2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2"/>
        </w:trPr>
        <w:tc>
          <w:tcPr>
            <w:tcW w:w="282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BioDerm, Inc. (Revolver)</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01/31/2028</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1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0"/>
              </w:rPr>
              <w:t>11.70%</w:t>
            </w: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1M SOFR+650</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589</w:t>
            </w: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589</w:t>
            </w: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582</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BioDerm, Inc. (Revolver) </w:t>
            </w:r>
            <w:r>
              <w:rPr>
                <w:rFonts w:ascii="Times New Roman" w:cs="Times New Roman" w:eastAsia="Times New Roman" w:hAnsi="Times New Roman"/>
                <w:sz w:val="12"/>
                <w:szCs w:val="12"/>
                <w:color w:val="auto"/>
                <w:vertAlign w:val="superscript"/>
              </w:rPr>
              <w:t>(7), (9)</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01/31/2028</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102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482</w:t>
            </w:r>
          </w:p>
        </w:tc>
        <w:tc>
          <w:tcPr>
            <w:tcW w:w="2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09/17/2026</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0"/>
              </w:rPr>
              <w:t>10.90%</w:t>
            </w: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SOFR+640</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8,206</w:t>
            </w: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8,143</w:t>
            </w: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8,064</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Blackhawk Industrial Distribution, Inc. - Unfunded Term Loan </w:t>
            </w:r>
            <w:r>
              <w:rPr>
                <w:rFonts w:ascii="Times New Roman" w:cs="Times New Roman" w:eastAsia="Times New Roman" w:hAnsi="Times New Roman"/>
                <w:sz w:val="12"/>
                <w:szCs w:val="12"/>
                <w:color w:val="auto"/>
                <w:vertAlign w:val="superscript"/>
              </w:rPr>
              <w:t>(9)</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09/17/2026</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2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1,893</w:t>
            </w:r>
          </w:p>
        </w:tc>
        <w:tc>
          <w:tcPr>
            <w:tcW w:w="2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(14 )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Blackhawk Industrial Distribution, Inc. (Revolver) </w:t>
            </w:r>
            <w:r>
              <w:rPr>
                <w:rFonts w:ascii="Times New Roman" w:cs="Times New Roman" w:eastAsia="Times New Roman" w:hAnsi="Times New Roman"/>
                <w:sz w:val="12"/>
                <w:szCs w:val="12"/>
                <w:color w:val="auto"/>
                <w:vertAlign w:val="superscript"/>
              </w:rPr>
              <w:t>(7)</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09/17/2026</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0"/>
              </w:rPr>
              <w:t>11.04%</w:t>
            </w: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SOFR+640</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874</w:t>
            </w: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874</w:t>
            </w: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859</w:t>
            </w:r>
          </w:p>
        </w:tc>
        <w:tc>
          <w:tcPr>
            <w:tcW w:w="0" w:type="dxa"/>
            <w:vAlign w:val="bottom"/>
          </w:tcPr>
          <w:p>
            <w:pPr>
              <w:spacing w:after="0"/>
              <w:rPr>
                <w:sz w:val="1"/>
                <w:szCs w:val="1"/>
                <w:color w:val="auto"/>
              </w:rPr>
            </w:pPr>
          </w:p>
        </w:tc>
      </w:tr>
      <w:tr>
        <w:trPr>
          <w:trHeight w:val="18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Blackhawk Industrial Distribution, Inc. </w:t>
            </w:r>
            <w:r>
              <w:rPr>
                <w:rFonts w:ascii="Times New Roman" w:cs="Times New Roman" w:eastAsia="Times New Roman" w:hAnsi="Times New Roman"/>
                <w:sz w:val="12"/>
                <w:szCs w:val="12"/>
                <w:color w:val="auto"/>
                <w:vertAlign w:val="superscript"/>
              </w:rPr>
              <w:t>(9)</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09/17/2026</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2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3,009</w:t>
            </w:r>
          </w:p>
        </w:tc>
        <w:tc>
          <w:tcPr>
            <w:tcW w:w="26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5"/>
                <w:szCs w:val="15"/>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(51 )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BlueHalo Financing Holdings, LLC</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0"/>
              </w:rPr>
              <w:t>10.60%</w:t>
            </w: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SOFR+600</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6,462</w:t>
            </w: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6,422</w:t>
            </w: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6,332</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12/04/2025</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Textiles, Apparel and Luxury Goods</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10.97%</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SOFR+611</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3,218</w:t>
            </w:r>
          </w:p>
        </w:tc>
        <w:tc>
          <w:tcPr>
            <w:tcW w:w="2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3,218</w:t>
            </w:r>
          </w:p>
        </w:tc>
        <w:tc>
          <w:tcPr>
            <w:tcW w:w="18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3,218</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07/25/2029</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Components</w:t>
            </w:r>
          </w:p>
        </w:tc>
        <w:tc>
          <w:tcPr>
            <w:tcW w:w="1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0"/>
              </w:rPr>
              <w:t>10.20%</w:t>
            </w: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SOFR+535</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14,962</w:t>
            </w: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14,219</w:t>
            </w: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14,075</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By Light Professional IT Services, LLC</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05/16/2025</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12.18%</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SOFR+698</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46,992</w:t>
            </w:r>
          </w:p>
        </w:tc>
        <w:tc>
          <w:tcPr>
            <w:tcW w:w="2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46,893</w:t>
            </w:r>
          </w:p>
        </w:tc>
        <w:tc>
          <w:tcPr>
            <w:tcW w:w="18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46,992</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By Light Professional IT Services, LLC (Revolver) </w:t>
            </w:r>
            <w:r>
              <w:rPr>
                <w:rFonts w:ascii="Times New Roman" w:cs="Times New Roman" w:eastAsia="Times New Roman" w:hAnsi="Times New Roman"/>
                <w:sz w:val="12"/>
                <w:szCs w:val="12"/>
                <w:color w:val="auto"/>
                <w:vertAlign w:val="superscript"/>
              </w:rPr>
              <w:t>(7), (9)</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05/16/2025</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102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5,831</w:t>
            </w: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Carisk Buyer, Inc.</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12/01/2029</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10.35%</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SOFR+575</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5,473</w:t>
            </w:r>
          </w:p>
        </w:tc>
        <w:tc>
          <w:tcPr>
            <w:tcW w:w="2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5,397</w:t>
            </w:r>
          </w:p>
        </w:tc>
        <w:tc>
          <w:tcPr>
            <w:tcW w:w="18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5,390</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Carisk Buyer, Inc. - Unfunded Term Loan </w:t>
            </w:r>
            <w:r>
              <w:rPr>
                <w:rFonts w:ascii="Times New Roman" w:cs="Times New Roman" w:eastAsia="Times New Roman" w:hAnsi="Times New Roman"/>
                <w:sz w:val="12"/>
                <w:szCs w:val="12"/>
                <w:color w:val="auto"/>
                <w:vertAlign w:val="superscript"/>
              </w:rPr>
              <w:t>(9)</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12/01/2029</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102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4,813</w:t>
            </w: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(24 )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Carisk Buyer, Inc. (Revolver) </w:t>
            </w:r>
            <w:r>
              <w:rPr>
                <w:rFonts w:ascii="Times New Roman" w:cs="Times New Roman" w:eastAsia="Times New Roman" w:hAnsi="Times New Roman"/>
                <w:sz w:val="12"/>
                <w:szCs w:val="12"/>
                <w:color w:val="auto"/>
                <w:vertAlign w:val="superscript"/>
              </w:rPr>
              <w:t>(7), (9)</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12/01/2029</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102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1,750</w:t>
            </w:r>
          </w:p>
        </w:tc>
        <w:tc>
          <w:tcPr>
            <w:tcW w:w="2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(26 )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Carnegie Dartlet, LLC</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02/07/2030</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0"/>
              </w:rPr>
              <w:t>10.35%</w:t>
            </w: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SOFR+550</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29,850</w:t>
            </w: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29,410</w:t>
            </w: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29,402</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Carnegie Dartlet, LLC - Unfunded Term Loan </w:t>
            </w:r>
            <w:r>
              <w:rPr>
                <w:rFonts w:ascii="Times New Roman" w:cs="Times New Roman" w:eastAsia="Times New Roman" w:hAnsi="Times New Roman"/>
                <w:sz w:val="12"/>
                <w:szCs w:val="12"/>
                <w:color w:val="auto"/>
                <w:vertAlign w:val="superscript"/>
              </w:rPr>
              <w:t>(9)</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02/07/2026</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2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16,214</w:t>
            </w:r>
          </w:p>
        </w:tc>
        <w:tc>
          <w:tcPr>
            <w:tcW w:w="2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(81 )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Carnegie Dartlet, LLC - (Revolver) </w:t>
            </w:r>
            <w:r>
              <w:rPr>
                <w:rFonts w:ascii="Times New Roman" w:cs="Times New Roman" w:eastAsia="Times New Roman" w:hAnsi="Times New Roman"/>
                <w:sz w:val="12"/>
                <w:szCs w:val="12"/>
                <w:color w:val="auto"/>
                <w:vertAlign w:val="superscript"/>
              </w:rPr>
              <w:t>(9)</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02/07/2030</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2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5,405</w:t>
            </w: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(81 )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06/14/2028</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10.35%</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SOFR+575</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12,944</w:t>
            </w:r>
          </w:p>
        </w:tc>
        <w:tc>
          <w:tcPr>
            <w:tcW w:w="2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12,802</w:t>
            </w:r>
          </w:p>
        </w:tc>
        <w:tc>
          <w:tcPr>
            <w:tcW w:w="18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12,943</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Cartessa Aesthetics, LLC (Revolver) </w:t>
            </w:r>
            <w:r>
              <w:rPr>
                <w:rFonts w:ascii="Times New Roman" w:cs="Times New Roman" w:eastAsia="Times New Roman" w:hAnsi="Times New Roman"/>
                <w:sz w:val="12"/>
                <w:szCs w:val="12"/>
                <w:color w:val="auto"/>
                <w:vertAlign w:val="superscript"/>
              </w:rPr>
              <w:t>(7)</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06/14/2028</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0"/>
              </w:rPr>
              <w:t>10.35%</w:t>
            </w: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1M SOFR+575</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511</w:t>
            </w: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511</w:t>
            </w: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511</w:t>
            </w:r>
          </w:p>
        </w:tc>
        <w:tc>
          <w:tcPr>
            <w:tcW w:w="0" w:type="dxa"/>
            <w:vAlign w:val="bottom"/>
          </w:tcPr>
          <w:p>
            <w:pPr>
              <w:spacing w:after="0"/>
              <w:rPr>
                <w:sz w:val="1"/>
                <w:szCs w:val="1"/>
                <w:color w:val="auto"/>
              </w:rPr>
            </w:pPr>
          </w:p>
        </w:tc>
      </w:tr>
      <w:tr>
        <w:trPr>
          <w:trHeight w:val="132"/>
        </w:trPr>
        <w:tc>
          <w:tcPr>
            <w:tcW w:w="2820" w:type="dxa"/>
            <w:vAlign w:val="bottom"/>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Cartessa Aesthetics, LLC (Revolver) </w:t>
            </w:r>
            <w:r>
              <w:rPr>
                <w:rFonts w:ascii="Times New Roman" w:cs="Times New Roman" w:eastAsia="Times New Roman" w:hAnsi="Times New Roman"/>
                <w:sz w:val="12"/>
                <w:szCs w:val="12"/>
                <w:color w:val="auto"/>
                <w:vertAlign w:val="superscript"/>
              </w:rPr>
              <w:t>(7), (9)</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06/14/2028</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2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927</w:t>
            </w:r>
          </w:p>
        </w:tc>
        <w:tc>
          <w:tcPr>
            <w:tcW w:w="260" w:type="dxa"/>
            <w:vAlign w:val="bottom"/>
          </w:tcPr>
          <w:p>
            <w:pPr>
              <w:spacing w:after="0"/>
              <w:rPr>
                <w:sz w:val="11"/>
                <w:szCs w:val="11"/>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08/20/2026</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0"/>
              </w:rPr>
              <w:t>11.21%</w:t>
            </w: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SOFR+619</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5,919</w:t>
            </w: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5,888</w:t>
            </w: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5,830</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CF512, Inc.(Revolver) </w:t>
            </w:r>
            <w:r>
              <w:rPr>
                <w:rFonts w:ascii="Times New Roman" w:cs="Times New Roman" w:eastAsia="Times New Roman" w:hAnsi="Times New Roman"/>
                <w:sz w:val="12"/>
                <w:szCs w:val="12"/>
                <w:color w:val="auto"/>
                <w:vertAlign w:val="superscript"/>
              </w:rPr>
              <w:t>(7), (9)</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08/20/2026</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02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955</w:t>
            </w:r>
          </w:p>
        </w:tc>
        <w:tc>
          <w:tcPr>
            <w:tcW w:w="2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(14 )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Compex Legal Services, Inc.</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02/09/2026</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0"/>
              </w:rPr>
              <w:t>10.88%</w:t>
            </w: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SOFR+555</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8,833</w:t>
            </w: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8,814</w:t>
            </w: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8,833</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Compex Legal Services, Inc. (Revolver)</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02/07/2025</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10.80%</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SOFR+555</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703</w:t>
            </w:r>
          </w:p>
        </w:tc>
        <w:tc>
          <w:tcPr>
            <w:tcW w:w="2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703</w:t>
            </w:r>
          </w:p>
        </w:tc>
        <w:tc>
          <w:tcPr>
            <w:tcW w:w="18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703</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Compex Legal Services, Inc. (Revolver) </w:t>
            </w:r>
            <w:r>
              <w:rPr>
                <w:rFonts w:ascii="Times New Roman" w:cs="Times New Roman" w:eastAsia="Times New Roman" w:hAnsi="Times New Roman"/>
                <w:sz w:val="12"/>
                <w:szCs w:val="12"/>
                <w:color w:val="auto"/>
                <w:vertAlign w:val="superscript"/>
              </w:rPr>
              <w:t>(7), (9)</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02/07/2025</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2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703</w:t>
            </w: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Confluent Health, LLC</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11/30/2028</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9.85%</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SOFR+500</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6,965</w:t>
            </w:r>
          </w:p>
        </w:tc>
        <w:tc>
          <w:tcPr>
            <w:tcW w:w="2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6,771</w:t>
            </w:r>
          </w:p>
        </w:tc>
        <w:tc>
          <w:tcPr>
            <w:tcW w:w="18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6,965</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Connatix Buyer, Inc. </w:t>
            </w:r>
            <w:r>
              <w:rPr>
                <w:rFonts w:ascii="Times New Roman" w:cs="Times New Roman" w:eastAsia="Times New Roman" w:hAnsi="Times New Roman"/>
                <w:sz w:val="12"/>
                <w:szCs w:val="12"/>
                <w:color w:val="auto"/>
                <w:vertAlign w:val="superscript"/>
              </w:rPr>
              <w:t>(7)</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07/13/2027</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0"/>
              </w:rPr>
              <w:t>10.53%</w:t>
            </w: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SOFR+561</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3,775</w:t>
            </w: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3,734</w:t>
            </w: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3,775</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Buyer, Inc. - Funded Revolver</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07/13/2027</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10.58%</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SOFR+576</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281</w:t>
            </w:r>
          </w:p>
        </w:tc>
        <w:tc>
          <w:tcPr>
            <w:tcW w:w="2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281</w:t>
            </w:r>
          </w:p>
        </w:tc>
        <w:tc>
          <w:tcPr>
            <w:tcW w:w="18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281</w:t>
            </w:r>
          </w:p>
        </w:tc>
        <w:tc>
          <w:tcPr>
            <w:tcW w:w="0" w:type="dxa"/>
            <w:vAlign w:val="bottom"/>
          </w:tcPr>
          <w:p>
            <w:pPr>
              <w:spacing w:after="0"/>
              <w:rPr>
                <w:sz w:val="1"/>
                <w:szCs w:val="1"/>
                <w:color w:val="auto"/>
              </w:rPr>
            </w:pPr>
          </w:p>
        </w:tc>
      </w:tr>
      <w:tr>
        <w:trPr>
          <w:trHeight w:val="124"/>
        </w:trPr>
        <w:tc>
          <w:tcPr>
            <w:tcW w:w="282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Connatix Buyer, Inc. </w:t>
            </w:r>
            <w:r>
              <w:rPr>
                <w:rFonts w:ascii="Times New Roman" w:cs="Times New Roman" w:eastAsia="Times New Roman" w:hAnsi="Times New Roman"/>
                <w:sz w:val="12"/>
                <w:szCs w:val="12"/>
                <w:color w:val="auto"/>
                <w:vertAlign w:val="superscript"/>
              </w:rPr>
              <w:t>(9)</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07/13/2027</w:t>
            </w:r>
          </w:p>
        </w:tc>
        <w:tc>
          <w:tcPr>
            <w:tcW w:w="190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020" w:type="dxa"/>
            <w:vAlign w:val="bottom"/>
            <w:vMerge w:val="restart"/>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vMerge w:val="restart"/>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953</w:t>
            </w:r>
          </w:p>
        </w:tc>
        <w:tc>
          <w:tcPr>
            <w:tcW w:w="260" w:type="dxa"/>
            <w:vAlign w:val="bottom"/>
            <w:shd w:val="clear" w:color="auto" w:fill="CCECFF"/>
          </w:tcPr>
          <w:p>
            <w:pPr>
              <w:spacing w:after="0"/>
              <w:rPr>
                <w:sz w:val="10"/>
                <w:szCs w:val="10"/>
                <w:color w:val="auto"/>
              </w:rPr>
            </w:pPr>
          </w:p>
        </w:tc>
        <w:tc>
          <w:tcPr>
            <w:tcW w:w="70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80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80"/>
        </w:trPr>
        <w:tc>
          <w:tcPr>
            <w:tcW w:w="2820" w:type="dxa"/>
            <w:vAlign w:val="bottom"/>
            <w:vMerge w:val="continue"/>
            <w:shd w:val="clear" w:color="auto" w:fill="CCECFF"/>
          </w:tcPr>
          <w:p>
            <w:pPr>
              <w:spacing w:after="0"/>
              <w:rPr>
                <w:sz w:val="6"/>
                <w:szCs w:val="6"/>
                <w:color w:val="auto"/>
              </w:rPr>
            </w:pPr>
          </w:p>
        </w:tc>
        <w:tc>
          <w:tcPr>
            <w:tcW w:w="960" w:type="dxa"/>
            <w:vAlign w:val="bottom"/>
            <w:shd w:val="clear" w:color="auto" w:fill="CCECFF"/>
          </w:tcPr>
          <w:p>
            <w:pPr>
              <w:spacing w:after="0"/>
              <w:rPr>
                <w:sz w:val="6"/>
                <w:szCs w:val="6"/>
                <w:color w:val="auto"/>
              </w:rPr>
            </w:pPr>
          </w:p>
        </w:tc>
        <w:tc>
          <w:tcPr>
            <w:tcW w:w="1900" w:type="dxa"/>
            <w:vAlign w:val="bottom"/>
            <w:vMerge w:val="continue"/>
            <w:shd w:val="clear" w:color="auto" w:fill="CCECFF"/>
          </w:tcPr>
          <w:p>
            <w:pPr>
              <w:spacing w:after="0"/>
              <w:rPr>
                <w:sz w:val="6"/>
                <w:szCs w:val="6"/>
                <w:color w:val="auto"/>
              </w:rPr>
            </w:pPr>
          </w:p>
        </w:tc>
        <w:tc>
          <w:tcPr>
            <w:tcW w:w="1020" w:type="dxa"/>
            <w:vAlign w:val="bottom"/>
            <w:vMerge w:val="continue"/>
            <w:shd w:val="clear" w:color="auto" w:fill="CCECFF"/>
          </w:tcPr>
          <w:p>
            <w:pPr>
              <w:spacing w:after="0"/>
              <w:rPr>
                <w:sz w:val="6"/>
                <w:szCs w:val="6"/>
                <w:color w:val="auto"/>
              </w:rPr>
            </w:pPr>
          </w:p>
        </w:tc>
        <w:tc>
          <w:tcPr>
            <w:tcW w:w="1060" w:type="dxa"/>
            <w:vAlign w:val="bottom"/>
            <w:vMerge w:val="continue"/>
            <w:shd w:val="clear" w:color="auto" w:fill="CCECFF"/>
          </w:tcPr>
          <w:p>
            <w:pPr>
              <w:spacing w:after="0"/>
              <w:rPr>
                <w:sz w:val="6"/>
                <w:szCs w:val="6"/>
                <w:color w:val="auto"/>
              </w:rPr>
            </w:pPr>
          </w:p>
        </w:tc>
        <w:tc>
          <w:tcPr>
            <w:tcW w:w="860" w:type="dxa"/>
            <w:vAlign w:val="bottom"/>
            <w:vMerge w:val="continue"/>
            <w:shd w:val="clear" w:color="auto" w:fill="CCECFF"/>
          </w:tcPr>
          <w:p>
            <w:pPr>
              <w:spacing w:after="0"/>
              <w:rPr>
                <w:sz w:val="6"/>
                <w:szCs w:val="6"/>
                <w:color w:val="auto"/>
              </w:rPr>
            </w:pPr>
          </w:p>
        </w:tc>
        <w:tc>
          <w:tcPr>
            <w:tcW w:w="260" w:type="dxa"/>
            <w:vAlign w:val="bottom"/>
            <w:shd w:val="clear" w:color="auto" w:fill="CCECFF"/>
          </w:tcPr>
          <w:p>
            <w:pPr>
              <w:spacing w:after="0"/>
              <w:rPr>
                <w:sz w:val="6"/>
                <w:szCs w:val="6"/>
                <w:color w:val="auto"/>
              </w:rPr>
            </w:pPr>
          </w:p>
        </w:tc>
        <w:tc>
          <w:tcPr>
            <w:tcW w:w="700" w:type="dxa"/>
            <w:vAlign w:val="bottom"/>
            <w:vMerge w:val="continue"/>
            <w:shd w:val="clear" w:color="auto" w:fill="CCECFF"/>
          </w:tcPr>
          <w:p>
            <w:pPr>
              <w:spacing w:after="0"/>
              <w:rPr>
                <w:sz w:val="6"/>
                <w:szCs w:val="6"/>
                <w:color w:val="auto"/>
              </w:rPr>
            </w:pPr>
          </w:p>
        </w:tc>
        <w:tc>
          <w:tcPr>
            <w:tcW w:w="180" w:type="dxa"/>
            <w:vAlign w:val="bottom"/>
            <w:shd w:val="clear" w:color="auto" w:fill="CCECFF"/>
          </w:tcPr>
          <w:p>
            <w:pPr>
              <w:spacing w:after="0"/>
              <w:rPr>
                <w:sz w:val="6"/>
                <w:szCs w:val="6"/>
                <w:color w:val="auto"/>
              </w:rPr>
            </w:pPr>
          </w:p>
        </w:tc>
        <w:tc>
          <w:tcPr>
            <w:tcW w:w="800" w:type="dxa"/>
            <w:vAlign w:val="bottom"/>
            <w:vMerge w:val="continue"/>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08/16/2027</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10.71%</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SOFR+586</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2,314</w:t>
            </w:r>
          </w:p>
        </w:tc>
        <w:tc>
          <w:tcPr>
            <w:tcW w:w="2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2,284</w:t>
            </w:r>
          </w:p>
        </w:tc>
        <w:tc>
          <w:tcPr>
            <w:tcW w:w="18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2,297</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Crane 1 Services, Inc. (Revolver) </w:t>
            </w:r>
            <w:r>
              <w:rPr>
                <w:rFonts w:ascii="Times New Roman" w:cs="Times New Roman" w:eastAsia="Times New Roman" w:hAnsi="Times New Roman"/>
                <w:sz w:val="12"/>
                <w:szCs w:val="12"/>
                <w:color w:val="auto"/>
                <w:vertAlign w:val="superscript"/>
              </w:rPr>
              <w:t>(7), (9)</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08/16/2027</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102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502</w:t>
            </w: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(4 )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C5MI Holdco, LLC</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07/31/2030</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10.60%</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SOFR+600</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44,000</w:t>
            </w:r>
          </w:p>
        </w:tc>
        <w:tc>
          <w:tcPr>
            <w:tcW w:w="2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43,349</w:t>
            </w:r>
          </w:p>
        </w:tc>
        <w:tc>
          <w:tcPr>
            <w:tcW w:w="18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43,120</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C5MI Holdco, LLC - Funded Revolver</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07/31/2030</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1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0"/>
              </w:rPr>
              <w:t>10.60%</w:t>
            </w: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SOFR+600</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606</w:t>
            </w: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606</w:t>
            </w:r>
          </w:p>
        </w:tc>
        <w:tc>
          <w:tcPr>
            <w:tcW w:w="18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594</w:t>
            </w: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ind w:left="320"/>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b w:val="1"/>
                <w:bCs w:val="1"/>
                <w:color w:val="auto"/>
                <w:w w:val="91"/>
              </w:rPr>
              <w:t>Current</w:t>
            </w:r>
          </w:p>
        </w:tc>
        <w:tc>
          <w:tcPr>
            <w:tcW w:w="260" w:type="dxa"/>
            <w:vAlign w:val="bottom"/>
          </w:tcPr>
          <w:p>
            <w:pPr>
              <w:spacing w:after="0"/>
              <w:rPr>
                <w:sz w:val="10"/>
                <w:szCs w:val="10"/>
                <w:color w:val="auto"/>
              </w:rPr>
            </w:pP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1000" w:type="dxa"/>
            <w:vAlign w:val="bottom"/>
          </w:tcPr>
          <w:p>
            <w:pPr>
              <w:jc w:val="right"/>
              <w:ind w:right="492"/>
              <w:spacing w:after="0"/>
              <w:rPr>
                <w:sz w:val="20"/>
                <w:szCs w:val="20"/>
                <w:color w:val="auto"/>
              </w:rPr>
            </w:pPr>
            <w:r>
              <w:rPr>
                <w:rFonts w:ascii="Times New Roman" w:cs="Times New Roman" w:eastAsia="Times New Roman" w:hAnsi="Times New Roman"/>
                <w:sz w:val="10"/>
                <w:szCs w:val="10"/>
                <w:b w:val="1"/>
                <w:bCs w:val="1"/>
                <w:color w:val="auto"/>
              </w:rPr>
              <w:t>Par /</w:t>
            </w: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720" w:type="dxa"/>
            <w:vAlign w:val="bottom"/>
          </w:tcPr>
          <w:p>
            <w:pPr>
              <w:jc w:val="center"/>
              <w:ind w:left="192"/>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260" w:type="dxa"/>
            <w:vAlign w:val="bottom"/>
          </w:tcPr>
          <w:p>
            <w:pPr>
              <w:spacing w:after="0"/>
              <w:rPr>
                <w:sz w:val="10"/>
                <w:szCs w:val="10"/>
                <w:color w:val="auto"/>
              </w:rPr>
            </w:pPr>
          </w:p>
        </w:tc>
        <w:tc>
          <w:tcPr>
            <w:tcW w:w="1060" w:type="dxa"/>
            <w:vAlign w:val="bottom"/>
          </w:tcPr>
          <w:p>
            <w:pPr>
              <w:jc w:val="center"/>
              <w:ind w:right="11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8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Cost</w:t>
            </w:r>
          </w:p>
        </w:tc>
        <w:tc>
          <w:tcPr>
            <w:tcW w:w="920" w:type="dxa"/>
            <w:vAlign w:val="bottom"/>
          </w:tcPr>
          <w:p>
            <w:pPr>
              <w:jc w:val="right"/>
              <w:ind w:right="17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C5MI Holdco, LLC - Unfunded Revolver </w:t>
            </w:r>
            <w:r>
              <w:rPr>
                <w:rFonts w:ascii="Times New Roman" w:cs="Times New Roman" w:eastAsia="Times New Roman" w:hAnsi="Times New Roman"/>
                <w:sz w:val="12"/>
                <w:szCs w:val="12"/>
                <w:color w:val="auto"/>
                <w:vertAlign w:val="superscript"/>
              </w:rPr>
              <w:t>(9)</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07/31/2030</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72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8,487</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(170 )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12/21/2028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10.20%</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SOFR+535</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6,123</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5,943</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5,908</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08/31/2027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2"/>
              </w:rPr>
              <w:t>9.95%</w:t>
            </w:r>
          </w:p>
        </w:tc>
        <w:tc>
          <w:tcPr>
            <w:tcW w:w="26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SOFR+535</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16,870</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16,709</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16,870</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Dr. Squatch, LLC (Revolver) </w:t>
            </w:r>
            <w:r>
              <w:rPr>
                <w:rFonts w:ascii="Times New Roman" w:cs="Times New Roman" w:eastAsia="Times New Roman" w:hAnsi="Times New Roman"/>
                <w:sz w:val="12"/>
                <w:szCs w:val="12"/>
                <w:color w:val="auto"/>
                <w:vertAlign w:val="superscript"/>
              </w:rPr>
              <w:t>(7), (9)</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08/31/2027</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72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3,353</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11/03/2025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0"/>
              </w:rPr>
              <w:t>11.20%</w:t>
            </w:r>
          </w:p>
        </w:tc>
        <w:tc>
          <w:tcPr>
            <w:tcW w:w="26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SOFR+635</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15,559</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15,501</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15,435</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DRS Holdings III, Inc. (Revolver) </w:t>
            </w:r>
            <w:r>
              <w:rPr>
                <w:rFonts w:ascii="Times New Roman" w:cs="Times New Roman" w:eastAsia="Times New Roman" w:hAnsi="Times New Roman"/>
                <w:sz w:val="12"/>
                <w:szCs w:val="12"/>
                <w:color w:val="auto"/>
                <w:vertAlign w:val="superscript"/>
              </w:rPr>
              <w:t>(7), (9)</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11/03/2025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72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1,426</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(11 )</w:t>
            </w:r>
          </w:p>
        </w:tc>
        <w:tc>
          <w:tcPr>
            <w:tcW w:w="0" w:type="dxa"/>
            <w:vAlign w:val="bottom"/>
          </w:tcPr>
          <w:p>
            <w:pPr>
              <w:spacing w:after="0"/>
              <w:rPr>
                <w:sz w:val="1"/>
                <w:szCs w:val="1"/>
                <w:color w:val="auto"/>
              </w:rPr>
            </w:pPr>
          </w:p>
        </w:tc>
      </w:tr>
      <w:tr>
        <w:trPr>
          <w:trHeight w:val="132"/>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Duggal Acquisition, LLC</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09/30/2030</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2"/>
              </w:rPr>
              <w:t>9.60%</w:t>
            </w:r>
          </w:p>
        </w:tc>
        <w:tc>
          <w:tcPr>
            <w:tcW w:w="260" w:type="dxa"/>
            <w:vAlign w:val="bottom"/>
          </w:tcPr>
          <w:p>
            <w:pPr>
              <w:spacing w:after="0"/>
              <w:rPr>
                <w:sz w:val="11"/>
                <w:szCs w:val="11"/>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SOFR+500</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15,321</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15,168</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15,168</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Duggal Acquisition, LLC - Unfunded Term Loan </w:t>
            </w:r>
            <w:r>
              <w:rPr>
                <w:rFonts w:ascii="Times New Roman" w:cs="Times New Roman" w:eastAsia="Times New Roman" w:hAnsi="Times New Roman"/>
                <w:sz w:val="12"/>
                <w:szCs w:val="12"/>
                <w:color w:val="auto"/>
                <w:vertAlign w:val="superscript"/>
              </w:rPr>
              <w:t>(9)</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09/30/2026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72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4,470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Duggal Acquisition, LLC - Unfunded Revolver </w:t>
            </w:r>
            <w:r>
              <w:rPr>
                <w:rFonts w:ascii="Times New Roman" w:cs="Times New Roman" w:eastAsia="Times New Roman" w:hAnsi="Times New Roman"/>
                <w:sz w:val="12"/>
                <w:szCs w:val="12"/>
                <w:color w:val="auto"/>
                <w:vertAlign w:val="superscript"/>
              </w:rPr>
              <w:t>(9)</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09/30/2030</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72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5,605</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Dynata, LLC - First-Out Term Loan</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07/15/2028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10.38%</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SOFR+526</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1,856</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1,725</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1,853</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Dynata, LLC - Last-Out Term Loan</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10/15/2028</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0"/>
              </w:rPr>
              <w:t>10.88%</w:t>
            </w:r>
          </w:p>
        </w:tc>
        <w:tc>
          <w:tcPr>
            <w:tcW w:w="26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SOFR+576</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11,514</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11,514</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10,601</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ECL Entertainment, LLC</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08/31/2030</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2"/>
              </w:rPr>
              <w:t>8.85%</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1M SOFR+400</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6,209</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6,147</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6,223</w:t>
            </w:r>
          </w:p>
        </w:tc>
        <w:tc>
          <w:tcPr>
            <w:tcW w:w="0" w:type="dxa"/>
            <w:vAlign w:val="bottom"/>
          </w:tcPr>
          <w:p>
            <w:pPr>
              <w:spacing w:after="0"/>
              <w:rPr>
                <w:sz w:val="1"/>
                <w:szCs w:val="1"/>
                <w:color w:val="auto"/>
              </w:rPr>
            </w:pPr>
          </w:p>
        </w:tc>
      </w:tr>
      <w:tr>
        <w:trPr>
          <w:trHeight w:val="121"/>
        </w:trPr>
        <w:tc>
          <w:tcPr>
            <w:tcW w:w="2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01/10/2029</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0"/>
              </w:rPr>
              <w:t>10.35%</w:t>
            </w:r>
          </w:p>
        </w:tc>
        <w:tc>
          <w:tcPr>
            <w:tcW w:w="26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SOFR+575</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10,673</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10,544</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10,513</w:t>
            </w:r>
          </w:p>
        </w:tc>
        <w:tc>
          <w:tcPr>
            <w:tcW w:w="0" w:type="dxa"/>
            <w:vAlign w:val="bottom"/>
          </w:tcPr>
          <w:p>
            <w:pPr>
              <w:spacing w:after="0"/>
              <w:rPr>
                <w:sz w:val="1"/>
                <w:szCs w:val="1"/>
                <w:color w:val="auto"/>
              </w:rPr>
            </w:pPr>
          </w:p>
        </w:tc>
      </w:tr>
      <w:tr>
        <w:trPr>
          <w:trHeight w:val="121"/>
        </w:trPr>
        <w:tc>
          <w:tcPr>
            <w:tcW w:w="28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2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EDS Buyer, LLC. (Revolver) </w:t>
            </w:r>
            <w:r>
              <w:rPr>
                <w:rFonts w:ascii="Times New Roman" w:cs="Times New Roman" w:eastAsia="Times New Roman" w:hAnsi="Times New Roman"/>
                <w:sz w:val="12"/>
                <w:szCs w:val="12"/>
                <w:color w:val="auto"/>
                <w:vertAlign w:val="superscript"/>
              </w:rPr>
              <w:t>(7), (9)</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01/10/2029</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2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2,298</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(34 )</w:t>
            </w:r>
          </w:p>
        </w:tc>
        <w:tc>
          <w:tcPr>
            <w:tcW w:w="0" w:type="dxa"/>
            <w:vAlign w:val="bottom"/>
          </w:tcPr>
          <w:p>
            <w:pPr>
              <w:spacing w:after="0"/>
              <w:rPr>
                <w:sz w:val="1"/>
                <w:szCs w:val="1"/>
                <w:color w:val="auto"/>
              </w:rPr>
            </w:pPr>
          </w:p>
        </w:tc>
      </w:tr>
      <w:tr>
        <w:trPr>
          <w:trHeight w:val="121"/>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Efficient Collaborative Retail Marketing Company, LLC</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06/15/2025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0"/>
              </w:rPr>
              <w:t>12.37%</w:t>
            </w:r>
          </w:p>
        </w:tc>
        <w:tc>
          <w:tcPr>
            <w:tcW w:w="26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SOFR+776</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8,195</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8,216</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6,310</w:t>
            </w:r>
          </w:p>
        </w:tc>
        <w:tc>
          <w:tcPr>
            <w:tcW w:w="0" w:type="dxa"/>
            <w:vAlign w:val="bottom"/>
          </w:tcPr>
          <w:p>
            <w:pPr>
              <w:spacing w:after="0"/>
              <w:rPr>
                <w:sz w:val="1"/>
                <w:szCs w:val="1"/>
                <w:color w:val="auto"/>
              </w:rPr>
            </w:pPr>
          </w:p>
        </w:tc>
      </w:tr>
      <w:tr>
        <w:trPr>
          <w:trHeight w:val="120"/>
        </w:trPr>
        <w:tc>
          <w:tcPr>
            <w:tcW w:w="2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2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7"/>
              </w:rPr>
              <w:t>(PIK 1.50%)</w:t>
            </w: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Eisner Advisory Group, LLC</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02/23/2031</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2"/>
              </w:rPr>
              <w:t>9.25%</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SOFR+400</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6,948</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6,880</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6,961</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ETE Intermediate II, LLC - Funded Revolver</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05/25/2029</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0"/>
              </w:rPr>
              <w:t>11.10%</w:t>
            </w:r>
          </w:p>
        </w:tc>
        <w:tc>
          <w:tcPr>
            <w:tcW w:w="26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SOFR+650</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1,215</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1,215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1,215</w:t>
            </w:r>
          </w:p>
        </w:tc>
        <w:tc>
          <w:tcPr>
            <w:tcW w:w="0" w:type="dxa"/>
            <w:vAlign w:val="bottom"/>
          </w:tcPr>
          <w:p>
            <w:pPr>
              <w:spacing w:after="0"/>
              <w:rPr>
                <w:sz w:val="1"/>
                <w:szCs w:val="1"/>
                <w:color w:val="auto"/>
              </w:rPr>
            </w:pPr>
          </w:p>
        </w:tc>
      </w:tr>
      <w:tr>
        <w:trPr>
          <w:trHeight w:val="124"/>
        </w:trPr>
        <w:tc>
          <w:tcPr>
            <w:tcW w:w="282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ETE Intermediate II, LLC - Unfunded Revolver </w:t>
            </w:r>
            <w:r>
              <w:rPr>
                <w:rFonts w:ascii="Times New Roman" w:cs="Times New Roman" w:eastAsia="Times New Roman" w:hAnsi="Times New Roman"/>
                <w:sz w:val="12"/>
                <w:szCs w:val="12"/>
                <w:color w:val="auto"/>
                <w:vertAlign w:val="superscript"/>
              </w:rPr>
              <w:t>(9)</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05/25/2029</w:t>
            </w:r>
          </w:p>
        </w:tc>
        <w:tc>
          <w:tcPr>
            <w:tcW w:w="196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20" w:type="dxa"/>
            <w:vAlign w:val="bottom"/>
            <w:shd w:val="clear" w:color="auto" w:fill="CCECFF"/>
          </w:tcPr>
          <w:p>
            <w:pPr>
              <w:spacing w:after="0"/>
              <w:rPr>
                <w:sz w:val="10"/>
                <w:szCs w:val="10"/>
                <w:color w:val="auto"/>
              </w:rPr>
            </w:pPr>
          </w:p>
        </w:tc>
        <w:tc>
          <w:tcPr>
            <w:tcW w:w="26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vMerge w:val="restart"/>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1,215</w:t>
            </w:r>
          </w:p>
        </w:tc>
        <w:tc>
          <w:tcPr>
            <w:tcW w:w="880" w:type="dxa"/>
            <w:vAlign w:val="bottom"/>
            <w:vMerge w:val="restart"/>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68"/>
        </w:trPr>
        <w:tc>
          <w:tcPr>
            <w:tcW w:w="2820" w:type="dxa"/>
            <w:vAlign w:val="bottom"/>
            <w:vMerge w:val="continue"/>
            <w:shd w:val="clear" w:color="auto" w:fill="CCECFF"/>
          </w:tcPr>
          <w:p>
            <w:pPr>
              <w:spacing w:after="0"/>
              <w:rPr>
                <w:sz w:val="5"/>
                <w:szCs w:val="5"/>
                <w:color w:val="auto"/>
              </w:rPr>
            </w:pPr>
          </w:p>
        </w:tc>
        <w:tc>
          <w:tcPr>
            <w:tcW w:w="940" w:type="dxa"/>
            <w:vAlign w:val="bottom"/>
            <w:shd w:val="clear" w:color="auto" w:fill="CCECFF"/>
          </w:tcPr>
          <w:p>
            <w:pPr>
              <w:spacing w:after="0"/>
              <w:rPr>
                <w:sz w:val="5"/>
                <w:szCs w:val="5"/>
                <w:color w:val="auto"/>
              </w:rPr>
            </w:pPr>
          </w:p>
        </w:tc>
        <w:tc>
          <w:tcPr>
            <w:tcW w:w="1960" w:type="dxa"/>
            <w:vAlign w:val="bottom"/>
            <w:vMerge w:val="continue"/>
            <w:shd w:val="clear" w:color="auto" w:fill="CCECFF"/>
          </w:tcPr>
          <w:p>
            <w:pPr>
              <w:spacing w:after="0"/>
              <w:rPr>
                <w:sz w:val="5"/>
                <w:szCs w:val="5"/>
                <w:color w:val="auto"/>
              </w:rPr>
            </w:pPr>
          </w:p>
        </w:tc>
        <w:tc>
          <w:tcPr>
            <w:tcW w:w="720" w:type="dxa"/>
            <w:vAlign w:val="bottom"/>
            <w:shd w:val="clear" w:color="auto" w:fill="CCECFF"/>
          </w:tcPr>
          <w:p>
            <w:pPr>
              <w:spacing w:after="0"/>
              <w:rPr>
                <w:sz w:val="5"/>
                <w:szCs w:val="5"/>
                <w:color w:val="auto"/>
              </w:rPr>
            </w:pPr>
          </w:p>
        </w:tc>
        <w:tc>
          <w:tcPr>
            <w:tcW w:w="260" w:type="dxa"/>
            <w:vAlign w:val="bottom"/>
            <w:vMerge w:val="continue"/>
            <w:shd w:val="clear" w:color="auto" w:fill="CCECFF"/>
          </w:tcPr>
          <w:p>
            <w:pPr>
              <w:spacing w:after="0"/>
              <w:rPr>
                <w:sz w:val="5"/>
                <w:szCs w:val="5"/>
                <w:color w:val="auto"/>
              </w:rPr>
            </w:pPr>
          </w:p>
        </w:tc>
        <w:tc>
          <w:tcPr>
            <w:tcW w:w="1060" w:type="dxa"/>
            <w:vAlign w:val="bottom"/>
            <w:vMerge w:val="continue"/>
            <w:shd w:val="clear" w:color="auto" w:fill="CCECFF"/>
          </w:tcPr>
          <w:p>
            <w:pPr>
              <w:spacing w:after="0"/>
              <w:rPr>
                <w:sz w:val="5"/>
                <w:szCs w:val="5"/>
                <w:color w:val="auto"/>
              </w:rPr>
            </w:pPr>
          </w:p>
        </w:tc>
        <w:tc>
          <w:tcPr>
            <w:tcW w:w="1000" w:type="dxa"/>
            <w:vAlign w:val="bottom"/>
            <w:shd w:val="clear" w:color="auto" w:fill="CCECFF"/>
          </w:tcPr>
          <w:p>
            <w:pPr>
              <w:spacing w:after="0"/>
              <w:rPr>
                <w:sz w:val="5"/>
                <w:szCs w:val="5"/>
                <w:color w:val="auto"/>
              </w:rPr>
            </w:pPr>
          </w:p>
        </w:tc>
        <w:tc>
          <w:tcPr>
            <w:tcW w:w="880" w:type="dxa"/>
            <w:vAlign w:val="bottom"/>
            <w:vMerge w:val="continue"/>
            <w:shd w:val="clear" w:color="auto" w:fill="CCECFF"/>
          </w:tcPr>
          <w:p>
            <w:pPr>
              <w:spacing w:after="0"/>
              <w:rPr>
                <w:sz w:val="5"/>
                <w:szCs w:val="5"/>
                <w:color w:val="auto"/>
              </w:rPr>
            </w:pPr>
          </w:p>
        </w:tc>
        <w:tc>
          <w:tcPr>
            <w:tcW w:w="920" w:type="dxa"/>
            <w:vAlign w:val="bottom"/>
            <w:vMerge w:val="continue"/>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Eval Home Health Solutions Intermediate, LLC</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05/10/2030</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0"/>
              </w:rPr>
              <w:t>10.60%</w:t>
            </w:r>
          </w:p>
        </w:tc>
        <w:tc>
          <w:tcPr>
            <w:tcW w:w="26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SOFR+575</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14,492</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14,275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14,347</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w w:val="94"/>
              </w:rPr>
              <w:t xml:space="preserve">Eval Home Health Solutions Intermediate, LLC - UnFunded Revolver </w:t>
            </w:r>
            <w:r>
              <w:rPr>
                <w:rFonts w:ascii="Times New Roman" w:cs="Times New Roman" w:eastAsia="Times New Roman" w:hAnsi="Times New Roman"/>
                <w:sz w:val="12"/>
                <w:szCs w:val="12"/>
                <w:color w:val="auto"/>
                <w:w w:val="94"/>
                <w:vertAlign w:val="superscript"/>
              </w:rPr>
              <w:t>(9)</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05/10/2030</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2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2,640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(26 )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Exigo Intermediate II, LLC (Revolver) </w:t>
            </w:r>
            <w:r>
              <w:rPr>
                <w:rFonts w:ascii="Times New Roman" w:cs="Times New Roman" w:eastAsia="Times New Roman" w:hAnsi="Times New Roman"/>
                <w:sz w:val="12"/>
                <w:szCs w:val="12"/>
                <w:color w:val="auto"/>
                <w:vertAlign w:val="superscript"/>
              </w:rPr>
              <w:t>(9)</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03/15/2027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72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689</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06/23/2028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2"/>
              </w:rPr>
              <w:t>9.74%</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SOFR+450</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995</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990</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996</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Five Star Buyer, Inc.</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02/23/2028</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0"/>
              </w:rPr>
              <w:t>12.21%</w:t>
            </w:r>
          </w:p>
        </w:tc>
        <w:tc>
          <w:tcPr>
            <w:tcW w:w="26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SOFR+715</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4,437</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4,372</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4,437</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Five Star Buyer, Inc. (Revolver) </w:t>
            </w:r>
            <w:r>
              <w:rPr>
                <w:rFonts w:ascii="Times New Roman" w:cs="Times New Roman" w:eastAsia="Times New Roman" w:hAnsi="Times New Roman"/>
                <w:sz w:val="12"/>
                <w:szCs w:val="12"/>
                <w:color w:val="auto"/>
                <w:vertAlign w:val="superscript"/>
              </w:rPr>
              <w:t>(9)</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02/23/2028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72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741</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ETE Blocker, LLC - Promissory Note</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05/19/2029</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0"/>
              </w:rPr>
              <w:t>12.56%</w:t>
            </w:r>
          </w:p>
        </w:tc>
        <w:tc>
          <w:tcPr>
            <w:tcW w:w="260" w:type="dxa"/>
            <w:vAlign w:val="bottom"/>
          </w:tcPr>
          <w:p>
            <w:pPr>
              <w:spacing w:after="0"/>
              <w:rPr>
                <w:sz w:val="10"/>
                <w:szCs w:val="10"/>
                <w:color w:val="auto"/>
              </w:rPr>
            </w:pP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215</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215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215</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GGG MIDCO, LLC</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09/27/2030</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2"/>
              </w:rPr>
              <w:t>9.64%</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SOFR+500</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19,243</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19,051</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19,050</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GGG MIDCO, LLC - Unfunded Term Loan </w:t>
            </w:r>
            <w:r>
              <w:rPr>
                <w:rFonts w:ascii="Times New Roman" w:cs="Times New Roman" w:eastAsia="Times New Roman" w:hAnsi="Times New Roman"/>
                <w:sz w:val="12"/>
                <w:szCs w:val="12"/>
                <w:color w:val="auto"/>
                <w:vertAlign w:val="superscript"/>
              </w:rPr>
              <w:t>(9)</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03/27/2026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2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30,986</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GGG MIDCO, LLC – Unfunded Revolver </w:t>
            </w:r>
            <w:r>
              <w:rPr>
                <w:rFonts w:ascii="Times New Roman" w:cs="Times New Roman" w:eastAsia="Times New Roman" w:hAnsi="Times New Roman"/>
                <w:sz w:val="12"/>
                <w:szCs w:val="12"/>
                <w:color w:val="auto"/>
                <w:vertAlign w:val="superscript"/>
              </w:rPr>
              <w:t>(9)</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09/27/2030</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2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1,311</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03/16/2026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0"/>
              </w:rPr>
              <w:t>11.43%</w:t>
            </w:r>
          </w:p>
        </w:tc>
        <w:tc>
          <w:tcPr>
            <w:tcW w:w="26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SOFR+615</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4,985</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4,927</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4,736</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08/10/2027</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10.70%</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SOFR+560</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1,351</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1,341</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1,337</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Graffiti Buyer, Inc. - Unfunded Term Loan </w:t>
            </w:r>
            <w:r>
              <w:rPr>
                <w:rFonts w:ascii="Times New Roman" w:cs="Times New Roman" w:eastAsia="Times New Roman" w:hAnsi="Times New Roman"/>
                <w:sz w:val="12"/>
                <w:szCs w:val="12"/>
                <w:color w:val="auto"/>
                <w:vertAlign w:val="superscript"/>
              </w:rPr>
              <w:t>(9)</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08/10/2027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72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984</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Graffiti Buyer, Inc. (Revolver)</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08/10/2027</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10.70%</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SOFR+560</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432</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432</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428</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Graffiti Buyer, Inc. (Revolver) </w:t>
            </w:r>
            <w:r>
              <w:rPr>
                <w:rFonts w:ascii="Times New Roman" w:cs="Times New Roman" w:eastAsia="Times New Roman" w:hAnsi="Times New Roman"/>
                <w:sz w:val="12"/>
                <w:szCs w:val="12"/>
                <w:color w:val="auto"/>
                <w:vertAlign w:val="superscript"/>
              </w:rPr>
              <w:t>(7), (9)</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08/10/2027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72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432</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12/31/2026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10.20%</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SOFR+560</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3,993</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3,949</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3,913</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Hancock Roofing and Construction L.L.C. (Revolver) </w:t>
            </w:r>
            <w:r>
              <w:rPr>
                <w:rFonts w:ascii="Times New Roman" w:cs="Times New Roman" w:eastAsia="Times New Roman" w:hAnsi="Times New Roman"/>
                <w:sz w:val="12"/>
                <w:szCs w:val="12"/>
                <w:color w:val="auto"/>
                <w:vertAlign w:val="superscript"/>
              </w:rPr>
              <w:t>(7)</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12/31/2026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0"/>
              </w:rPr>
              <w:t>10.45%</w:t>
            </w:r>
          </w:p>
        </w:tc>
        <w:tc>
          <w:tcPr>
            <w:tcW w:w="26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SOFR+560</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680</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680</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666</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Hancock Roofing and Construction L.L.C. (Revolver) </w:t>
            </w:r>
            <w:r>
              <w:rPr>
                <w:rFonts w:ascii="Times New Roman" w:cs="Times New Roman" w:eastAsia="Times New Roman" w:hAnsi="Times New Roman"/>
                <w:sz w:val="12"/>
                <w:szCs w:val="12"/>
                <w:color w:val="auto"/>
                <w:vertAlign w:val="superscript"/>
              </w:rPr>
              <w:t>(7), (9)</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12/31/2026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72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70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24"/>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Harris &amp; Co. LLC</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08/09/2030</w:t>
            </w: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20" w:type="dxa"/>
            <w:vAlign w:val="bottom"/>
            <w:vMerge w:val="restart"/>
          </w:tcPr>
          <w:p>
            <w:pPr>
              <w:jc w:val="center"/>
              <w:ind w:left="152"/>
              <w:spacing w:after="0"/>
              <w:rPr>
                <w:sz w:val="20"/>
                <w:szCs w:val="20"/>
                <w:color w:val="auto"/>
              </w:rPr>
            </w:pPr>
            <w:r>
              <w:rPr>
                <w:rFonts w:ascii="Times New Roman" w:cs="Times New Roman" w:eastAsia="Times New Roman" w:hAnsi="Times New Roman"/>
                <w:sz w:val="10"/>
                <w:szCs w:val="10"/>
                <w:color w:val="auto"/>
                <w:w w:val="92"/>
              </w:rPr>
              <w:t>9.85%</w:t>
            </w:r>
          </w:p>
        </w:tc>
        <w:tc>
          <w:tcPr>
            <w:tcW w:w="26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SOFR+500</w:t>
            </w:r>
          </w:p>
        </w:tc>
        <w:tc>
          <w:tcPr>
            <w:tcW w:w="100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auto"/>
              </w:rPr>
              <w:t>31,992</w:t>
            </w:r>
          </w:p>
        </w:tc>
        <w:tc>
          <w:tcPr>
            <w:tcW w:w="880" w:type="dxa"/>
            <w:vAlign w:val="bottom"/>
            <w:vMerge w:val="restart"/>
          </w:tcPr>
          <w:p>
            <w:pPr>
              <w:jc w:val="right"/>
              <w:ind w:right="112"/>
              <w:spacing w:after="0"/>
              <w:rPr>
                <w:sz w:val="20"/>
                <w:szCs w:val="20"/>
                <w:color w:val="auto"/>
              </w:rPr>
            </w:pPr>
            <w:r>
              <w:rPr>
                <w:rFonts w:ascii="Times New Roman" w:cs="Times New Roman" w:eastAsia="Times New Roman" w:hAnsi="Times New Roman"/>
                <w:sz w:val="10"/>
                <w:szCs w:val="10"/>
                <w:color w:val="auto"/>
              </w:rPr>
              <w:t>31,720</w:t>
            </w:r>
          </w:p>
        </w:tc>
        <w:tc>
          <w:tcPr>
            <w:tcW w:w="9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31,432</w:t>
            </w:r>
          </w:p>
        </w:tc>
        <w:tc>
          <w:tcPr>
            <w:tcW w:w="0" w:type="dxa"/>
            <w:vAlign w:val="bottom"/>
          </w:tcPr>
          <w:p>
            <w:pPr>
              <w:spacing w:after="0"/>
              <w:rPr>
                <w:sz w:val="1"/>
                <w:szCs w:val="1"/>
                <w:color w:val="auto"/>
              </w:rPr>
            </w:pPr>
          </w:p>
        </w:tc>
      </w:tr>
      <w:tr>
        <w:trPr>
          <w:trHeight w:val="44"/>
        </w:trPr>
        <w:tc>
          <w:tcPr>
            <w:tcW w:w="28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9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Harris &amp; Co. LLC. - Unfunded Term Loan A </w:t>
            </w:r>
            <w:r>
              <w:rPr>
                <w:rFonts w:ascii="Times New Roman" w:cs="Times New Roman" w:eastAsia="Times New Roman" w:hAnsi="Times New Roman"/>
                <w:sz w:val="12"/>
                <w:szCs w:val="12"/>
                <w:color w:val="auto"/>
                <w:vertAlign w:val="superscript"/>
              </w:rPr>
              <w:t>(9)</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02/09/2025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2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39,414</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(345 )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Harris &amp; Co. LLC. - Unfunded Term Loan B </w:t>
            </w:r>
            <w:r>
              <w:rPr>
                <w:rFonts w:ascii="Times New Roman" w:cs="Times New Roman" w:eastAsia="Times New Roman" w:hAnsi="Times New Roman"/>
                <w:sz w:val="12"/>
                <w:szCs w:val="12"/>
                <w:color w:val="auto"/>
                <w:vertAlign w:val="superscript"/>
              </w:rPr>
              <w:t>(9)</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02/09/2026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2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50,296</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(440 )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Harris &amp; Co. LLC - Unfunded Revolver </w:t>
            </w:r>
            <w:r>
              <w:rPr>
                <w:rFonts w:ascii="Times New Roman" w:cs="Times New Roman" w:eastAsia="Times New Roman" w:hAnsi="Times New Roman"/>
                <w:sz w:val="12"/>
                <w:szCs w:val="12"/>
                <w:color w:val="auto"/>
                <w:vertAlign w:val="superscript"/>
              </w:rPr>
              <w:t>(9)</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08/09/2030</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2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7,401</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(130 )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HEC Purchaser Corp.</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06/17/2029</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2"/>
              </w:rPr>
              <w:t>9.75%</w:t>
            </w:r>
          </w:p>
        </w:tc>
        <w:tc>
          <w:tcPr>
            <w:tcW w:w="26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SOFR+550</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9,651</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9,535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9,583</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Hills Distribution Inc.</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11/07/2029</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11.11%</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SOFR+600</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7,941</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7,829</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7,862</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Hills Distribution Inc. - Unfunded Term Loan </w:t>
            </w:r>
            <w:r>
              <w:rPr>
                <w:rFonts w:ascii="Times New Roman" w:cs="Times New Roman" w:eastAsia="Times New Roman" w:hAnsi="Times New Roman"/>
                <w:sz w:val="12"/>
                <w:szCs w:val="12"/>
                <w:color w:val="auto"/>
                <w:vertAlign w:val="superscript"/>
              </w:rPr>
              <w:t>(9)</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11/07/2025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72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10,812</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05/10/2026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11.20%</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1M SOFR+590</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10,410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10,389</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10,410</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HW Holdco, LLC (Revolver) </w:t>
            </w:r>
            <w:r>
              <w:rPr>
                <w:rFonts w:ascii="Times New Roman" w:cs="Times New Roman" w:eastAsia="Times New Roman" w:hAnsi="Times New Roman"/>
                <w:sz w:val="12"/>
                <w:szCs w:val="12"/>
                <w:color w:val="auto"/>
                <w:vertAlign w:val="superscript"/>
              </w:rPr>
              <w:t>(9)</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05/10/2026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72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1,452</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IG Investments Holdings, LLC</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09/22/2028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11.35%</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SOFR+610</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4,487</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4,430</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4,443</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IG Investments Holdings, LLC (Revolver) </w:t>
            </w:r>
            <w:r>
              <w:rPr>
                <w:rFonts w:ascii="Times New Roman" w:cs="Times New Roman" w:eastAsia="Times New Roman" w:hAnsi="Times New Roman"/>
                <w:sz w:val="12"/>
                <w:szCs w:val="12"/>
                <w:color w:val="auto"/>
                <w:vertAlign w:val="superscript"/>
              </w:rPr>
              <w:t>(7), (9)</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09/22/2027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2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722</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Imagine Acquisitionco, LLC (Revolver) </w:t>
            </w:r>
            <w:r>
              <w:rPr>
                <w:rFonts w:ascii="Times New Roman" w:cs="Times New Roman" w:eastAsia="Times New Roman" w:hAnsi="Times New Roman"/>
                <w:sz w:val="12"/>
                <w:szCs w:val="12"/>
                <w:color w:val="auto"/>
                <w:vertAlign w:val="superscript"/>
              </w:rPr>
              <w:t>(9)</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11/15/2027</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72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1,193</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(6 )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12/28/2028</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0"/>
              </w:rPr>
              <w:t>10.96%</w:t>
            </w:r>
          </w:p>
        </w:tc>
        <w:tc>
          <w:tcPr>
            <w:tcW w:w="26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SOFR+685</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4,553</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4,534</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4,582</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 (CAD)</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12/28/2028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10.35%</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SOFR+600</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1,672</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1,204</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1,237</w:t>
            </w:r>
          </w:p>
        </w:tc>
        <w:tc>
          <w:tcPr>
            <w:tcW w:w="0" w:type="dxa"/>
            <w:vAlign w:val="bottom"/>
          </w:tcPr>
          <w:p>
            <w:pPr>
              <w:spacing w:after="0"/>
              <w:rPr>
                <w:sz w:val="1"/>
                <w:szCs w:val="1"/>
                <w:color w:val="auto"/>
              </w:rPr>
            </w:pPr>
          </w:p>
        </w:tc>
      </w:tr>
      <w:tr>
        <w:trPr>
          <w:trHeight w:val="121"/>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97"/>
              </w:rPr>
              <w:t>Infinity Home Services Holdco, Inc. - 1st Amendment Unfunded Term</w:t>
            </w:r>
          </w:p>
        </w:tc>
        <w:tc>
          <w:tcPr>
            <w:tcW w:w="9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Loan </w:t>
            </w:r>
            <w:r>
              <w:rPr>
                <w:rFonts w:ascii="Times New Roman" w:cs="Times New Roman" w:eastAsia="Times New Roman" w:hAnsi="Times New Roman"/>
                <w:sz w:val="12"/>
                <w:szCs w:val="12"/>
                <w:color w:val="auto"/>
                <w:vertAlign w:val="superscript"/>
              </w:rPr>
              <w:t>(9)</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11/17/2025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72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4,288</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 (Revolver)</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12/28/2028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13.75%</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SOFR+575</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194</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194</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194</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Infinity Home Services Holdco, Inc. - Unfunded Term Loan </w:t>
            </w:r>
            <w:r>
              <w:rPr>
                <w:rFonts w:ascii="Times New Roman" w:cs="Times New Roman" w:eastAsia="Times New Roman" w:hAnsi="Times New Roman"/>
                <w:sz w:val="12"/>
                <w:szCs w:val="12"/>
                <w:color w:val="auto"/>
                <w:vertAlign w:val="superscript"/>
              </w:rPr>
              <w:t>(9)</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12/28/2028</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72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1,098</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11/01/2026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10.10%</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SOFR+550</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5,539</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5,483</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5,498</w:t>
            </w:r>
          </w:p>
        </w:tc>
        <w:tc>
          <w:tcPr>
            <w:tcW w:w="0" w:type="dxa"/>
            <w:vAlign w:val="bottom"/>
          </w:tcPr>
          <w:p>
            <w:pPr>
              <w:spacing w:after="0"/>
              <w:rPr>
                <w:sz w:val="1"/>
                <w:szCs w:val="1"/>
                <w:color w:val="auto"/>
              </w:rPr>
            </w:pPr>
          </w:p>
        </w:tc>
      </w:tr>
      <w:tr>
        <w:trPr>
          <w:trHeight w:val="121"/>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Integrative Nutrition, LLC</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01/31/2025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Services</w:t>
            </w: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0"/>
              </w:rPr>
              <w:t>11.36%</w:t>
            </w:r>
          </w:p>
        </w:tc>
        <w:tc>
          <w:tcPr>
            <w:tcW w:w="26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SOFR+715</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15,776</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15,747</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13,567</w:t>
            </w:r>
          </w:p>
        </w:tc>
        <w:tc>
          <w:tcPr>
            <w:tcW w:w="0" w:type="dxa"/>
            <w:vAlign w:val="bottom"/>
          </w:tcPr>
          <w:p>
            <w:pPr>
              <w:spacing w:after="0"/>
              <w:rPr>
                <w:sz w:val="1"/>
                <w:szCs w:val="1"/>
                <w:color w:val="auto"/>
              </w:rPr>
            </w:pPr>
          </w:p>
        </w:tc>
      </w:tr>
      <w:tr>
        <w:trPr>
          <w:trHeight w:val="120"/>
        </w:trPr>
        <w:tc>
          <w:tcPr>
            <w:tcW w:w="2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2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7"/>
              </w:rPr>
              <w:t>(PIK 6.00%)</w:t>
            </w: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ITI Holdings, Inc. (Revolver)</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03/03/2028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12.50%</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SOFR+450</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500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500</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500</w:t>
            </w:r>
          </w:p>
        </w:tc>
        <w:tc>
          <w:tcPr>
            <w:tcW w:w="0" w:type="dxa"/>
            <w:vAlign w:val="bottom"/>
          </w:tcPr>
          <w:p>
            <w:pPr>
              <w:spacing w:after="0"/>
              <w:rPr>
                <w:sz w:val="1"/>
                <w:szCs w:val="1"/>
                <w:color w:val="auto"/>
              </w:rPr>
            </w:pPr>
          </w:p>
        </w:tc>
      </w:tr>
      <w:tr>
        <w:trPr>
          <w:trHeight w:val="168"/>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ITI Holdings, Inc. (Revolver) </w:t>
            </w:r>
            <w:r>
              <w:rPr>
                <w:rFonts w:ascii="Times New Roman" w:cs="Times New Roman" w:eastAsia="Times New Roman" w:hAnsi="Times New Roman"/>
                <w:sz w:val="12"/>
                <w:szCs w:val="12"/>
                <w:color w:val="auto"/>
                <w:vertAlign w:val="superscript"/>
              </w:rPr>
              <w:t>(7), (9)</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03/03/2028</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720" w:type="dxa"/>
            <w:vAlign w:val="bottom"/>
          </w:tcPr>
          <w:p>
            <w:pPr>
              <w:spacing w:after="0"/>
              <w:rPr>
                <w:sz w:val="14"/>
                <w:szCs w:val="14"/>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165</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2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Inventus Power, Inc.</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06/30/2025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12.46%</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SOFR+761</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4,938</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4,893</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4,863</w:t>
            </w:r>
          </w:p>
        </w:tc>
        <w:tc>
          <w:tcPr>
            <w:tcW w:w="0" w:type="dxa"/>
            <w:vAlign w:val="bottom"/>
          </w:tcPr>
          <w:p>
            <w:pPr>
              <w:spacing w:after="0"/>
              <w:rPr>
                <w:sz w:val="1"/>
                <w:szCs w:val="1"/>
                <w:color w:val="auto"/>
              </w:rPr>
            </w:pPr>
          </w:p>
        </w:tc>
      </w:tr>
      <w:tr>
        <w:trPr>
          <w:trHeight w:val="121"/>
        </w:trPr>
        <w:tc>
          <w:tcPr>
            <w:tcW w:w="2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Inventus Power, Inc. - Unfunded Revolver </w:t>
            </w:r>
            <w:r>
              <w:rPr>
                <w:rFonts w:ascii="Times New Roman" w:cs="Times New Roman" w:eastAsia="Times New Roman" w:hAnsi="Times New Roman"/>
                <w:sz w:val="12"/>
                <w:szCs w:val="12"/>
                <w:color w:val="auto"/>
                <w:vertAlign w:val="superscript"/>
              </w:rPr>
              <w:t>(9)</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06/30/2025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2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1,729</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(26 )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Keel Platform, LLC</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01/19/2031</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Metals and Mining</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10.09%</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SOFR+525</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11,544</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11,388</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11,486</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Keel Platform, LLC - Unfunded Term Loan </w:t>
            </w:r>
            <w:r>
              <w:rPr>
                <w:rFonts w:ascii="Times New Roman" w:cs="Times New Roman" w:eastAsia="Times New Roman" w:hAnsi="Times New Roman"/>
                <w:sz w:val="12"/>
                <w:szCs w:val="12"/>
                <w:color w:val="auto"/>
                <w:vertAlign w:val="superscript"/>
              </w:rPr>
              <w:t>(9)</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01/19/2031</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Metals and Mining</w:t>
            </w:r>
          </w:p>
        </w:tc>
        <w:tc>
          <w:tcPr>
            <w:tcW w:w="72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2,402</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11/10/2027</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10.75%</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SOFR+615</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13,971</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13,802</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13,970</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Kinetic Purchaser, LLC (Revolver) </w:t>
            </w:r>
            <w:r>
              <w:rPr>
                <w:rFonts w:ascii="Times New Roman" w:cs="Times New Roman" w:eastAsia="Times New Roman" w:hAnsi="Times New Roman"/>
                <w:sz w:val="12"/>
                <w:szCs w:val="12"/>
                <w:color w:val="auto"/>
                <w:vertAlign w:val="superscript"/>
              </w:rPr>
              <w:t>(7)</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11/10/2026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72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3,435</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02/18/2027</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12.94%</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SOFR+785</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10,786</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10,689</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10,678</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96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7"/>
              </w:rPr>
              <w:t>(PIK 5.10%)</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20" w:type="dxa"/>
            <w:vAlign w:val="bottom"/>
          </w:tcPr>
          <w:p>
            <w:pPr>
              <w:ind w:left="20"/>
              <w:spacing w:after="0" w:line="121" w:lineRule="exact"/>
              <w:rPr>
                <w:sz w:val="20"/>
                <w:szCs w:val="20"/>
                <w:color w:val="auto"/>
              </w:rPr>
            </w:pPr>
            <w:r>
              <w:rPr>
                <w:rFonts w:ascii="Times New Roman" w:cs="Times New Roman" w:eastAsia="Times New Roman" w:hAnsi="Times New Roman"/>
                <w:sz w:val="10"/>
                <w:szCs w:val="10"/>
                <w:color w:val="auto"/>
              </w:rPr>
              <w:t xml:space="preserve">Lash OpCo, LLC (Revolver) </w:t>
            </w:r>
            <w:r>
              <w:rPr>
                <w:rFonts w:ascii="Times New Roman" w:cs="Times New Roman" w:eastAsia="Times New Roman" w:hAnsi="Times New Roman"/>
                <w:sz w:val="12"/>
                <w:szCs w:val="12"/>
                <w:color w:val="auto"/>
                <w:vertAlign w:val="superscript"/>
              </w:rPr>
              <w:t>(7)</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08/16/2026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0"/>
              </w:rPr>
              <w:t>12.94%</w:t>
            </w:r>
          </w:p>
        </w:tc>
        <w:tc>
          <w:tcPr>
            <w:tcW w:w="26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1M SOFR+785</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2,833</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2,833</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2,805</w:t>
            </w:r>
          </w:p>
        </w:tc>
        <w:tc>
          <w:tcPr>
            <w:tcW w:w="0" w:type="dxa"/>
            <w:vAlign w:val="bottom"/>
          </w:tcPr>
          <w:p>
            <w:pPr>
              <w:spacing w:after="0"/>
              <w:rPr>
                <w:sz w:val="1"/>
                <w:szCs w:val="1"/>
                <w:color w:val="auto"/>
              </w:rPr>
            </w:pPr>
          </w:p>
        </w:tc>
      </w:tr>
      <w:tr>
        <w:trPr>
          <w:trHeight w:val="120"/>
        </w:trPr>
        <w:tc>
          <w:tcPr>
            <w:tcW w:w="2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2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7"/>
              </w:rPr>
              <w:t>(PIK 5.10%)</w:t>
            </w: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Lash OpCo, LLC (Revolver) </w:t>
            </w:r>
            <w:r>
              <w:rPr>
                <w:rFonts w:ascii="Times New Roman" w:cs="Times New Roman" w:eastAsia="Times New Roman" w:hAnsi="Times New Roman"/>
                <w:sz w:val="12"/>
                <w:szCs w:val="12"/>
                <w:color w:val="auto"/>
                <w:vertAlign w:val="superscript"/>
              </w:rPr>
              <w:t>(7), (9)</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08/16/2026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720" w:type="dxa"/>
            <w:vAlign w:val="bottom"/>
            <w:vMerge w:val="restart"/>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7"/>
              </w:rPr>
              <w:t>(PIK 5.10%)</w:t>
            </w: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335</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960" w:type="dxa"/>
            <w:vAlign w:val="bottom"/>
            <w:shd w:val="clear" w:color="auto" w:fill="CCECFF"/>
          </w:tcPr>
          <w:p>
            <w:pPr>
              <w:spacing w:after="0"/>
              <w:rPr>
                <w:sz w:val="10"/>
                <w:szCs w:val="10"/>
                <w:color w:val="auto"/>
              </w:rPr>
            </w:pPr>
          </w:p>
        </w:tc>
        <w:tc>
          <w:tcPr>
            <w:tcW w:w="720" w:type="dxa"/>
            <w:vAlign w:val="bottom"/>
            <w:vMerge w:val="continue"/>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10/31/2025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0"/>
              </w:rPr>
              <w:t>11.64%</w:t>
            </w:r>
          </w:p>
        </w:tc>
        <w:tc>
          <w:tcPr>
            <w:tcW w:w="26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1M SOFR+640</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13,018</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13,015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12,784</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LAV Gear Holdings, Inc. (Revolver) </w:t>
            </w:r>
            <w:r>
              <w:rPr>
                <w:rFonts w:ascii="Times New Roman" w:cs="Times New Roman" w:eastAsia="Times New Roman" w:hAnsi="Times New Roman"/>
                <w:sz w:val="12"/>
                <w:szCs w:val="12"/>
                <w:color w:val="auto"/>
                <w:vertAlign w:val="superscript"/>
              </w:rPr>
              <w:t>(7)</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10/31/2025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11.64%</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1M SOFR+640</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1,721</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1,721</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1,690</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Ledge Lounger, Inc.</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11/09/2026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0"/>
              </w:rPr>
              <w:t>12.25%</w:t>
            </w:r>
          </w:p>
        </w:tc>
        <w:tc>
          <w:tcPr>
            <w:tcW w:w="26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SOFR+765</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3,674</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3,661</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3,491</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Ledge Lounger, Inc. (Revolver)</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11/09/2026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12.25%</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SOFR+765</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263</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263</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250</w:t>
            </w:r>
          </w:p>
        </w:tc>
        <w:tc>
          <w:tcPr>
            <w:tcW w:w="0" w:type="dxa"/>
            <w:vAlign w:val="bottom"/>
          </w:tcPr>
          <w:p>
            <w:pPr>
              <w:spacing w:after="0"/>
              <w:rPr>
                <w:sz w:val="1"/>
                <w:szCs w:val="1"/>
                <w:color w:val="auto"/>
              </w:rPr>
            </w:pPr>
          </w:p>
        </w:tc>
      </w:tr>
    </w:tbl>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0"/>
        </w:trPr>
        <w:tc>
          <w:tcPr>
            <w:tcW w:w="2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ind w:left="320"/>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0"/>
        </w:trPr>
        <w:tc>
          <w:tcPr>
            <w:tcW w:w="2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Current</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1000" w:type="dxa"/>
            <w:vAlign w:val="bottom"/>
          </w:tcPr>
          <w:p>
            <w:pPr>
              <w:jc w:val="right"/>
              <w:ind w:right="492"/>
              <w:spacing w:after="0"/>
              <w:rPr>
                <w:sz w:val="20"/>
                <w:szCs w:val="20"/>
                <w:color w:val="auto"/>
              </w:rPr>
            </w:pPr>
            <w:r>
              <w:rPr>
                <w:rFonts w:ascii="Times New Roman" w:cs="Times New Roman" w:eastAsia="Times New Roman" w:hAnsi="Times New Roman"/>
                <w:sz w:val="10"/>
                <w:szCs w:val="10"/>
                <w:b w:val="1"/>
                <w:bCs w:val="1"/>
                <w:color w:val="auto"/>
              </w:rPr>
              <w:t>Par /</w:t>
            </w: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2"/>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60" w:type="dxa"/>
            <w:vAlign w:val="bottom"/>
          </w:tcPr>
          <w:p>
            <w:pPr>
              <w:jc w:val="center"/>
              <w:ind w:left="12"/>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1060" w:type="dxa"/>
            <w:vAlign w:val="bottom"/>
          </w:tcPr>
          <w:p>
            <w:pPr>
              <w:jc w:val="center"/>
              <w:ind w:right="11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8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Cost</w:t>
            </w:r>
          </w:p>
        </w:tc>
        <w:tc>
          <w:tcPr>
            <w:tcW w:w="920" w:type="dxa"/>
            <w:vAlign w:val="bottom"/>
          </w:tcPr>
          <w:p>
            <w:pPr>
              <w:jc w:val="right"/>
              <w:ind w:right="17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r>
      <w:tr>
        <w:trPr>
          <w:trHeight w:val="120"/>
        </w:trPr>
        <w:tc>
          <w:tcPr>
            <w:tcW w:w="280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940" w:type="dxa"/>
            <w:vAlign w:val="bottom"/>
            <w:shd w:val="clear" w:color="auto" w:fill="CCECFF"/>
          </w:tcPr>
          <w:p>
            <w:pPr>
              <w:spacing w:after="0"/>
              <w:rPr>
                <w:sz w:val="10"/>
                <w:szCs w:val="10"/>
                <w:color w:val="auto"/>
              </w:rPr>
            </w:pPr>
          </w:p>
        </w:tc>
        <w:tc>
          <w:tcPr>
            <w:tcW w:w="1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(PIK 1.0%)</w:t>
            </w:r>
          </w:p>
        </w:tc>
        <w:tc>
          <w:tcPr>
            <w:tcW w:w="10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r>
      <w:tr>
        <w:trPr>
          <w:trHeight w:val="120"/>
        </w:trPr>
        <w:tc>
          <w:tcPr>
            <w:tcW w:w="28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Ledge Lounger, Inc. (Revolver) </w:t>
            </w:r>
            <w:r>
              <w:rPr>
                <w:rFonts w:ascii="Times New Roman" w:cs="Times New Roman" w:eastAsia="Times New Roman" w:hAnsi="Times New Roman"/>
                <w:sz w:val="12"/>
                <w:szCs w:val="12"/>
                <w:color w:val="auto"/>
                <w:vertAlign w:val="superscript"/>
              </w:rPr>
              <w:t>(7), (9)</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11/09/2026</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1000" w:type="dxa"/>
            <w:vAlign w:val="bottom"/>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395</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(20 )</w:t>
            </w: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9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02/03/2026</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1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0"/>
              </w:rPr>
              <w:t>10.20%</w:t>
            </w: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1M SOFR+535</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22,309</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22,150</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22,309</w:t>
            </w:r>
          </w:p>
        </w:tc>
      </w:tr>
      <w:tr>
        <w:trPr>
          <w:trHeight w:val="120"/>
        </w:trPr>
        <w:tc>
          <w:tcPr>
            <w:tcW w:w="28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Lightspeed Buyer Inc. (Revolver) </w:t>
            </w:r>
            <w:r>
              <w:rPr>
                <w:rFonts w:ascii="Times New Roman" w:cs="Times New Roman" w:eastAsia="Times New Roman" w:hAnsi="Times New Roman"/>
                <w:sz w:val="12"/>
                <w:szCs w:val="12"/>
                <w:color w:val="auto"/>
                <w:vertAlign w:val="superscript"/>
              </w:rPr>
              <w:t>(7), (9)</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02/03/2026</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1000" w:type="dxa"/>
            <w:vAlign w:val="bottom"/>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2,499</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9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02/01/2030</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1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0"/>
              </w:rPr>
              <w:t>10.31%</w:t>
            </w: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SOFR+525</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2,809</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2,774</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2,809</w:t>
            </w:r>
          </w:p>
        </w:tc>
      </w:tr>
      <w:tr>
        <w:trPr>
          <w:trHeight w:val="120"/>
        </w:trPr>
        <w:tc>
          <w:tcPr>
            <w:tcW w:w="28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LJ Avalon Holdings, LLC - Unfunded Term Loan </w:t>
            </w:r>
            <w:r>
              <w:rPr>
                <w:rFonts w:ascii="Times New Roman" w:cs="Times New Roman" w:eastAsia="Times New Roman" w:hAnsi="Times New Roman"/>
                <w:sz w:val="12"/>
                <w:szCs w:val="12"/>
                <w:color w:val="auto"/>
                <w:vertAlign w:val="superscript"/>
              </w:rPr>
              <w:t>(9)</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02/01/2030</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1000" w:type="dxa"/>
            <w:vAlign w:val="bottom"/>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1,892</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w:t>
            </w:r>
          </w:p>
        </w:tc>
      </w:tr>
      <w:tr>
        <w:trPr>
          <w:trHeight w:val="120"/>
        </w:trPr>
        <w:tc>
          <w:tcPr>
            <w:tcW w:w="28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LJ Avalon Holdings, LLC (Revolver) </w:t>
            </w:r>
            <w:r>
              <w:rPr>
                <w:rFonts w:ascii="Times New Roman" w:cs="Times New Roman" w:eastAsia="Times New Roman" w:hAnsi="Times New Roman"/>
                <w:sz w:val="12"/>
                <w:szCs w:val="12"/>
                <w:color w:val="auto"/>
                <w:vertAlign w:val="superscript"/>
              </w:rPr>
              <w:t>(7), (9)</w:t>
            </w:r>
          </w:p>
        </w:tc>
        <w:tc>
          <w:tcPr>
            <w:tcW w:w="9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01/31/2030</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1000" w:type="dxa"/>
            <w:vAlign w:val="bottom"/>
            <w:shd w:val="clear" w:color="auto" w:fill="CCEC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1,130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05/31/2028</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11.10%</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SOFR+650</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45,055</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44,374</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44,379</w:t>
            </w:r>
          </w:p>
        </w:tc>
      </w:tr>
      <w:tr>
        <w:trPr>
          <w:trHeight w:val="120"/>
        </w:trPr>
        <w:tc>
          <w:tcPr>
            <w:tcW w:w="28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Loving Tan Intermediate II, Inc. - Unfunded Term Loan </w:t>
            </w:r>
            <w:r>
              <w:rPr>
                <w:rFonts w:ascii="Times New Roman" w:cs="Times New Roman" w:eastAsia="Times New Roman" w:hAnsi="Times New Roman"/>
                <w:sz w:val="12"/>
                <w:szCs w:val="12"/>
                <w:color w:val="auto"/>
                <w:vertAlign w:val="superscript"/>
              </w:rPr>
              <w:t>(9)</w:t>
            </w:r>
          </w:p>
        </w:tc>
        <w:tc>
          <w:tcPr>
            <w:tcW w:w="9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07/12/2025</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1000" w:type="dxa"/>
            <w:vAlign w:val="bottom"/>
            <w:shd w:val="clear" w:color="auto" w:fill="CCEC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23,464</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(117 )</w:t>
            </w: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 (Revolver)</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05/31/2028</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11.60%</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SOFR+700</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1,780</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1,780</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1,753</w:t>
            </w:r>
          </w:p>
        </w:tc>
      </w:tr>
      <w:tr>
        <w:trPr>
          <w:trHeight w:val="120"/>
        </w:trPr>
        <w:tc>
          <w:tcPr>
            <w:tcW w:w="28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Loving Tan Intermediate II, Inc. - Unfunded Revolver </w:t>
            </w:r>
            <w:r>
              <w:rPr>
                <w:rFonts w:ascii="Times New Roman" w:cs="Times New Roman" w:eastAsia="Times New Roman" w:hAnsi="Times New Roman"/>
                <w:sz w:val="12"/>
                <w:szCs w:val="12"/>
                <w:color w:val="auto"/>
                <w:vertAlign w:val="superscript"/>
              </w:rPr>
              <w:t>(9)</w:t>
            </w:r>
          </w:p>
        </w:tc>
        <w:tc>
          <w:tcPr>
            <w:tcW w:w="9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05/31/2028</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1000" w:type="dxa"/>
            <w:vAlign w:val="bottom"/>
            <w:shd w:val="clear" w:color="auto" w:fill="CCEC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3,559</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(53 )</w:t>
            </w: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LSF9 Atlantis Holdings, LLC</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06/30/2029</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Specialty Retail</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9.85%</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SOFR+525</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9,992</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9,992</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10,067</w:t>
            </w: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Lucky Bucks, LLC - First-out Term Loan</w:t>
            </w:r>
          </w:p>
        </w:tc>
        <w:tc>
          <w:tcPr>
            <w:tcW w:w="9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10/02/2028</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1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0"/>
              </w:rPr>
              <w:t>12.77%</w:t>
            </w: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SOFR+765</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259</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259</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259</w:t>
            </w: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Lucky Bucks, LLC - Last-out Term Loan</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10/02/2029</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12.77%</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SOFR+765</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518</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518</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518</w:t>
            </w: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9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04/01/2027</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0"/>
              </w:rPr>
              <w:t>10.20%</w:t>
            </w: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1M SOFR+550</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7,289</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7,007</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6,852</w:t>
            </w: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MBS Holdings, Inc. - Funded Revolver</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04/16/2027</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10.95%</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SOFR+585</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139</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139</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139</w:t>
            </w:r>
          </w:p>
        </w:tc>
      </w:tr>
      <w:tr>
        <w:trPr>
          <w:trHeight w:val="120"/>
        </w:trPr>
        <w:tc>
          <w:tcPr>
            <w:tcW w:w="28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MBS Holdings, Inc. (Revolver) </w:t>
            </w:r>
            <w:r>
              <w:rPr>
                <w:rFonts w:ascii="Times New Roman" w:cs="Times New Roman" w:eastAsia="Times New Roman" w:hAnsi="Times New Roman"/>
                <w:sz w:val="12"/>
                <w:szCs w:val="12"/>
                <w:color w:val="auto"/>
                <w:vertAlign w:val="superscript"/>
              </w:rPr>
              <w:t>(7), (9)</w:t>
            </w:r>
          </w:p>
        </w:tc>
        <w:tc>
          <w:tcPr>
            <w:tcW w:w="9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04/16/2027</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1000" w:type="dxa"/>
            <w:vAlign w:val="bottom"/>
            <w:shd w:val="clear" w:color="auto" w:fill="CCEC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1,019</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MDI Buyer, Inc.</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07/25/2028</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Commodity Chemicals</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11.25%</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SOFR+575</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2,021</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1,988</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2,002</w:t>
            </w: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MDI Buyer, Inc. (Revolver)</w:t>
            </w:r>
          </w:p>
        </w:tc>
        <w:tc>
          <w:tcPr>
            <w:tcW w:w="9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07/25/2028</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Commodity Chemicals</w:t>
            </w:r>
          </w:p>
        </w:tc>
        <w:tc>
          <w:tcPr>
            <w:tcW w:w="1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0"/>
              </w:rPr>
              <w:t>11.25%</w:t>
            </w: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SOFR+600</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531</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531</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526</w:t>
            </w:r>
          </w:p>
        </w:tc>
      </w:tr>
      <w:tr>
        <w:trPr>
          <w:trHeight w:val="120"/>
        </w:trPr>
        <w:tc>
          <w:tcPr>
            <w:tcW w:w="28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MDI Buyer, Inc. (Revolver) </w:t>
            </w:r>
            <w:r>
              <w:rPr>
                <w:rFonts w:ascii="Times New Roman" w:cs="Times New Roman" w:eastAsia="Times New Roman" w:hAnsi="Times New Roman"/>
                <w:sz w:val="12"/>
                <w:szCs w:val="12"/>
                <w:color w:val="auto"/>
                <w:vertAlign w:val="superscript"/>
              </w:rPr>
              <w:t>(7), (9)</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07/25/2028</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Commodity Chemicals</w:t>
            </w:r>
          </w:p>
        </w:tc>
        <w:tc>
          <w:tcPr>
            <w:tcW w:w="1000" w:type="dxa"/>
            <w:vAlign w:val="bottom"/>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242</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9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12/10/2027</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0"/>
              </w:rPr>
              <w:t>10.50%</w:t>
            </w: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SOFR+590</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1,958</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1,938</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1,909</w:t>
            </w:r>
          </w:p>
        </w:tc>
      </w:tr>
      <w:tr>
        <w:trPr>
          <w:trHeight w:val="120"/>
        </w:trPr>
        <w:tc>
          <w:tcPr>
            <w:tcW w:w="28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Meadowlark Acquirer, LLC (Revolver) </w:t>
            </w:r>
            <w:r>
              <w:rPr>
                <w:rFonts w:ascii="Times New Roman" w:cs="Times New Roman" w:eastAsia="Times New Roman" w:hAnsi="Times New Roman"/>
                <w:sz w:val="12"/>
                <w:szCs w:val="12"/>
                <w:color w:val="auto"/>
                <w:vertAlign w:val="superscript"/>
              </w:rPr>
              <w:t>(9)</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12/10/2027</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00" w:type="dxa"/>
            <w:vAlign w:val="bottom"/>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1,693</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(42 )</w:t>
            </w:r>
          </w:p>
        </w:tc>
      </w:tr>
      <w:tr>
        <w:trPr>
          <w:trHeight w:val="144"/>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Medina Health, LLC</w:t>
            </w:r>
          </w:p>
        </w:tc>
        <w:tc>
          <w:tcPr>
            <w:tcW w:w="9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10/20/2028</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0"/>
              </w:rPr>
              <w:t>10.85%</w:t>
            </w: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SOFR+625</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17,820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17,554</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17,820</w:t>
            </w:r>
          </w:p>
        </w:tc>
      </w:tr>
      <w:tr>
        <w:trPr>
          <w:trHeight w:val="120"/>
        </w:trPr>
        <w:tc>
          <w:tcPr>
            <w:tcW w:w="28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Medina Health, LLC (Revolver) </w:t>
            </w:r>
            <w:r>
              <w:rPr>
                <w:rFonts w:ascii="Times New Roman" w:cs="Times New Roman" w:eastAsia="Times New Roman" w:hAnsi="Times New Roman"/>
                <w:sz w:val="12"/>
                <w:szCs w:val="12"/>
                <w:color w:val="auto"/>
                <w:vertAlign w:val="superscript"/>
              </w:rPr>
              <w:t>(9)</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10/20/2028</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00" w:type="dxa"/>
            <w:vAlign w:val="bottom"/>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5,187</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280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100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Megawatt Acquisitionco, Inc.</w:t>
            </w:r>
          </w:p>
        </w:tc>
        <w:tc>
          <w:tcPr>
            <w:tcW w:w="9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03/01/2030</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1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0"/>
              </w:rPr>
              <w:t>10.11%</w:t>
            </w: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SOFR+525</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6,965</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6,869</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6,575</w:t>
            </w:r>
          </w:p>
        </w:tc>
      </w:tr>
      <w:tr>
        <w:trPr>
          <w:trHeight w:val="121"/>
        </w:trPr>
        <w:tc>
          <w:tcPr>
            <w:tcW w:w="2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Megawatt Acquisitionco, Inc. - Funded Revolver</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03/01/2030</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10.11%</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SOFR+525</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358</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358</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337</w:t>
            </w:r>
          </w:p>
        </w:tc>
      </w:tr>
      <w:tr>
        <w:trPr>
          <w:trHeight w:val="121"/>
        </w:trPr>
        <w:tc>
          <w:tcPr>
            <w:tcW w:w="280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100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r>
      <w:tr>
        <w:trPr>
          <w:trHeight w:val="120"/>
        </w:trPr>
        <w:tc>
          <w:tcPr>
            <w:tcW w:w="28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Megawatt Acquisitionco, Inc. - (Revolver) </w:t>
            </w:r>
            <w:r>
              <w:rPr>
                <w:rFonts w:ascii="Times New Roman" w:cs="Times New Roman" w:eastAsia="Times New Roman" w:hAnsi="Times New Roman"/>
                <w:sz w:val="12"/>
                <w:szCs w:val="12"/>
                <w:color w:val="auto"/>
                <w:vertAlign w:val="superscript"/>
              </w:rPr>
              <w:t>(9)</w:t>
            </w:r>
          </w:p>
        </w:tc>
        <w:tc>
          <w:tcPr>
            <w:tcW w:w="9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03/01/2030</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1000" w:type="dxa"/>
            <w:vAlign w:val="bottom"/>
            <w:shd w:val="clear" w:color="auto" w:fill="CCEC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2,893</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(162 )</w:t>
            </w: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Michael Baker International, LLC</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12/01/2028</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9.60%</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SOFR+475</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7,980</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7,941</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8,010</w:t>
            </w: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Mission Critical Electronics, Inc.</w:t>
            </w:r>
          </w:p>
        </w:tc>
        <w:tc>
          <w:tcPr>
            <w:tcW w:w="9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03/31/2025</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1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0"/>
              </w:rPr>
              <w:t>11.02%</w:t>
            </w: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SOFR+590</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3,101</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3,092</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3,101</w:t>
            </w:r>
          </w:p>
        </w:tc>
      </w:tr>
      <w:tr>
        <w:trPr>
          <w:trHeight w:val="120"/>
        </w:trPr>
        <w:tc>
          <w:tcPr>
            <w:tcW w:w="28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Mission Critical Electronics, Inc. (Revolver) </w:t>
            </w:r>
            <w:r>
              <w:rPr>
                <w:rFonts w:ascii="Times New Roman" w:cs="Times New Roman" w:eastAsia="Times New Roman" w:hAnsi="Times New Roman"/>
                <w:sz w:val="12"/>
                <w:szCs w:val="12"/>
                <w:color w:val="auto"/>
                <w:vertAlign w:val="superscript"/>
              </w:rPr>
              <w:t>(7), (9)</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03/31/2025</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1000" w:type="dxa"/>
            <w:vAlign w:val="bottom"/>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1,325</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MOREGroup Holdings, Inc.</w:t>
            </w:r>
          </w:p>
        </w:tc>
        <w:tc>
          <w:tcPr>
            <w:tcW w:w="9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01/16/2030</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1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0"/>
              </w:rPr>
              <w:t>10.35%</w:t>
            </w: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SOFR+575</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31,840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31,410</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31,362</w:t>
            </w:r>
          </w:p>
        </w:tc>
      </w:tr>
      <w:tr>
        <w:trPr>
          <w:trHeight w:val="120"/>
        </w:trPr>
        <w:tc>
          <w:tcPr>
            <w:tcW w:w="28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MOREGroup Holdings, Inc. - Unfunded Term Loan </w:t>
            </w:r>
            <w:r>
              <w:rPr>
                <w:rFonts w:ascii="Times New Roman" w:cs="Times New Roman" w:eastAsia="Times New Roman" w:hAnsi="Times New Roman"/>
                <w:sz w:val="12"/>
                <w:szCs w:val="12"/>
                <w:color w:val="auto"/>
                <w:vertAlign w:val="superscript"/>
              </w:rPr>
              <w:t>(9)</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01/16/2026</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1000" w:type="dxa"/>
            <w:vAlign w:val="bottom"/>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11,056</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(55 )</w:t>
            </w:r>
          </w:p>
        </w:tc>
      </w:tr>
      <w:tr>
        <w:trPr>
          <w:trHeight w:val="120"/>
        </w:trPr>
        <w:tc>
          <w:tcPr>
            <w:tcW w:w="28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MOREGroup Holdings, Inc. - (Revolver) </w:t>
            </w:r>
            <w:r>
              <w:rPr>
                <w:rFonts w:ascii="Times New Roman" w:cs="Times New Roman" w:eastAsia="Times New Roman" w:hAnsi="Times New Roman"/>
                <w:sz w:val="12"/>
                <w:szCs w:val="12"/>
                <w:color w:val="auto"/>
                <w:vertAlign w:val="superscript"/>
              </w:rPr>
              <w:t>(9)</w:t>
            </w:r>
          </w:p>
        </w:tc>
        <w:tc>
          <w:tcPr>
            <w:tcW w:w="9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01/16/2030</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1000" w:type="dxa"/>
            <w:vAlign w:val="bottom"/>
            <w:shd w:val="clear" w:color="auto" w:fill="CCEC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6,634</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(100 )</w:t>
            </w: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10/01/2027</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9.75%</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SOFR+515</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1,556</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1,527</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1,556</w:t>
            </w: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 - Term Loan B</w:t>
            </w:r>
          </w:p>
        </w:tc>
        <w:tc>
          <w:tcPr>
            <w:tcW w:w="9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10/01/2027</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9.75%</w:t>
            </w: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SOFR+515</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777</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777</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777</w:t>
            </w:r>
          </w:p>
        </w:tc>
      </w:tr>
      <w:tr>
        <w:trPr>
          <w:trHeight w:val="120"/>
        </w:trPr>
        <w:tc>
          <w:tcPr>
            <w:tcW w:w="28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Municipal Emergency Services, Inc. - Unfunded Term Loan </w:t>
            </w:r>
            <w:r>
              <w:rPr>
                <w:rFonts w:ascii="Times New Roman" w:cs="Times New Roman" w:eastAsia="Times New Roman" w:hAnsi="Times New Roman"/>
                <w:sz w:val="12"/>
                <w:szCs w:val="12"/>
                <w:color w:val="auto"/>
                <w:vertAlign w:val="superscript"/>
              </w:rPr>
              <w:t>(9)</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09/28/2027</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00" w:type="dxa"/>
            <w:vAlign w:val="bottom"/>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1,387</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w:t>
            </w:r>
          </w:p>
        </w:tc>
      </w:tr>
      <w:tr>
        <w:trPr>
          <w:trHeight w:val="120"/>
        </w:trPr>
        <w:tc>
          <w:tcPr>
            <w:tcW w:w="28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Municipal Emergency Services, Inc. - Unfunded Term Loan B </w:t>
            </w:r>
            <w:r>
              <w:rPr>
                <w:rFonts w:ascii="Times New Roman" w:cs="Times New Roman" w:eastAsia="Times New Roman" w:hAnsi="Times New Roman"/>
                <w:sz w:val="12"/>
                <w:szCs w:val="12"/>
                <w:color w:val="auto"/>
                <w:vertAlign w:val="superscript"/>
              </w:rPr>
              <w:t>(9)</w:t>
            </w:r>
          </w:p>
        </w:tc>
        <w:tc>
          <w:tcPr>
            <w:tcW w:w="9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12/16/2024</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00" w:type="dxa"/>
            <w:vAlign w:val="bottom"/>
            <w:shd w:val="clear" w:color="auto" w:fill="CCEC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486</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8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Municipal Emergency Services, Inc. (Revolver) </w:t>
            </w:r>
            <w:r>
              <w:rPr>
                <w:rFonts w:ascii="Times New Roman" w:cs="Times New Roman" w:eastAsia="Times New Roman" w:hAnsi="Times New Roman"/>
                <w:sz w:val="12"/>
                <w:szCs w:val="12"/>
                <w:color w:val="auto"/>
                <w:vertAlign w:val="superscript"/>
              </w:rPr>
              <w:t>(7), (9)</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10/01/2027</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00" w:type="dxa"/>
            <w:vAlign w:val="bottom"/>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947</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8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NBH Group LLC (Revolver) </w:t>
            </w:r>
            <w:r>
              <w:rPr>
                <w:rFonts w:ascii="Times New Roman" w:cs="Times New Roman" w:eastAsia="Times New Roman" w:hAnsi="Times New Roman"/>
                <w:sz w:val="12"/>
                <w:szCs w:val="12"/>
                <w:color w:val="auto"/>
                <w:vertAlign w:val="superscript"/>
              </w:rPr>
              <w:t>(7), (9)</w:t>
            </w:r>
          </w:p>
        </w:tc>
        <w:tc>
          <w:tcPr>
            <w:tcW w:w="9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08/19/2026</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1000" w:type="dxa"/>
            <w:vAlign w:val="bottom"/>
            <w:shd w:val="clear" w:color="auto" w:fill="CCEC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1,677</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(50 )</w:t>
            </w: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NFS - CFP Holdings LLC</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09/13/2030</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9.56%</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SOFR+475</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36,300</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36,029</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36,028</w:t>
            </w:r>
          </w:p>
        </w:tc>
      </w:tr>
      <w:tr>
        <w:trPr>
          <w:trHeight w:val="120"/>
        </w:trPr>
        <w:tc>
          <w:tcPr>
            <w:tcW w:w="28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NFS - CFP Holdings LLC - Unfunded Term Loan </w:t>
            </w:r>
            <w:r>
              <w:rPr>
                <w:rFonts w:ascii="Times New Roman" w:cs="Times New Roman" w:eastAsia="Times New Roman" w:hAnsi="Times New Roman"/>
                <w:sz w:val="12"/>
                <w:szCs w:val="12"/>
                <w:color w:val="auto"/>
                <w:vertAlign w:val="superscript"/>
              </w:rPr>
              <w:t>(9)</w:t>
            </w:r>
          </w:p>
        </w:tc>
        <w:tc>
          <w:tcPr>
            <w:tcW w:w="9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09/23/2026</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1000" w:type="dxa"/>
            <w:vAlign w:val="bottom"/>
            <w:shd w:val="clear" w:color="auto" w:fill="CCEC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13,370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8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NFS - CFP Holdings LLC - Unfunded Revolver </w:t>
            </w:r>
            <w:r>
              <w:rPr>
                <w:rFonts w:ascii="Times New Roman" w:cs="Times New Roman" w:eastAsia="Times New Roman" w:hAnsi="Times New Roman"/>
                <w:sz w:val="12"/>
                <w:szCs w:val="12"/>
                <w:color w:val="auto"/>
                <w:vertAlign w:val="superscript"/>
              </w:rPr>
              <w:t>(9)</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09/13/2030</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1000" w:type="dxa"/>
            <w:vAlign w:val="bottom"/>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5,014</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NORA Acquisition, LLC</w:t>
            </w:r>
          </w:p>
        </w:tc>
        <w:tc>
          <w:tcPr>
            <w:tcW w:w="9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08/31/2029</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0"/>
              </w:rPr>
              <w:t>10.95%</w:t>
            </w: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SOFR+635</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19,800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19,449</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19,800</w:t>
            </w:r>
          </w:p>
        </w:tc>
      </w:tr>
      <w:tr>
        <w:trPr>
          <w:trHeight w:val="120"/>
        </w:trPr>
        <w:tc>
          <w:tcPr>
            <w:tcW w:w="28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NORA Acquisition, LLC (Revolver) </w:t>
            </w:r>
            <w:r>
              <w:rPr>
                <w:rFonts w:ascii="Times New Roman" w:cs="Times New Roman" w:eastAsia="Times New Roman" w:hAnsi="Times New Roman"/>
                <w:sz w:val="12"/>
                <w:szCs w:val="12"/>
                <w:color w:val="auto"/>
                <w:vertAlign w:val="superscript"/>
              </w:rPr>
              <w:t>(7), (9)</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08/31/2029</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00" w:type="dxa"/>
            <w:vAlign w:val="bottom"/>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5,479</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Omnia Exterior Solutions, LLC</w:t>
            </w:r>
          </w:p>
        </w:tc>
        <w:tc>
          <w:tcPr>
            <w:tcW w:w="9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12/29/2029</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0"/>
              </w:rPr>
              <w:t>10.10%</w:t>
            </w: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SOFR+550</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28,744</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28,498</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28,313</w:t>
            </w:r>
          </w:p>
        </w:tc>
      </w:tr>
      <w:tr>
        <w:trPr>
          <w:trHeight w:val="120"/>
        </w:trPr>
        <w:tc>
          <w:tcPr>
            <w:tcW w:w="28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Omnia Exterior Solutions, LLC - Unfunded Term Loan </w:t>
            </w:r>
            <w:r>
              <w:rPr>
                <w:rFonts w:ascii="Times New Roman" w:cs="Times New Roman" w:eastAsia="Times New Roman" w:hAnsi="Times New Roman"/>
                <w:sz w:val="12"/>
                <w:szCs w:val="12"/>
                <w:color w:val="auto"/>
                <w:vertAlign w:val="superscript"/>
              </w:rPr>
              <w:t>(9)</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09/30/2026</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00" w:type="dxa"/>
            <w:vAlign w:val="bottom"/>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12,802</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(80 )</w:t>
            </w:r>
          </w:p>
        </w:tc>
      </w:tr>
      <w:tr>
        <w:trPr>
          <w:trHeight w:val="120"/>
        </w:trPr>
        <w:tc>
          <w:tcPr>
            <w:tcW w:w="28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Omnia Exterior Solutions, LLC - Unfunded Term Loan </w:t>
            </w:r>
            <w:r>
              <w:rPr>
                <w:rFonts w:ascii="Times New Roman" w:cs="Times New Roman" w:eastAsia="Times New Roman" w:hAnsi="Times New Roman"/>
                <w:sz w:val="12"/>
                <w:szCs w:val="12"/>
                <w:color w:val="auto"/>
                <w:vertAlign w:val="superscript"/>
              </w:rPr>
              <w:t>(9)</w:t>
            </w:r>
          </w:p>
        </w:tc>
        <w:tc>
          <w:tcPr>
            <w:tcW w:w="9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12/30/2024</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00" w:type="dxa"/>
            <w:vAlign w:val="bottom"/>
            <w:shd w:val="clear" w:color="auto" w:fill="CCEC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8,001</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(50 )</w:t>
            </w:r>
          </w:p>
        </w:tc>
      </w:tr>
      <w:tr>
        <w:trPr>
          <w:trHeight w:val="120"/>
        </w:trPr>
        <w:tc>
          <w:tcPr>
            <w:tcW w:w="28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Omnia Exterior Solutions, LLC (Revolver) </w:t>
            </w:r>
            <w:r>
              <w:rPr>
                <w:rFonts w:ascii="Times New Roman" w:cs="Times New Roman" w:eastAsia="Times New Roman" w:hAnsi="Times New Roman"/>
                <w:sz w:val="12"/>
                <w:szCs w:val="12"/>
                <w:color w:val="auto"/>
                <w:vertAlign w:val="superscript"/>
              </w:rPr>
              <w:t>(7), (9)</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12/29/2029</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00" w:type="dxa"/>
            <w:vAlign w:val="bottom"/>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4,200</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(63 )</w:t>
            </w: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9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05/07/2027</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1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0"/>
              </w:rPr>
              <w:t>11.21%</w:t>
            </w: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SOFR+636</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8,426</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8,333</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8,426</w:t>
            </w:r>
          </w:p>
        </w:tc>
      </w:tr>
      <w:tr>
        <w:trPr>
          <w:trHeight w:val="121"/>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ORL Acquisition, Inc.</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09/03/2027</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14.00%</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SOFR+940</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4,718</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4,666</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4,010</w:t>
            </w:r>
          </w:p>
        </w:tc>
      </w:tr>
      <w:tr>
        <w:trPr>
          <w:trHeight w:val="120"/>
        </w:trPr>
        <w:tc>
          <w:tcPr>
            <w:tcW w:w="2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(PIK 7.50%)</w:t>
            </w: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0"/>
        </w:trPr>
        <w:tc>
          <w:tcPr>
            <w:tcW w:w="28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ORL Acquisition, Inc. (Revolver) </w:t>
            </w:r>
            <w:r>
              <w:rPr>
                <w:rFonts w:ascii="Times New Roman" w:cs="Times New Roman" w:eastAsia="Times New Roman" w:hAnsi="Times New Roman"/>
                <w:sz w:val="12"/>
                <w:szCs w:val="12"/>
                <w:color w:val="auto"/>
                <w:vertAlign w:val="superscript"/>
              </w:rPr>
              <w:t>(7), (9)</w:t>
            </w:r>
          </w:p>
        </w:tc>
        <w:tc>
          <w:tcPr>
            <w:tcW w:w="9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09/03/2027</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1000" w:type="dxa"/>
            <w:vAlign w:val="bottom"/>
            <w:shd w:val="clear" w:color="auto" w:fill="CCEC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215</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(32 )</w:t>
            </w: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OSP Embedded Purchaser, LLC</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12/15/2029</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10.70%</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SOFR+610</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12,803</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12,598</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12,432</w:t>
            </w:r>
          </w:p>
        </w:tc>
      </w:tr>
      <w:tr>
        <w:trPr>
          <w:trHeight w:val="120"/>
        </w:trPr>
        <w:tc>
          <w:tcPr>
            <w:tcW w:w="28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OSP Embedded Purchaser, LLC (Revolver) </w:t>
            </w:r>
            <w:r>
              <w:rPr>
                <w:rFonts w:ascii="Times New Roman" w:cs="Times New Roman" w:eastAsia="Times New Roman" w:hAnsi="Times New Roman"/>
                <w:sz w:val="12"/>
                <w:szCs w:val="12"/>
                <w:color w:val="auto"/>
                <w:vertAlign w:val="superscript"/>
              </w:rPr>
              <w:t>(9)</w:t>
            </w:r>
          </w:p>
        </w:tc>
        <w:tc>
          <w:tcPr>
            <w:tcW w:w="9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12/15/2029</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shd w:val="clear" w:color="auto" w:fill="CCEC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2,932</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(85 )</w:t>
            </w: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Outcomes Group Holdings, Inc</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04/02/2031</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9.10%</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SOFR+425</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3,990</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3,970</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4,011</w:t>
            </w: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Output Services Group, Inc. - First-out Term Loan</w:t>
            </w:r>
          </w:p>
        </w:tc>
        <w:tc>
          <w:tcPr>
            <w:tcW w:w="9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11/30/2028</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0"/>
              </w:rPr>
              <w:t>13.75%</w:t>
            </w: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SOFR+843</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521</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521</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521</w:t>
            </w: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Output Services Group, Inc. - Last-out Term Loan</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05/30/2028</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12.00%</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SOFR+668</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1,058</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1,058</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1,058</w:t>
            </w: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9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02/04/2028</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0"/>
              </w:rPr>
              <w:t>10.20%</w:t>
            </w: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SOFR+535</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3,893</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3,812</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3,825</w:t>
            </w: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Ox Two, LLC</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05/18/2026</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11.12%</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SOFR+651</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22,540</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22,385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22,540</w:t>
            </w: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Ox Two, LLC (Revolver)</w:t>
            </w:r>
          </w:p>
        </w:tc>
        <w:tc>
          <w:tcPr>
            <w:tcW w:w="9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05/18/2026</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1000" w:type="dxa"/>
            <w:vAlign w:val="bottom"/>
            <w:shd w:val="clear" w:color="auto" w:fill="CCEC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3,387</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Pacific Purchaser, LLC</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09/30/2028</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11.51%</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SOFR+625</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4,963</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4,878</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4,953</w:t>
            </w:r>
          </w:p>
        </w:tc>
      </w:tr>
      <w:tr>
        <w:trPr>
          <w:trHeight w:val="120"/>
        </w:trPr>
        <w:tc>
          <w:tcPr>
            <w:tcW w:w="28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Pacific Purchaser, LLC - Unfunded Term Loan </w:t>
            </w:r>
            <w:r>
              <w:rPr>
                <w:rFonts w:ascii="Times New Roman" w:cs="Times New Roman" w:eastAsia="Times New Roman" w:hAnsi="Times New Roman"/>
                <w:sz w:val="12"/>
                <w:szCs w:val="12"/>
                <w:color w:val="auto"/>
                <w:vertAlign w:val="superscript"/>
              </w:rPr>
              <w:t>(9)</w:t>
            </w:r>
          </w:p>
        </w:tc>
        <w:tc>
          <w:tcPr>
            <w:tcW w:w="9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09/30/2028</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00" w:type="dxa"/>
            <w:vAlign w:val="bottom"/>
            <w:shd w:val="clear" w:color="auto" w:fill="CCEC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3,598</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w:t>
            </w:r>
          </w:p>
        </w:tc>
      </w:tr>
      <w:tr>
        <w:trPr>
          <w:trHeight w:val="120"/>
        </w:trPr>
        <w:tc>
          <w:tcPr>
            <w:tcW w:w="28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Pacific Purchaser, LLC - (Revolver) </w:t>
            </w:r>
            <w:r>
              <w:rPr>
                <w:rFonts w:ascii="Times New Roman" w:cs="Times New Roman" w:eastAsia="Times New Roman" w:hAnsi="Times New Roman"/>
                <w:sz w:val="12"/>
                <w:szCs w:val="12"/>
                <w:color w:val="auto"/>
                <w:vertAlign w:val="superscript"/>
              </w:rPr>
              <w:t>(9)</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09/30/2028</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00" w:type="dxa"/>
            <w:vAlign w:val="bottom"/>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1,799</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(4 )</w:t>
            </w: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PAR Excellence Holdings, Inc.</w:t>
            </w:r>
          </w:p>
        </w:tc>
        <w:tc>
          <w:tcPr>
            <w:tcW w:w="9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09/03/2030</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1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9.77%</w:t>
            </w: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SOFR+475</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17,500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17,327</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17,325</w:t>
            </w:r>
          </w:p>
        </w:tc>
      </w:tr>
      <w:tr>
        <w:trPr>
          <w:trHeight w:val="120"/>
        </w:trPr>
        <w:tc>
          <w:tcPr>
            <w:tcW w:w="28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PAR Excellence Holdings, Inc. - Unfunded Revolver </w:t>
            </w:r>
            <w:r>
              <w:rPr>
                <w:rFonts w:ascii="Times New Roman" w:cs="Times New Roman" w:eastAsia="Times New Roman" w:hAnsi="Times New Roman"/>
                <w:sz w:val="12"/>
                <w:szCs w:val="12"/>
                <w:color w:val="auto"/>
                <w:vertAlign w:val="superscript"/>
              </w:rPr>
              <w:t>(9)</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09/03/2030</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1000" w:type="dxa"/>
            <w:vAlign w:val="bottom"/>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4,692</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PCS Midco, Inc.</w:t>
            </w:r>
          </w:p>
        </w:tc>
        <w:tc>
          <w:tcPr>
            <w:tcW w:w="9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03/01/2030</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0"/>
              </w:rPr>
              <w:t>10.81%</w:t>
            </w: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SOFR+575</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7,434</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7,333</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7,434</w:t>
            </w:r>
          </w:p>
        </w:tc>
      </w:tr>
      <w:tr>
        <w:trPr>
          <w:trHeight w:val="120"/>
        </w:trPr>
        <w:tc>
          <w:tcPr>
            <w:tcW w:w="28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PCS Midco, Inc. - Unfunded Term Loan </w:t>
            </w:r>
            <w:r>
              <w:rPr>
                <w:rFonts w:ascii="Times New Roman" w:cs="Times New Roman" w:eastAsia="Times New Roman" w:hAnsi="Times New Roman"/>
                <w:sz w:val="12"/>
                <w:szCs w:val="12"/>
                <w:color w:val="auto"/>
                <w:vertAlign w:val="superscript"/>
              </w:rPr>
              <w:t>(9)</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03/01/2026</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00" w:type="dxa"/>
            <w:vAlign w:val="bottom"/>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3,974</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w:t>
            </w: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PCS Midco, Inc. - Revolver</w:t>
            </w:r>
          </w:p>
        </w:tc>
        <w:tc>
          <w:tcPr>
            <w:tcW w:w="9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03/01/2030</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0"/>
              </w:rPr>
              <w:t>10.81%</w:t>
            </w: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SOFR+575</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310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310</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310</w:t>
            </w:r>
          </w:p>
        </w:tc>
      </w:tr>
      <w:tr>
        <w:trPr>
          <w:trHeight w:val="120"/>
        </w:trPr>
        <w:tc>
          <w:tcPr>
            <w:tcW w:w="28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PCS Midco, Inc. - (Revolver) </w:t>
            </w:r>
            <w:r>
              <w:rPr>
                <w:rFonts w:ascii="Times New Roman" w:cs="Times New Roman" w:eastAsia="Times New Roman" w:hAnsi="Times New Roman"/>
                <w:sz w:val="12"/>
                <w:szCs w:val="12"/>
                <w:color w:val="auto"/>
                <w:vertAlign w:val="superscript"/>
              </w:rPr>
              <w:t>(9)</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03/01/2030</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00" w:type="dxa"/>
            <w:vAlign w:val="bottom"/>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1,461</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PH Beauty Holdings III, Inc.</w:t>
            </w:r>
          </w:p>
        </w:tc>
        <w:tc>
          <w:tcPr>
            <w:tcW w:w="9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09/28/2025</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0"/>
              </w:rPr>
              <w:t>10.17%</w:t>
            </w: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SOFR+543</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7,415</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7,401</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7,346</w:t>
            </w:r>
          </w:p>
        </w:tc>
      </w:tr>
      <w:tr>
        <w:trPr>
          <w:trHeight w:val="121"/>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11/09/2027</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Textiles, Apparel and Luxury Goods</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11.99%</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SOFR+725</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5,798</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5,735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4,638</w:t>
            </w:r>
          </w:p>
        </w:tc>
      </w:tr>
      <w:tr>
        <w:trPr>
          <w:trHeight w:val="120"/>
        </w:trPr>
        <w:tc>
          <w:tcPr>
            <w:tcW w:w="2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(PIK 3.50%)</w:t>
            </w: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0"/>
        </w:trPr>
        <w:tc>
          <w:tcPr>
            <w:tcW w:w="28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PL Acquisitionco, LLC - (Revolver) </w:t>
            </w:r>
            <w:r>
              <w:rPr>
                <w:rFonts w:ascii="Times New Roman" w:cs="Times New Roman" w:eastAsia="Times New Roman" w:hAnsi="Times New Roman"/>
                <w:sz w:val="12"/>
                <w:szCs w:val="12"/>
                <w:color w:val="auto"/>
                <w:vertAlign w:val="superscript"/>
              </w:rPr>
              <w:t>(9)</w:t>
            </w:r>
          </w:p>
        </w:tc>
        <w:tc>
          <w:tcPr>
            <w:tcW w:w="9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11/09/2027</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Textiles, Apparel and Luxury Goods</w:t>
            </w:r>
          </w:p>
        </w:tc>
        <w:tc>
          <w:tcPr>
            <w:tcW w:w="1000" w:type="dxa"/>
            <w:vAlign w:val="bottom"/>
            <w:shd w:val="clear" w:color="auto" w:fill="CCEC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2,290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(458 )</w:t>
            </w: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08/28/2030</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9.85%</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1M SOFR+525</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26,334</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26,140</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25,939</w:t>
            </w:r>
          </w:p>
        </w:tc>
      </w:tr>
      <w:tr>
        <w:trPr>
          <w:trHeight w:val="120"/>
        </w:trPr>
        <w:tc>
          <w:tcPr>
            <w:tcW w:w="28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PlayPower, Inc. - Unfunded Revolver </w:t>
            </w:r>
            <w:r>
              <w:rPr>
                <w:rFonts w:ascii="Times New Roman" w:cs="Times New Roman" w:eastAsia="Times New Roman" w:hAnsi="Times New Roman"/>
                <w:sz w:val="12"/>
                <w:szCs w:val="12"/>
                <w:color w:val="auto"/>
                <w:vertAlign w:val="superscript"/>
              </w:rPr>
              <w:t>(9)</w:t>
            </w:r>
          </w:p>
        </w:tc>
        <w:tc>
          <w:tcPr>
            <w:tcW w:w="9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08/28/2030</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1000" w:type="dxa"/>
            <w:vAlign w:val="bottom"/>
            <w:shd w:val="clear" w:color="auto" w:fill="CCEC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3,981</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(60 )</w:t>
            </w:r>
          </w:p>
        </w:tc>
      </w:tr>
      <w:tr>
        <w:trPr>
          <w:trHeight w:val="121"/>
        </w:trPr>
        <w:tc>
          <w:tcPr>
            <w:tcW w:w="2800" w:type="dxa"/>
            <w:vAlign w:val="bottom"/>
          </w:tcPr>
          <w:p>
            <w:pPr>
              <w:ind w:left="20"/>
              <w:spacing w:after="0" w:line="121" w:lineRule="exact"/>
              <w:rPr>
                <w:sz w:val="20"/>
                <w:szCs w:val="20"/>
                <w:color w:val="auto"/>
              </w:rPr>
            </w:pPr>
            <w:r>
              <w:rPr>
                <w:rFonts w:ascii="Times New Roman" w:cs="Times New Roman" w:eastAsia="Times New Roman" w:hAnsi="Times New Roman"/>
                <w:sz w:val="10"/>
                <w:szCs w:val="10"/>
                <w:color w:val="auto"/>
              </w:rPr>
              <w:t xml:space="preserve">Pragmatic Institute, LLC (Revolver), </w:t>
            </w:r>
            <w:r>
              <w:rPr>
                <w:rFonts w:ascii="Times New Roman" w:cs="Times New Roman" w:eastAsia="Times New Roman" w:hAnsi="Times New Roman"/>
                <w:sz w:val="12"/>
                <w:szCs w:val="12"/>
                <w:color w:val="auto"/>
                <w:vertAlign w:val="superscript"/>
              </w:rPr>
              <w:t>(5)</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07/06/2028</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0"/>
              </w:rPr>
              <w:t>12.82%</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SOFR+750</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1,641</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1,605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1,005</w:t>
            </w:r>
          </w:p>
        </w:tc>
      </w:tr>
      <w:tr>
        <w:trPr>
          <w:trHeight w:val="124"/>
        </w:trPr>
        <w:tc>
          <w:tcPr>
            <w:tcW w:w="2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(PIK 12.085%)</w:t>
            </w: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r>
    </w:tbl>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ind w:left="320"/>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b w:val="1"/>
                <w:bCs w:val="1"/>
                <w:color w:val="auto"/>
                <w:w w:val="91"/>
              </w:rPr>
              <w:t>Current</w:t>
            </w:r>
          </w:p>
        </w:tc>
        <w:tc>
          <w:tcPr>
            <w:tcW w:w="260" w:type="dxa"/>
            <w:vAlign w:val="bottom"/>
          </w:tcPr>
          <w:p>
            <w:pPr>
              <w:spacing w:after="0"/>
              <w:rPr>
                <w:sz w:val="10"/>
                <w:szCs w:val="10"/>
                <w:color w:val="auto"/>
              </w:rPr>
            </w:pP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1000" w:type="dxa"/>
            <w:vAlign w:val="bottom"/>
          </w:tcPr>
          <w:p>
            <w:pPr>
              <w:jc w:val="right"/>
              <w:ind w:right="492"/>
              <w:spacing w:after="0"/>
              <w:rPr>
                <w:sz w:val="20"/>
                <w:szCs w:val="20"/>
                <w:color w:val="auto"/>
              </w:rPr>
            </w:pPr>
            <w:r>
              <w:rPr>
                <w:rFonts w:ascii="Times New Roman" w:cs="Times New Roman" w:eastAsia="Times New Roman" w:hAnsi="Times New Roman"/>
                <w:sz w:val="10"/>
                <w:szCs w:val="10"/>
                <w:b w:val="1"/>
                <w:bCs w:val="1"/>
                <w:color w:val="auto"/>
              </w:rPr>
              <w:t>Par /</w:t>
            </w: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720" w:type="dxa"/>
            <w:vAlign w:val="bottom"/>
          </w:tcPr>
          <w:p>
            <w:pPr>
              <w:jc w:val="center"/>
              <w:ind w:left="192"/>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260" w:type="dxa"/>
            <w:vAlign w:val="bottom"/>
          </w:tcPr>
          <w:p>
            <w:pPr>
              <w:spacing w:after="0"/>
              <w:rPr>
                <w:sz w:val="10"/>
                <w:szCs w:val="10"/>
                <w:color w:val="auto"/>
              </w:rPr>
            </w:pPr>
          </w:p>
        </w:tc>
        <w:tc>
          <w:tcPr>
            <w:tcW w:w="1060" w:type="dxa"/>
            <w:vAlign w:val="bottom"/>
          </w:tcPr>
          <w:p>
            <w:pPr>
              <w:jc w:val="center"/>
              <w:ind w:right="11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8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Cost</w:t>
            </w:r>
          </w:p>
        </w:tc>
        <w:tc>
          <w:tcPr>
            <w:tcW w:w="920" w:type="dxa"/>
            <w:vAlign w:val="bottom"/>
          </w:tcPr>
          <w:p>
            <w:pPr>
              <w:jc w:val="right"/>
              <w:ind w:right="17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c>
          <w:tcPr>
            <w:tcW w:w="0" w:type="dxa"/>
            <w:vAlign w:val="bottom"/>
          </w:tcPr>
          <w:p>
            <w:pPr>
              <w:spacing w:after="0"/>
              <w:rPr>
                <w:sz w:val="1"/>
                <w:szCs w:val="1"/>
                <w:color w:val="auto"/>
              </w:rPr>
            </w:pPr>
          </w:p>
        </w:tc>
      </w:tr>
      <w:tr>
        <w:trPr>
          <w:trHeight w:val="121"/>
        </w:trPr>
        <w:tc>
          <w:tcPr>
            <w:tcW w:w="28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2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11/19/2026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10.95%</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SOFR+635</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6,579</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6,530</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6,546</w:t>
            </w:r>
          </w:p>
        </w:tc>
        <w:tc>
          <w:tcPr>
            <w:tcW w:w="0" w:type="dxa"/>
            <w:vAlign w:val="bottom"/>
          </w:tcPr>
          <w:p>
            <w:pPr>
              <w:spacing w:after="0"/>
              <w:rPr>
                <w:sz w:val="1"/>
                <w:szCs w:val="1"/>
                <w:color w:val="auto"/>
              </w:rPr>
            </w:pPr>
          </w:p>
        </w:tc>
      </w:tr>
      <w:tr>
        <w:trPr>
          <w:trHeight w:val="121"/>
        </w:trPr>
        <w:tc>
          <w:tcPr>
            <w:tcW w:w="2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 - Funded revolver</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11/19/2026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0"/>
              </w:rPr>
              <w:t>10.95%</w:t>
            </w:r>
          </w:p>
        </w:tc>
        <w:tc>
          <w:tcPr>
            <w:tcW w:w="26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SOFR+635</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335</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335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333</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Rancho Health MSO, Inc. - Unfunded Term Loan </w:t>
            </w:r>
            <w:r>
              <w:rPr>
                <w:rFonts w:ascii="Times New Roman" w:cs="Times New Roman" w:eastAsia="Times New Roman" w:hAnsi="Times New Roman"/>
                <w:sz w:val="12"/>
                <w:szCs w:val="12"/>
                <w:color w:val="auto"/>
                <w:vertAlign w:val="superscript"/>
              </w:rPr>
              <w:t>(9)</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06/30/2025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72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3,000</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Rancho Health MSO, Inc. (Revolver) </w:t>
            </w:r>
            <w:r>
              <w:rPr>
                <w:rFonts w:ascii="Times New Roman" w:cs="Times New Roman" w:eastAsia="Times New Roman" w:hAnsi="Times New Roman"/>
                <w:sz w:val="12"/>
                <w:szCs w:val="12"/>
                <w:color w:val="auto"/>
                <w:vertAlign w:val="superscript"/>
              </w:rPr>
              <w:t>(7)</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12/18/2025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10.93%</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SOFR+560</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210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210</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210</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Rancho Health MSO, Inc. (Revolver) </w:t>
            </w:r>
            <w:r>
              <w:rPr>
                <w:rFonts w:ascii="Times New Roman" w:cs="Times New Roman" w:eastAsia="Times New Roman" w:hAnsi="Times New Roman"/>
                <w:sz w:val="12"/>
                <w:szCs w:val="12"/>
                <w:color w:val="auto"/>
                <w:vertAlign w:val="superscript"/>
              </w:rPr>
              <w:t>(7), (9)</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12/18/2025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72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315</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01/29/2026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11.75%</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SOFR+715</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1,448</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1,439</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1,433</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Recteq, LLC (Revolver) </w:t>
            </w:r>
            <w:r>
              <w:rPr>
                <w:rFonts w:ascii="Times New Roman" w:cs="Times New Roman" w:eastAsia="Times New Roman" w:hAnsi="Times New Roman"/>
                <w:sz w:val="12"/>
                <w:szCs w:val="12"/>
                <w:color w:val="auto"/>
                <w:vertAlign w:val="superscript"/>
              </w:rPr>
              <w:t>(7), (9)</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01/29/2026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72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1,296</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Riverpoint Medical, LLC</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06/20/2025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2"/>
              </w:rPr>
              <w:t>9.85%</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SOFR+525</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9,829</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9,796</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9,841</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Riverpoint Medical, LLC (Revolver) </w:t>
            </w:r>
            <w:r>
              <w:rPr>
                <w:rFonts w:ascii="Times New Roman" w:cs="Times New Roman" w:eastAsia="Times New Roman" w:hAnsi="Times New Roman"/>
                <w:sz w:val="12"/>
                <w:szCs w:val="12"/>
                <w:color w:val="auto"/>
                <w:vertAlign w:val="superscript"/>
              </w:rPr>
              <w:t>(7)</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06/20/2025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0"/>
              </w:rPr>
              <w:t>10.10%</w:t>
            </w:r>
          </w:p>
        </w:tc>
        <w:tc>
          <w:tcPr>
            <w:tcW w:w="26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SOFR+535</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133</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133</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133</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Riverpoint Medical, LLC (Revolver) </w:t>
            </w:r>
            <w:r>
              <w:rPr>
                <w:rFonts w:ascii="Times New Roman" w:cs="Times New Roman" w:eastAsia="Times New Roman" w:hAnsi="Times New Roman"/>
                <w:sz w:val="12"/>
                <w:szCs w:val="12"/>
                <w:color w:val="auto"/>
                <w:vertAlign w:val="superscript"/>
              </w:rPr>
              <w:t>(7), (9)</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06/20/2025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72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776</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RRA Corporate, LLC</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08/15/2029</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2"/>
              </w:rPr>
              <w:t>9.60%</w:t>
            </w:r>
          </w:p>
        </w:tc>
        <w:tc>
          <w:tcPr>
            <w:tcW w:w="26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SOFR+500</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19,200</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19,008</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19,008</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RRA Corporate, LLC - Unfunded Term Loan 1 </w:t>
            </w:r>
            <w:r>
              <w:rPr>
                <w:rFonts w:ascii="Times New Roman" w:cs="Times New Roman" w:eastAsia="Times New Roman" w:hAnsi="Times New Roman"/>
                <w:sz w:val="12"/>
                <w:szCs w:val="12"/>
                <w:color w:val="auto"/>
                <w:vertAlign w:val="superscript"/>
              </w:rPr>
              <w:t>(9)</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02/15/2029</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2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11,506</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RRA Corporate, LLC - Unfunded Term Loan 2 </w:t>
            </w:r>
            <w:r>
              <w:rPr>
                <w:rFonts w:ascii="Times New Roman" w:cs="Times New Roman" w:eastAsia="Times New Roman" w:hAnsi="Times New Roman"/>
                <w:sz w:val="12"/>
                <w:szCs w:val="12"/>
                <w:color w:val="auto"/>
                <w:vertAlign w:val="superscript"/>
              </w:rPr>
              <w:t>(9)</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08/15/2026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2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21,719</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RRA Corporate, LLC - Funded Revolver</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08/15/2029</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2"/>
              </w:rPr>
              <w:t>9.60%</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SOFR+500</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1,410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1,409</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1,395</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RRA Corporate, LLC - Unfunded Revolver </w:t>
            </w:r>
            <w:r>
              <w:rPr>
                <w:rFonts w:ascii="Times New Roman" w:cs="Times New Roman" w:eastAsia="Times New Roman" w:hAnsi="Times New Roman"/>
                <w:sz w:val="12"/>
                <w:szCs w:val="12"/>
                <w:color w:val="auto"/>
                <w:vertAlign w:val="superscript"/>
              </w:rPr>
              <w:t>(9)</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08/15/2029</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2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5,306</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(53 )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RTIC Subsidiary Holdings, LLC</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05/03/2029</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10.35%</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SOFR+575</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41,995</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41,372</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41,155</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RTIC Subsidiary Holdings, LLC - Unfunded Revolver </w:t>
            </w:r>
            <w:r>
              <w:rPr>
                <w:rFonts w:ascii="Times New Roman" w:cs="Times New Roman" w:eastAsia="Times New Roman" w:hAnsi="Times New Roman"/>
                <w:sz w:val="12"/>
                <w:szCs w:val="12"/>
                <w:color w:val="auto"/>
                <w:vertAlign w:val="superscript"/>
              </w:rPr>
              <w:t>(9)</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05/03/2029</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72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9,417</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(188 )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06/15/2029</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10.35%</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SOFR+575</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1,140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1,124</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1,126</w:t>
            </w:r>
          </w:p>
        </w:tc>
        <w:tc>
          <w:tcPr>
            <w:tcW w:w="0" w:type="dxa"/>
            <w:vAlign w:val="bottom"/>
          </w:tcPr>
          <w:p>
            <w:pPr>
              <w:spacing w:after="0"/>
              <w:rPr>
                <w:sz w:val="1"/>
                <w:szCs w:val="1"/>
                <w:color w:val="auto"/>
              </w:rPr>
            </w:pPr>
          </w:p>
        </w:tc>
      </w:tr>
      <w:tr>
        <w:trPr>
          <w:trHeight w:val="121"/>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96"/>
              </w:rPr>
              <w:t>Rural Sourcing Holdings, Inc. (HPA SPQ Merger Sub, Inc.) - Unfunded</w:t>
            </w:r>
          </w:p>
        </w:tc>
        <w:tc>
          <w:tcPr>
            <w:tcW w:w="9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Term Loan </w:t>
            </w:r>
            <w:r>
              <w:rPr>
                <w:rFonts w:ascii="Times New Roman" w:cs="Times New Roman" w:eastAsia="Times New Roman" w:hAnsi="Times New Roman"/>
                <w:sz w:val="12"/>
                <w:szCs w:val="12"/>
                <w:color w:val="auto"/>
                <w:vertAlign w:val="superscript"/>
              </w:rPr>
              <w:t>(9)</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06/27/2026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2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1,146</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(9 )</w:t>
            </w:r>
          </w:p>
        </w:tc>
        <w:tc>
          <w:tcPr>
            <w:tcW w:w="0" w:type="dxa"/>
            <w:vAlign w:val="bottom"/>
          </w:tcPr>
          <w:p>
            <w:pPr>
              <w:spacing w:after="0"/>
              <w:rPr>
                <w:sz w:val="1"/>
                <w:szCs w:val="1"/>
                <w:color w:val="auto"/>
              </w:rPr>
            </w:pPr>
          </w:p>
        </w:tc>
      </w:tr>
      <w:tr>
        <w:trPr>
          <w:trHeight w:val="121"/>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940" w:type="dxa"/>
            <w:vAlign w:val="bottom"/>
            <w:shd w:val="clear" w:color="auto" w:fill="CCECFF"/>
          </w:tcPr>
          <w:p>
            <w:pPr>
              <w:spacing w:after="0"/>
              <w:rPr>
                <w:sz w:val="10"/>
                <w:szCs w:val="10"/>
                <w:color w:val="auto"/>
              </w:rPr>
            </w:pPr>
          </w:p>
        </w:tc>
        <w:tc>
          <w:tcPr>
            <w:tcW w:w="19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(Revolver) </w:t>
            </w:r>
            <w:r>
              <w:rPr>
                <w:rFonts w:ascii="Times New Roman" w:cs="Times New Roman" w:eastAsia="Times New Roman" w:hAnsi="Times New Roman"/>
                <w:sz w:val="12"/>
                <w:szCs w:val="12"/>
                <w:color w:val="auto"/>
                <w:vertAlign w:val="superscript"/>
              </w:rPr>
              <w:t>(7), (9)</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06/15/2029</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2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860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(11 )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Safe Haven Defense US LLC</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05/23/2029</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Building Products</w:t>
            </w: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2"/>
              </w:rPr>
              <w:t>9.85%</w:t>
            </w:r>
          </w:p>
        </w:tc>
        <w:tc>
          <w:tcPr>
            <w:tcW w:w="26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SOFR+525</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13,563</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13,363</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13,428</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Safe Haven Defense US LLC - Unfunded Revolver </w:t>
            </w:r>
            <w:r>
              <w:rPr>
                <w:rFonts w:ascii="Times New Roman" w:cs="Times New Roman" w:eastAsia="Times New Roman" w:hAnsi="Times New Roman"/>
                <w:sz w:val="12"/>
                <w:szCs w:val="12"/>
                <w:color w:val="auto"/>
                <w:vertAlign w:val="superscript"/>
              </w:rPr>
              <w:t>(9)</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05/23/2029</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Building Products</w:t>
            </w:r>
          </w:p>
        </w:tc>
        <w:tc>
          <w:tcPr>
            <w:tcW w:w="72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2,920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(29 )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01/03/2025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0"/>
              </w:rPr>
              <w:t>10.80%</w:t>
            </w:r>
          </w:p>
        </w:tc>
        <w:tc>
          <w:tcPr>
            <w:tcW w:w="26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SOFR+620</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2,527</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2,524</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2,527</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Sales Benchmark Index LLC (Revolver) </w:t>
            </w:r>
            <w:r>
              <w:rPr>
                <w:rFonts w:ascii="Times New Roman" w:cs="Times New Roman" w:eastAsia="Times New Roman" w:hAnsi="Times New Roman"/>
                <w:sz w:val="12"/>
                <w:szCs w:val="12"/>
                <w:color w:val="auto"/>
                <w:vertAlign w:val="superscript"/>
              </w:rPr>
              <w:t>(7), (9)</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01/03/2025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2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1,293</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2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12/20/2024</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0"/>
              </w:rPr>
              <w:t>11.45%</w:t>
            </w:r>
          </w:p>
        </w:tc>
        <w:tc>
          <w:tcPr>
            <w:tcW w:w="26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1M SOFR+760</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3,272</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3,266</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3,272</w:t>
            </w:r>
          </w:p>
        </w:tc>
        <w:tc>
          <w:tcPr>
            <w:tcW w:w="0" w:type="dxa"/>
            <w:vAlign w:val="bottom"/>
          </w:tcPr>
          <w:p>
            <w:pPr>
              <w:spacing w:after="0"/>
              <w:rPr>
                <w:sz w:val="1"/>
                <w:szCs w:val="1"/>
                <w:color w:val="auto"/>
              </w:rPr>
            </w:pPr>
          </w:p>
        </w:tc>
      </w:tr>
      <w:tr>
        <w:trPr>
          <w:trHeight w:val="120"/>
        </w:trPr>
        <w:tc>
          <w:tcPr>
            <w:tcW w:w="2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2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7"/>
              </w:rPr>
              <w:t>(PIK 1.00%)</w:t>
            </w: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2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Sargent &amp; Greenleaf Inc. (Revolver)</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12/20/2024</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11.45%</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1M SOFR+660</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1,078</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1,078</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1,078</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96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7"/>
              </w:rPr>
              <w:t>(PIK 1.00%)</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Sargent &amp; Greenleaf Inc. (Revolver) </w:t>
            </w:r>
            <w:r>
              <w:rPr>
                <w:rFonts w:ascii="Times New Roman" w:cs="Times New Roman" w:eastAsia="Times New Roman" w:hAnsi="Times New Roman"/>
                <w:sz w:val="12"/>
                <w:szCs w:val="12"/>
                <w:color w:val="auto"/>
                <w:vertAlign w:val="superscript"/>
              </w:rPr>
              <w:t>(9)</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12/20/2024</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2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9</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Schlesinger Global, Inc.</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07/14/2025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13.20%</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SOFR+835</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15,224</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15,191</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14,844</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96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7"/>
              </w:rPr>
              <w:t>(PIK 5.60%)</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Schlesinger Global, Inc. (Revolver)</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07/14/2025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0"/>
              </w:rPr>
              <w:t>13.20%</w:t>
            </w:r>
          </w:p>
        </w:tc>
        <w:tc>
          <w:tcPr>
            <w:tcW w:w="26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SOFR+835</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1,578</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1,578</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1,539</w:t>
            </w:r>
          </w:p>
        </w:tc>
        <w:tc>
          <w:tcPr>
            <w:tcW w:w="0" w:type="dxa"/>
            <w:vAlign w:val="bottom"/>
          </w:tcPr>
          <w:p>
            <w:pPr>
              <w:spacing w:after="0"/>
              <w:rPr>
                <w:sz w:val="1"/>
                <w:szCs w:val="1"/>
                <w:color w:val="auto"/>
              </w:rPr>
            </w:pPr>
          </w:p>
        </w:tc>
      </w:tr>
      <w:tr>
        <w:trPr>
          <w:trHeight w:val="120"/>
        </w:trPr>
        <w:tc>
          <w:tcPr>
            <w:tcW w:w="2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2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7"/>
              </w:rPr>
              <w:t>(PIK 5.60%)</w:t>
            </w: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Schlesinger Global, Inc. (Revolver) </w:t>
            </w:r>
            <w:r>
              <w:rPr>
                <w:rFonts w:ascii="Times New Roman" w:cs="Times New Roman" w:eastAsia="Times New Roman" w:hAnsi="Times New Roman"/>
                <w:sz w:val="12"/>
                <w:szCs w:val="12"/>
                <w:color w:val="auto"/>
                <w:vertAlign w:val="superscript"/>
              </w:rPr>
              <w:t>(7), (9)</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07/14/2025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2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401</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(10 )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06/13/2029</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0"/>
              </w:rPr>
              <w:t>10.75%</w:t>
            </w:r>
          </w:p>
        </w:tc>
        <w:tc>
          <w:tcPr>
            <w:tcW w:w="26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SOFR+615</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1,901</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1,879</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1,834</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12/18/2027</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11.50%</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SOFR+690</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20,708</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20,447</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20,501</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Sigma Defense Systems, LLC (Revolver) </w:t>
            </w:r>
            <w:r>
              <w:rPr>
                <w:rFonts w:ascii="Times New Roman" w:cs="Times New Roman" w:eastAsia="Times New Roman" w:hAnsi="Times New Roman"/>
                <w:sz w:val="12"/>
                <w:szCs w:val="12"/>
                <w:color w:val="auto"/>
                <w:vertAlign w:val="superscript"/>
              </w:rPr>
              <w:t>(7), (9)</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12/18/2027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72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3,311</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(33 )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Simplicity Financial Marketing Group Holdings Inc.</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12/02/2026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11.73%</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SOFR+640</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4,065</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4,054</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4,106</w:t>
            </w:r>
          </w:p>
        </w:tc>
        <w:tc>
          <w:tcPr>
            <w:tcW w:w="0" w:type="dxa"/>
            <w:vAlign w:val="bottom"/>
          </w:tcPr>
          <w:p>
            <w:pPr>
              <w:spacing w:after="0"/>
              <w:rPr>
                <w:sz w:val="1"/>
                <w:szCs w:val="1"/>
                <w:color w:val="auto"/>
              </w:rPr>
            </w:pPr>
          </w:p>
        </w:tc>
      </w:tr>
      <w:tr>
        <w:trPr>
          <w:trHeight w:val="121"/>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98"/>
              </w:rPr>
              <w:t>Simplicity Financial Marketing Group Holdings Inc. - Unfunded Term</w:t>
            </w:r>
          </w:p>
        </w:tc>
        <w:tc>
          <w:tcPr>
            <w:tcW w:w="9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Loan </w:t>
            </w:r>
            <w:r>
              <w:rPr>
                <w:rFonts w:ascii="Times New Roman" w:cs="Times New Roman" w:eastAsia="Times New Roman" w:hAnsi="Times New Roman"/>
                <w:sz w:val="12"/>
                <w:szCs w:val="12"/>
                <w:color w:val="auto"/>
                <w:vertAlign w:val="superscript"/>
              </w:rPr>
              <w:t>(9)</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02/09/2026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72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4,656</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05/17/2028</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2"/>
              </w:rPr>
              <w:t>9.46%</w:t>
            </w:r>
          </w:p>
        </w:tc>
        <w:tc>
          <w:tcPr>
            <w:tcW w:w="26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1M SOFR+461</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596</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584</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594</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Smartronix, LLC</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11/23/2028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10.35%</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1M SOFR+610</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13,521</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13,323</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13,521</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Smartronix, LLC - (Revolver) </w:t>
            </w:r>
            <w:r>
              <w:rPr>
                <w:rFonts w:ascii="Times New Roman" w:cs="Times New Roman" w:eastAsia="Times New Roman" w:hAnsi="Times New Roman"/>
                <w:sz w:val="12"/>
                <w:szCs w:val="12"/>
                <w:color w:val="auto"/>
                <w:vertAlign w:val="superscript"/>
              </w:rPr>
              <w:t>(9)</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11/23/2027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2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1,791</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Smile Brands Inc.</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10/12/2027</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10.20%</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1M SOFR+550</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2,422</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2,422</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2,143</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96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7"/>
              </w:rPr>
              <w:t>(PIK 1.50%)</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Smile Brands Inc. (Revolver)</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10/12/2027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0"/>
              </w:rPr>
              <w:t>10.20%</w:t>
            </w:r>
          </w:p>
        </w:tc>
        <w:tc>
          <w:tcPr>
            <w:tcW w:w="26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1M SOFR+550</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866</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866</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766</w:t>
            </w:r>
          </w:p>
        </w:tc>
        <w:tc>
          <w:tcPr>
            <w:tcW w:w="0" w:type="dxa"/>
            <w:vAlign w:val="bottom"/>
          </w:tcPr>
          <w:p>
            <w:pPr>
              <w:spacing w:after="0"/>
              <w:rPr>
                <w:sz w:val="1"/>
                <w:szCs w:val="1"/>
                <w:color w:val="auto"/>
              </w:rPr>
            </w:pPr>
          </w:p>
        </w:tc>
      </w:tr>
      <w:tr>
        <w:trPr>
          <w:trHeight w:val="120"/>
        </w:trPr>
        <w:tc>
          <w:tcPr>
            <w:tcW w:w="2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2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7"/>
              </w:rPr>
              <w:t>(PIK 1.50%)</w:t>
            </w: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Smile Brands Inc. (Revolver) </w:t>
            </w:r>
            <w:r>
              <w:rPr>
                <w:rFonts w:ascii="Times New Roman" w:cs="Times New Roman" w:eastAsia="Times New Roman" w:hAnsi="Times New Roman"/>
                <w:sz w:val="12"/>
                <w:szCs w:val="12"/>
                <w:color w:val="auto"/>
                <w:vertAlign w:val="superscript"/>
              </w:rPr>
              <w:t>(7), (9)</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10/12/2027</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72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678</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(78 )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Smile Brands Inc. LC (Revolver) </w:t>
            </w:r>
            <w:r>
              <w:rPr>
                <w:rFonts w:ascii="Times New Roman" w:cs="Times New Roman" w:eastAsia="Times New Roman" w:hAnsi="Times New Roman"/>
                <w:sz w:val="12"/>
                <w:szCs w:val="12"/>
                <w:color w:val="auto"/>
                <w:vertAlign w:val="superscript"/>
              </w:rPr>
              <w:t>(7), (9)</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10/12/2027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72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100</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07/17/2025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12.40%</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SOFR+715</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4,657</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4,637</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4,657</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Solutionreach, Inc. (Revolver) </w:t>
            </w:r>
            <w:r>
              <w:rPr>
                <w:rFonts w:ascii="Times New Roman" w:cs="Times New Roman" w:eastAsia="Times New Roman" w:hAnsi="Times New Roman"/>
                <w:sz w:val="12"/>
                <w:szCs w:val="12"/>
                <w:color w:val="auto"/>
                <w:vertAlign w:val="superscript"/>
              </w:rPr>
              <w:t>(7), (9)</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07/17/2025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72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833</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03/01/2028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10.78%</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SOFR+565</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2,253</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2,232</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2,253</w:t>
            </w:r>
          </w:p>
        </w:tc>
        <w:tc>
          <w:tcPr>
            <w:tcW w:w="0" w:type="dxa"/>
            <w:vAlign w:val="bottom"/>
          </w:tcPr>
          <w:p>
            <w:pPr>
              <w:spacing w:after="0"/>
              <w:rPr>
                <w:sz w:val="1"/>
                <w:szCs w:val="1"/>
                <w:color w:val="auto"/>
              </w:rPr>
            </w:pPr>
          </w:p>
        </w:tc>
      </w:tr>
      <w:tr>
        <w:trPr>
          <w:trHeight w:val="132"/>
        </w:trPr>
        <w:tc>
          <w:tcPr>
            <w:tcW w:w="2820" w:type="dxa"/>
            <w:vAlign w:val="bottom"/>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Spendmend Holdings LLC - Unfunded Term Loan </w:t>
            </w:r>
            <w:r>
              <w:rPr>
                <w:rFonts w:ascii="Times New Roman" w:cs="Times New Roman" w:eastAsia="Times New Roman" w:hAnsi="Times New Roman"/>
                <w:sz w:val="12"/>
                <w:szCs w:val="12"/>
                <w:color w:val="auto"/>
                <w:vertAlign w:val="superscript"/>
              </w:rPr>
              <w:t>(9)</w:t>
            </w:r>
          </w:p>
        </w:tc>
        <w:tc>
          <w:tcPr>
            <w:tcW w:w="940" w:type="dxa"/>
            <w:vAlign w:val="bottom"/>
            <w:vMerge w:val="restart"/>
          </w:tcPr>
          <w:p>
            <w:pPr>
              <w:jc w:val="center"/>
              <w:ind w:left="12"/>
              <w:spacing w:after="0"/>
              <w:rPr>
                <w:sz w:val="20"/>
                <w:szCs w:val="20"/>
                <w:color w:val="auto"/>
              </w:rPr>
            </w:pPr>
            <w:r>
              <w:rPr>
                <w:rFonts w:ascii="Times New Roman" w:cs="Times New Roman" w:eastAsia="Times New Roman" w:hAnsi="Times New Roman"/>
                <w:sz w:val="10"/>
                <w:szCs w:val="10"/>
                <w:color w:val="auto"/>
                <w:w w:val="96"/>
              </w:rPr>
              <w:t>03/03/2025</w:t>
            </w: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720" w:type="dxa"/>
            <w:vAlign w:val="bottom"/>
          </w:tcPr>
          <w:p>
            <w:pPr>
              <w:spacing w:after="0"/>
              <w:rPr>
                <w:sz w:val="11"/>
                <w:szCs w:val="11"/>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vMerge w:val="restart"/>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auto"/>
              </w:rPr>
              <w:t>1,493</w:t>
            </w:r>
          </w:p>
        </w:tc>
        <w:tc>
          <w:tcPr>
            <w:tcW w:w="880" w:type="dxa"/>
            <w:vAlign w:val="bottom"/>
            <w:vMerge w:val="restart"/>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11</w:t>
            </w:r>
          </w:p>
        </w:tc>
        <w:tc>
          <w:tcPr>
            <w:tcW w:w="0" w:type="dxa"/>
            <w:vAlign w:val="bottom"/>
          </w:tcPr>
          <w:p>
            <w:pPr>
              <w:spacing w:after="0"/>
              <w:rPr>
                <w:sz w:val="1"/>
                <w:szCs w:val="1"/>
                <w:color w:val="auto"/>
              </w:rPr>
            </w:pPr>
          </w:p>
        </w:tc>
      </w:tr>
      <w:tr>
        <w:trPr>
          <w:trHeight w:val="24"/>
        </w:trPr>
        <w:tc>
          <w:tcPr>
            <w:tcW w:w="282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96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Spendmend Holdings LLC (Revolver)</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03/01/2028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10.25%</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SOFR+565</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357</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357</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357</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Spendmend Holdings LLC (Revolver) </w:t>
            </w:r>
            <w:r>
              <w:rPr>
                <w:rFonts w:ascii="Times New Roman" w:cs="Times New Roman" w:eastAsia="Times New Roman" w:hAnsi="Times New Roman"/>
                <w:sz w:val="12"/>
                <w:szCs w:val="12"/>
                <w:color w:val="auto"/>
                <w:vertAlign w:val="superscript"/>
              </w:rPr>
              <w:t>(9)</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03/01/2028</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72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535</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11/24/2028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2"/>
              </w:rPr>
              <w:t>9.31%</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1M SOFR+425</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1,990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1,975</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1,851</w:t>
            </w:r>
          </w:p>
        </w:tc>
        <w:tc>
          <w:tcPr>
            <w:tcW w:w="0" w:type="dxa"/>
            <w:vAlign w:val="bottom"/>
          </w:tcPr>
          <w:p>
            <w:pPr>
              <w:spacing w:after="0"/>
              <w:rPr>
                <w:sz w:val="1"/>
                <w:szCs w:val="1"/>
                <w:color w:val="auto"/>
              </w:rPr>
            </w:pPr>
          </w:p>
        </w:tc>
      </w:tr>
      <w:tr>
        <w:trPr>
          <w:trHeight w:val="121"/>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w:t>
            </w:r>
          </w:p>
        </w:tc>
        <w:tc>
          <w:tcPr>
            <w:tcW w:w="9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Research, LLC)</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08/16/2027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0"/>
              </w:rPr>
              <w:t>10.26%</w:t>
            </w:r>
          </w:p>
        </w:tc>
        <w:tc>
          <w:tcPr>
            <w:tcW w:w="26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SOFR+500</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20,461</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20,238</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20,421</w:t>
            </w:r>
          </w:p>
        </w:tc>
        <w:tc>
          <w:tcPr>
            <w:tcW w:w="0" w:type="dxa"/>
            <w:vAlign w:val="bottom"/>
          </w:tcPr>
          <w:p>
            <w:pPr>
              <w:spacing w:after="0"/>
              <w:rPr>
                <w:sz w:val="1"/>
                <w:szCs w:val="1"/>
                <w:color w:val="auto"/>
              </w:rPr>
            </w:pPr>
          </w:p>
        </w:tc>
      </w:tr>
      <w:tr>
        <w:trPr>
          <w:trHeight w:val="121"/>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w:t>
            </w:r>
          </w:p>
        </w:tc>
        <w:tc>
          <w:tcPr>
            <w:tcW w:w="940" w:type="dxa"/>
            <w:vAlign w:val="bottom"/>
            <w:shd w:val="clear" w:color="auto" w:fill="CCECFF"/>
          </w:tcPr>
          <w:p>
            <w:pPr>
              <w:spacing w:after="0"/>
              <w:rPr>
                <w:sz w:val="10"/>
                <w:szCs w:val="10"/>
                <w:color w:val="auto"/>
              </w:rPr>
            </w:pPr>
          </w:p>
        </w:tc>
        <w:tc>
          <w:tcPr>
            <w:tcW w:w="19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Research, LLC) (Revolver) </w:t>
            </w:r>
            <w:r>
              <w:rPr>
                <w:rFonts w:ascii="Times New Roman" w:cs="Times New Roman" w:eastAsia="Times New Roman" w:hAnsi="Times New Roman"/>
                <w:sz w:val="12"/>
                <w:szCs w:val="12"/>
                <w:color w:val="auto"/>
                <w:vertAlign w:val="superscript"/>
              </w:rPr>
              <w:t>(9)</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08/16/2027</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2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12,537</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 Funded Revolver</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08/16/2027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2"/>
              </w:rPr>
              <w:t>9.59%</w:t>
            </w:r>
          </w:p>
        </w:tc>
        <w:tc>
          <w:tcPr>
            <w:tcW w:w="26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SOFR+515</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1,633</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1,633</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1,630</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System Planning and Analysis, Inc. - (Revolver) </w:t>
            </w:r>
            <w:r>
              <w:rPr>
                <w:rFonts w:ascii="Times New Roman" w:cs="Times New Roman" w:eastAsia="Times New Roman" w:hAnsi="Times New Roman"/>
                <w:sz w:val="12"/>
                <w:szCs w:val="12"/>
                <w:color w:val="auto"/>
                <w:vertAlign w:val="superscript"/>
              </w:rPr>
              <w:t>(9)</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08/16/2027</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2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6,732</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20"/>
        </w:trPr>
        <w:tc>
          <w:tcPr>
            <w:tcW w:w="2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S101 Holdings, Inc.</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12/29/2026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0"/>
              </w:rPr>
              <w:t>11.48%</w:t>
            </w:r>
          </w:p>
        </w:tc>
        <w:tc>
          <w:tcPr>
            <w:tcW w:w="26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SOFR+615</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12,439</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12,301</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12,315</w:t>
            </w:r>
          </w:p>
        </w:tc>
        <w:tc>
          <w:tcPr>
            <w:tcW w:w="0" w:type="dxa"/>
            <w:vAlign w:val="bottom"/>
          </w:tcPr>
          <w:p>
            <w:pPr>
              <w:spacing w:after="0"/>
              <w:rPr>
                <w:sz w:val="1"/>
                <w:szCs w:val="1"/>
                <w:color w:val="auto"/>
              </w:rPr>
            </w:pPr>
          </w:p>
        </w:tc>
      </w:tr>
      <w:tr>
        <w:trPr>
          <w:trHeight w:val="121"/>
        </w:trPr>
        <w:tc>
          <w:tcPr>
            <w:tcW w:w="28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2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S101 Holdings, Inc. - Unfunded Term Loan 2 </w:t>
            </w:r>
            <w:r>
              <w:rPr>
                <w:rFonts w:ascii="Times New Roman" w:cs="Times New Roman" w:eastAsia="Times New Roman" w:hAnsi="Times New Roman"/>
                <w:sz w:val="12"/>
                <w:szCs w:val="12"/>
                <w:color w:val="auto"/>
                <w:vertAlign w:val="superscript"/>
              </w:rPr>
              <w:t>(9)</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12/15/2024</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2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9,036</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TCG 3.0 Jogger Acquisitionco, Inc.</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01/26/2029</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0"/>
              </w:rPr>
              <w:t>11.83%</w:t>
            </w:r>
          </w:p>
        </w:tc>
        <w:tc>
          <w:tcPr>
            <w:tcW w:w="26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SOFR+650</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6,965</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6,857</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6,895</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TCG 3.0 Jogger Acquisitionco, Inc. - (Revolver) </w:t>
            </w:r>
            <w:r>
              <w:rPr>
                <w:rFonts w:ascii="Times New Roman" w:cs="Times New Roman" w:eastAsia="Times New Roman" w:hAnsi="Times New Roman"/>
                <w:sz w:val="12"/>
                <w:szCs w:val="12"/>
                <w:color w:val="auto"/>
                <w:vertAlign w:val="superscript"/>
              </w:rPr>
              <w:t>(9)</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01/26/2029</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72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2,426</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(24 )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12/20/2027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0"/>
              </w:rPr>
              <w:t>10.51%</w:t>
            </w:r>
          </w:p>
        </w:tc>
        <w:tc>
          <w:tcPr>
            <w:tcW w:w="26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SOFR+526</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15,412</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15,173</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15,217</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Teneo Holdings, LLC - Initial Term Loans</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03/13/2031</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2"/>
              </w:rPr>
              <w:t>9.60%</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SOFR+475</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6,965</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6,895</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6,987</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07/28/2026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0"/>
              </w:rPr>
              <w:t>11.25%</w:t>
            </w:r>
          </w:p>
        </w:tc>
        <w:tc>
          <w:tcPr>
            <w:tcW w:w="26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SOFR+665</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2,566</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2,538</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2,566</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The Bluebird Group LLC (Revolver) </w:t>
            </w:r>
            <w:r>
              <w:rPr>
                <w:rFonts w:ascii="Times New Roman" w:cs="Times New Roman" w:eastAsia="Times New Roman" w:hAnsi="Times New Roman"/>
                <w:sz w:val="12"/>
                <w:szCs w:val="12"/>
                <w:color w:val="auto"/>
                <w:vertAlign w:val="superscript"/>
              </w:rPr>
              <w:t>(7), (9)</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07/28/2026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2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862</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The Vertex Companies, LLC </w:t>
            </w:r>
            <w:r>
              <w:rPr>
                <w:rFonts w:ascii="Times New Roman" w:cs="Times New Roman" w:eastAsia="Times New Roman" w:hAnsi="Times New Roman"/>
                <w:sz w:val="12"/>
                <w:szCs w:val="12"/>
                <w:color w:val="auto"/>
                <w:vertAlign w:val="superscript"/>
              </w:rPr>
              <w:t>(7)</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08/30/2027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72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0"/>
              </w:rPr>
              <w:t>10.95%</w:t>
            </w:r>
          </w:p>
        </w:tc>
        <w:tc>
          <w:tcPr>
            <w:tcW w:w="26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1M SOFR+610</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3,377</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3,333</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3,356</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 (Revolver)</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08/30/2027</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10.95%</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1M SOFR+610</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376</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376</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376</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The Vertex Companies, LLC (Revolver) </w:t>
            </w:r>
            <w:r>
              <w:rPr>
                <w:rFonts w:ascii="Times New Roman" w:cs="Times New Roman" w:eastAsia="Times New Roman" w:hAnsi="Times New Roman"/>
                <w:sz w:val="12"/>
                <w:szCs w:val="12"/>
                <w:color w:val="auto"/>
                <w:vertAlign w:val="superscript"/>
              </w:rPr>
              <w:t>(7), (9)</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08/30/2027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72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535</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TPC US Parent, LLC</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11/24/2025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Food Products</w:t>
            </w:r>
          </w:p>
        </w:tc>
        <w:tc>
          <w:tcPr>
            <w:tcW w:w="72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10.98%</w:t>
            </w:r>
          </w:p>
        </w:tc>
        <w:tc>
          <w:tcPr>
            <w:tcW w:w="26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SOFR+565</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11,888</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11,808</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11,888</w:t>
            </w:r>
          </w:p>
        </w:tc>
        <w:tc>
          <w:tcPr>
            <w:tcW w:w="0" w:type="dxa"/>
            <w:vAlign w:val="bottom"/>
          </w:tcPr>
          <w:p>
            <w:pPr>
              <w:spacing w:after="0"/>
              <w:rPr>
                <w:sz w:val="1"/>
                <w:szCs w:val="1"/>
                <w:color w:val="auto"/>
              </w:rPr>
            </w:pPr>
          </w:p>
        </w:tc>
      </w:tr>
    </w:tbl>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0"/>
        </w:trPr>
        <w:tc>
          <w:tcPr>
            <w:tcW w:w="2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ind w:left="320"/>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0"/>
        </w:trPr>
        <w:tc>
          <w:tcPr>
            <w:tcW w:w="2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40" w:type="dxa"/>
            <w:vAlign w:val="bottom"/>
          </w:tcPr>
          <w:p>
            <w:pPr>
              <w:jc w:val="center"/>
              <w:ind w:left="132"/>
              <w:spacing w:after="0"/>
              <w:rPr>
                <w:sz w:val="20"/>
                <w:szCs w:val="20"/>
                <w:color w:val="auto"/>
              </w:rPr>
            </w:pPr>
            <w:r>
              <w:rPr>
                <w:rFonts w:ascii="Times New Roman" w:cs="Times New Roman" w:eastAsia="Times New Roman" w:hAnsi="Times New Roman"/>
                <w:sz w:val="10"/>
                <w:szCs w:val="10"/>
                <w:b w:val="1"/>
                <w:bCs w:val="1"/>
                <w:color w:val="auto"/>
                <w:w w:val="91"/>
              </w:rPr>
              <w:t>Current</w:t>
            </w:r>
          </w:p>
        </w:tc>
        <w:tc>
          <w:tcPr>
            <w:tcW w:w="240" w:type="dxa"/>
            <w:vAlign w:val="bottom"/>
          </w:tcPr>
          <w:p>
            <w:pPr>
              <w:spacing w:after="0"/>
              <w:rPr>
                <w:sz w:val="10"/>
                <w:szCs w:val="10"/>
                <w:color w:val="auto"/>
              </w:rPr>
            </w:pP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1000" w:type="dxa"/>
            <w:vAlign w:val="bottom"/>
          </w:tcPr>
          <w:p>
            <w:pPr>
              <w:jc w:val="right"/>
              <w:ind w:right="492"/>
              <w:spacing w:after="0"/>
              <w:rPr>
                <w:sz w:val="20"/>
                <w:szCs w:val="20"/>
                <w:color w:val="auto"/>
              </w:rPr>
            </w:pPr>
            <w:r>
              <w:rPr>
                <w:rFonts w:ascii="Times New Roman" w:cs="Times New Roman" w:eastAsia="Times New Roman" w:hAnsi="Times New Roman"/>
                <w:sz w:val="10"/>
                <w:szCs w:val="10"/>
                <w:b w:val="1"/>
                <w:bCs w:val="1"/>
                <w:color w:val="auto"/>
              </w:rPr>
              <w:t>Par /</w:t>
            </w: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2"/>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740" w:type="dxa"/>
            <w:vAlign w:val="bottom"/>
          </w:tcPr>
          <w:p>
            <w:pPr>
              <w:jc w:val="center"/>
              <w:ind w:left="172"/>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240" w:type="dxa"/>
            <w:vAlign w:val="bottom"/>
          </w:tcPr>
          <w:p>
            <w:pPr>
              <w:spacing w:after="0"/>
              <w:rPr>
                <w:sz w:val="10"/>
                <w:szCs w:val="10"/>
                <w:color w:val="auto"/>
              </w:rPr>
            </w:pPr>
          </w:p>
        </w:tc>
        <w:tc>
          <w:tcPr>
            <w:tcW w:w="1060" w:type="dxa"/>
            <w:vAlign w:val="bottom"/>
          </w:tcPr>
          <w:p>
            <w:pPr>
              <w:jc w:val="center"/>
              <w:ind w:right="11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8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Cost</w:t>
            </w:r>
          </w:p>
        </w:tc>
        <w:tc>
          <w:tcPr>
            <w:tcW w:w="920" w:type="dxa"/>
            <w:vAlign w:val="bottom"/>
          </w:tcPr>
          <w:p>
            <w:pPr>
              <w:jc w:val="right"/>
              <w:ind w:right="17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TPCN Midco, LLC</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06/26/2029</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4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0"/>
              </w:rPr>
              <w:t>10.35%</w:t>
            </w:r>
          </w:p>
        </w:tc>
        <w:tc>
          <w:tcPr>
            <w:tcW w:w="24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SOFR+575</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8,878</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8,749</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8,665</w:t>
            </w: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TPCN Midco, LLC - Unfunded Term Loan </w:t>
            </w:r>
            <w:r>
              <w:rPr>
                <w:rFonts w:ascii="Times New Roman" w:cs="Times New Roman" w:eastAsia="Times New Roman" w:hAnsi="Times New Roman"/>
                <w:sz w:val="12"/>
                <w:szCs w:val="12"/>
                <w:color w:val="auto"/>
                <w:vertAlign w:val="superscript"/>
              </w:rPr>
              <w:t>(9)</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06/26/2026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13,113</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(184 )</w:t>
            </w: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TPCN Midco, LLC - Unfunded Revolver </w:t>
            </w:r>
            <w:r>
              <w:rPr>
                <w:rFonts w:ascii="Times New Roman" w:cs="Times New Roman" w:eastAsia="Times New Roman" w:hAnsi="Times New Roman"/>
                <w:sz w:val="12"/>
                <w:szCs w:val="12"/>
                <w:color w:val="auto"/>
                <w:vertAlign w:val="superscript"/>
              </w:rPr>
              <w:t>(9)</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06/26/2029</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40" w:type="dxa"/>
            <w:vAlign w:val="bottom"/>
          </w:tcPr>
          <w:p>
            <w:pPr>
              <w:spacing w:after="0"/>
              <w:rPr>
                <w:sz w:val="10"/>
                <w:szCs w:val="1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2,580</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(62 )</w:t>
            </w: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TransGo, LLC</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12/29/2028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Components</w:t>
            </w:r>
          </w:p>
        </w:tc>
        <w:tc>
          <w:tcPr>
            <w:tcW w:w="74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0"/>
              </w:rPr>
              <w:t>10.60%</w:t>
            </w:r>
          </w:p>
        </w:tc>
        <w:tc>
          <w:tcPr>
            <w:tcW w:w="24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SOFR+575</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12,034</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11,869</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12,034</w:t>
            </w: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TransGo, LLC (Revolver) </w:t>
            </w:r>
            <w:r>
              <w:rPr>
                <w:rFonts w:ascii="Times New Roman" w:cs="Times New Roman" w:eastAsia="Times New Roman" w:hAnsi="Times New Roman"/>
                <w:sz w:val="12"/>
                <w:szCs w:val="12"/>
                <w:color w:val="auto"/>
                <w:vertAlign w:val="superscript"/>
              </w:rPr>
              <w:t>(7), (9)</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12/29/2028</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Components</w:t>
            </w:r>
          </w:p>
        </w:tc>
        <w:tc>
          <w:tcPr>
            <w:tcW w:w="740" w:type="dxa"/>
            <w:vAlign w:val="bottom"/>
          </w:tcPr>
          <w:p>
            <w:pPr>
              <w:spacing w:after="0"/>
              <w:rPr>
                <w:sz w:val="10"/>
                <w:szCs w:val="1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4,440</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06/16/2025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4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0"/>
              </w:rPr>
              <w:t>11.33%</w:t>
            </w:r>
          </w:p>
        </w:tc>
        <w:tc>
          <w:tcPr>
            <w:tcW w:w="24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1M SOFR+640</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2,508</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2,502</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2,508</w:t>
            </w: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TWS Acquisition Corporation (Revolver) </w:t>
            </w:r>
            <w:r>
              <w:rPr>
                <w:rFonts w:ascii="Times New Roman" w:cs="Times New Roman" w:eastAsia="Times New Roman" w:hAnsi="Times New Roman"/>
                <w:sz w:val="12"/>
                <w:szCs w:val="12"/>
                <w:color w:val="auto"/>
                <w:vertAlign w:val="superscript"/>
              </w:rPr>
              <w:t>(7), (9)</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06/16/2025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40" w:type="dxa"/>
            <w:vAlign w:val="bottom"/>
          </w:tcPr>
          <w:p>
            <w:pPr>
              <w:spacing w:after="0"/>
              <w:rPr>
                <w:sz w:val="10"/>
                <w:szCs w:val="1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2,628</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04/01/2028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74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0"/>
              </w:rPr>
              <w:t>10.23%</w:t>
            </w:r>
          </w:p>
        </w:tc>
        <w:tc>
          <w:tcPr>
            <w:tcW w:w="24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1M SOFR+490</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11,928</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11,826</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11,690</w:t>
            </w: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06/15/2027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74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0"/>
              </w:rPr>
              <w:t>10.52%</w:t>
            </w:r>
          </w:p>
        </w:tc>
        <w:tc>
          <w:tcPr>
            <w:tcW w:w="24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SOFR+550</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1,200</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1,194</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1,188</w:t>
            </w: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Urology Management Holdings, Inc. - Unfunded Term Loan </w:t>
            </w:r>
            <w:r>
              <w:rPr>
                <w:rFonts w:ascii="Times New Roman" w:cs="Times New Roman" w:eastAsia="Times New Roman" w:hAnsi="Times New Roman"/>
                <w:sz w:val="12"/>
                <w:szCs w:val="12"/>
                <w:color w:val="auto"/>
                <w:vertAlign w:val="superscript"/>
              </w:rPr>
              <w:t>(9)</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09/03/2026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7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4,800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(24 )</w:t>
            </w: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LLC - Term Loan </w:t>
            </w:r>
            <w:r>
              <w:rPr>
                <w:rFonts w:ascii="Times New Roman" w:cs="Times New Roman" w:eastAsia="Times New Roman" w:hAnsi="Times New Roman"/>
                <w:sz w:val="12"/>
                <w:szCs w:val="12"/>
                <w:color w:val="auto"/>
                <w:vertAlign w:val="superscript"/>
              </w:rPr>
              <w:t>(11)</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03/01/2029</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740" w:type="dxa"/>
            <w:vAlign w:val="bottom"/>
          </w:tcPr>
          <w:p>
            <w:pPr>
              <w:spacing w:after="0"/>
              <w:rPr>
                <w:sz w:val="10"/>
                <w:szCs w:val="1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5,441</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5,026</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490</w:t>
            </w: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 Unfunded Term Loan </w:t>
            </w:r>
            <w:r>
              <w:rPr>
                <w:rFonts w:ascii="Times New Roman" w:cs="Times New Roman" w:eastAsia="Times New Roman" w:hAnsi="Times New Roman"/>
                <w:sz w:val="12"/>
                <w:szCs w:val="12"/>
                <w:color w:val="auto"/>
                <w:vertAlign w:val="superscript"/>
              </w:rPr>
              <w:t>(11)</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03/01/2029</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7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83</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(76 )</w:t>
            </w:r>
          </w:p>
        </w:tc>
      </w:tr>
      <w:tr>
        <w:trPr>
          <w:trHeight w:val="132"/>
        </w:trPr>
        <w:tc>
          <w:tcPr>
            <w:tcW w:w="2820" w:type="dxa"/>
            <w:vAlign w:val="bottom"/>
          </w:tcPr>
          <w:p>
            <w:pPr>
              <w:ind w:left="20"/>
              <w:spacing w:after="0" w:line="132" w:lineRule="exact"/>
              <w:rPr>
                <w:sz w:val="20"/>
                <w:szCs w:val="20"/>
                <w:color w:val="auto"/>
              </w:rPr>
            </w:pPr>
            <w:r>
              <w:rPr>
                <w:rFonts w:ascii="Times New Roman" w:cs="Times New Roman" w:eastAsia="Times New Roman" w:hAnsi="Times New Roman"/>
                <w:sz w:val="10"/>
                <w:szCs w:val="10"/>
                <w:color w:val="auto"/>
                <w:w w:val="97"/>
              </w:rPr>
              <w:t xml:space="preserve">Walker Edison Furniture Company, LLC - Funded Junior Revolver </w:t>
            </w:r>
            <w:r>
              <w:rPr>
                <w:rFonts w:ascii="Times New Roman" w:cs="Times New Roman" w:eastAsia="Times New Roman" w:hAnsi="Times New Roman"/>
                <w:sz w:val="12"/>
                <w:szCs w:val="12"/>
                <w:color w:val="auto"/>
                <w:w w:val="97"/>
                <w:vertAlign w:val="superscript"/>
              </w:rPr>
              <w:t>(11)</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03/01/2029</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740" w:type="dxa"/>
            <w:vAlign w:val="bottom"/>
          </w:tcPr>
          <w:p>
            <w:pPr>
              <w:spacing w:after="0"/>
              <w:rPr>
                <w:sz w:val="11"/>
                <w:szCs w:val="1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1,667</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1,667</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1,667</w:t>
            </w:r>
          </w:p>
        </w:tc>
      </w:tr>
      <w:tr>
        <w:trPr>
          <w:trHeight w:val="121"/>
        </w:trPr>
        <w:tc>
          <w:tcPr>
            <w:tcW w:w="28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Watchtower Intermediate, LLC</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12/01/2029</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4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0"/>
              </w:rPr>
              <w:t>10.60%</w:t>
            </w:r>
          </w:p>
        </w:tc>
        <w:tc>
          <w:tcPr>
            <w:tcW w:w="24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SOFR+600</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9,055</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8,929</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8,964</w:t>
            </w:r>
          </w:p>
        </w:tc>
      </w:tr>
      <w:tr>
        <w:trPr>
          <w:trHeight w:val="121"/>
        </w:trPr>
        <w:tc>
          <w:tcPr>
            <w:tcW w:w="2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Watchtower Intermediate, LLC - Unfunded Term Loan </w:t>
            </w:r>
            <w:r>
              <w:rPr>
                <w:rFonts w:ascii="Times New Roman" w:cs="Times New Roman" w:eastAsia="Times New Roman" w:hAnsi="Times New Roman"/>
                <w:sz w:val="12"/>
                <w:szCs w:val="12"/>
                <w:color w:val="auto"/>
                <w:vertAlign w:val="superscript"/>
              </w:rPr>
              <w:t>(9)</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12/01/2025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40" w:type="dxa"/>
            <w:vAlign w:val="bottom"/>
          </w:tcPr>
          <w:p>
            <w:pPr>
              <w:spacing w:after="0"/>
              <w:rPr>
                <w:sz w:val="10"/>
                <w:szCs w:val="1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2,100</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w:t>
            </w:r>
          </w:p>
        </w:tc>
      </w:tr>
      <w:tr>
        <w:trPr>
          <w:trHeight w:val="121"/>
        </w:trPr>
        <w:tc>
          <w:tcPr>
            <w:tcW w:w="28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Watchtower Intermediate, LLC (Revolver) </w:t>
            </w:r>
            <w:r>
              <w:rPr>
                <w:rFonts w:ascii="Times New Roman" w:cs="Times New Roman" w:eastAsia="Times New Roman" w:hAnsi="Times New Roman"/>
                <w:sz w:val="12"/>
                <w:szCs w:val="12"/>
                <w:color w:val="auto"/>
                <w:vertAlign w:val="superscript"/>
              </w:rPr>
              <w:t>(9)</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12/01/2029</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6,300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(63 )</w:t>
            </w:r>
          </w:p>
        </w:tc>
      </w:tr>
      <w:tr>
        <w:trPr>
          <w:trHeight w:val="121"/>
        </w:trPr>
        <w:tc>
          <w:tcPr>
            <w:tcW w:w="2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02/26/2027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4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0"/>
              </w:rPr>
              <w:t>10.60%</w:t>
            </w:r>
          </w:p>
        </w:tc>
        <w:tc>
          <w:tcPr>
            <w:tcW w:w="24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SOFR+575</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12,592</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12,498</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12,592</w:t>
            </w:r>
          </w:p>
        </w:tc>
      </w:tr>
      <w:tr>
        <w:trPr>
          <w:trHeight w:val="121"/>
        </w:trPr>
        <w:tc>
          <w:tcPr>
            <w:tcW w:w="28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Wildcat Buyerco, Inc. - Unfunded Term Loan </w:t>
            </w:r>
            <w:r>
              <w:rPr>
                <w:rFonts w:ascii="Times New Roman" w:cs="Times New Roman" w:eastAsia="Times New Roman" w:hAnsi="Times New Roman"/>
                <w:sz w:val="12"/>
                <w:szCs w:val="12"/>
                <w:color w:val="auto"/>
                <w:vertAlign w:val="superscript"/>
              </w:rPr>
              <w:t>(9)</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02/26/2027</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3,281</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w:t>
            </w:r>
          </w:p>
        </w:tc>
      </w:tr>
      <w:tr>
        <w:trPr>
          <w:trHeight w:val="120"/>
        </w:trPr>
        <w:tc>
          <w:tcPr>
            <w:tcW w:w="2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Wildcat Buyerco, Inc. (Revolver) </w:t>
            </w:r>
            <w:r>
              <w:rPr>
                <w:rFonts w:ascii="Times New Roman" w:cs="Times New Roman" w:eastAsia="Times New Roman" w:hAnsi="Times New Roman"/>
                <w:sz w:val="12"/>
                <w:szCs w:val="12"/>
                <w:color w:val="auto"/>
                <w:vertAlign w:val="superscript"/>
              </w:rPr>
              <w:t>(7), (9)</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02/26/2027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40" w:type="dxa"/>
            <w:vAlign w:val="bottom"/>
          </w:tcPr>
          <w:p>
            <w:pPr>
              <w:spacing w:after="0"/>
              <w:rPr>
                <w:sz w:val="10"/>
                <w:szCs w:val="1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534</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Wrench Group, LLC</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10/30/2028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74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2"/>
              </w:rPr>
              <w:t>8.87%</w:t>
            </w:r>
          </w:p>
        </w:tc>
        <w:tc>
          <w:tcPr>
            <w:tcW w:w="24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SOFR+426</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3,483</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3,475</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3,480</w:t>
            </w:r>
          </w:p>
        </w:tc>
      </w:tr>
      <w:tr>
        <w:trPr>
          <w:trHeight w:val="121"/>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12/31/2024</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Automobiles</w:t>
            </w:r>
          </w:p>
        </w:tc>
        <w:tc>
          <w:tcPr>
            <w:tcW w:w="74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0"/>
              </w:rPr>
              <w:t>12.46%</w:t>
            </w:r>
          </w:p>
        </w:tc>
        <w:tc>
          <w:tcPr>
            <w:tcW w:w="24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SOFR+740</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13,252</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13,227</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12,656</w:t>
            </w:r>
          </w:p>
        </w:tc>
      </w:tr>
      <w:tr>
        <w:trPr>
          <w:trHeight w:val="120"/>
        </w:trPr>
        <w:tc>
          <w:tcPr>
            <w:tcW w:w="2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4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(PIK 1.5%)</w:t>
            </w: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940" w:type="dxa"/>
            <w:vAlign w:val="bottom"/>
            <w:shd w:val="clear" w:color="auto" w:fill="CCECFF"/>
          </w:tcPr>
          <w:p>
            <w:pPr>
              <w:spacing w:after="0"/>
              <w:rPr>
                <w:sz w:val="10"/>
                <w:szCs w:val="10"/>
                <w:color w:val="auto"/>
              </w:rPr>
            </w:pPr>
          </w:p>
        </w:tc>
        <w:tc>
          <w:tcPr>
            <w:tcW w:w="196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1,488,717</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1,472,064</w:t>
            </w: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Subordinate Debt - 0.3%</w:t>
            </w:r>
          </w:p>
        </w:tc>
        <w:tc>
          <w:tcPr>
            <w:tcW w:w="9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Beacon Behavioral Holdings LLC</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06/21/2030</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74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0"/>
              </w:rPr>
              <w:t>15.00%</w:t>
            </w:r>
          </w:p>
        </w:tc>
        <w:tc>
          <w:tcPr>
            <w:tcW w:w="240" w:type="dxa"/>
            <w:vAlign w:val="bottom"/>
            <w:shd w:val="clear" w:color="auto" w:fill="CCECFF"/>
          </w:tcPr>
          <w:p>
            <w:pPr>
              <w:spacing w:after="0"/>
              <w:rPr>
                <w:sz w:val="10"/>
                <w:szCs w:val="10"/>
                <w:color w:val="auto"/>
              </w:rPr>
            </w:pP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1,042</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1,027</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1,026</w:t>
            </w:r>
          </w:p>
        </w:tc>
      </w:tr>
      <w:tr>
        <w:trPr>
          <w:trHeight w:val="120"/>
        </w:trPr>
        <w:tc>
          <w:tcPr>
            <w:tcW w:w="28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960" w:type="dxa"/>
            <w:vAlign w:val="bottom"/>
            <w:shd w:val="clear" w:color="auto" w:fill="CCECFF"/>
          </w:tcPr>
          <w:p>
            <w:pPr>
              <w:spacing w:after="0"/>
              <w:rPr>
                <w:sz w:val="10"/>
                <w:szCs w:val="10"/>
                <w:color w:val="auto"/>
              </w:rPr>
            </w:pPr>
          </w:p>
        </w:tc>
        <w:tc>
          <w:tcPr>
            <w:tcW w:w="74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6"/>
              </w:rPr>
              <w:t>(PIK 15.00%)</w:t>
            </w:r>
          </w:p>
        </w:tc>
        <w:tc>
          <w:tcPr>
            <w:tcW w:w="24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ORL Holdco, Inc. - Convertible Notes</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03/08/2028</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74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0"/>
              </w:rPr>
              <w:t>18.00%</w:t>
            </w:r>
          </w:p>
        </w:tc>
        <w:tc>
          <w:tcPr>
            <w:tcW w:w="240" w:type="dxa"/>
            <w:vAlign w:val="bottom"/>
          </w:tcPr>
          <w:p>
            <w:pPr>
              <w:spacing w:after="0"/>
              <w:rPr>
                <w:sz w:val="10"/>
                <w:szCs w:val="10"/>
                <w:color w:val="auto"/>
              </w:rPr>
            </w:pP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13</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13</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w:t>
            </w: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ORL Holdco, Inc. - Unfunded Convertible Notes </w:t>
            </w:r>
            <w:r>
              <w:rPr>
                <w:rFonts w:ascii="Times New Roman" w:cs="Times New Roman" w:eastAsia="Times New Roman" w:hAnsi="Times New Roman"/>
                <w:sz w:val="12"/>
                <w:szCs w:val="12"/>
                <w:color w:val="auto"/>
                <w:vertAlign w:val="superscript"/>
              </w:rPr>
              <w:t>(9)</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03/08/2028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7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13</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(4 )</w:t>
            </w: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Schlesinger Global, LLC - Promissory Note</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01/08/2026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4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0"/>
              </w:rPr>
              <w:t>12.31%</w:t>
            </w:r>
          </w:p>
        </w:tc>
        <w:tc>
          <w:tcPr>
            <w:tcW w:w="24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SOFR+700</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66</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66</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w:t>
            </w: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StoicLane, Inc. - Convertible Notes</w:t>
            </w:r>
          </w:p>
        </w:tc>
        <w:tc>
          <w:tcPr>
            <w:tcW w:w="9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08/15/2027</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74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0"/>
              </w:rPr>
              <w:t>12.00%</w:t>
            </w:r>
          </w:p>
        </w:tc>
        <w:tc>
          <w:tcPr>
            <w:tcW w:w="240" w:type="dxa"/>
            <w:vAlign w:val="bottom"/>
            <w:shd w:val="clear" w:color="auto" w:fill="CCECFF"/>
          </w:tcPr>
          <w:p>
            <w:pPr>
              <w:spacing w:after="0"/>
              <w:rPr>
                <w:sz w:val="10"/>
                <w:szCs w:val="10"/>
                <w:color w:val="auto"/>
              </w:rPr>
            </w:pP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1,526</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1,526</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1,526</w:t>
            </w: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StoicLane, Inc. - Unfunded Convertible Notes </w:t>
            </w:r>
            <w:r>
              <w:rPr>
                <w:rFonts w:ascii="Times New Roman" w:cs="Times New Roman" w:eastAsia="Times New Roman" w:hAnsi="Times New Roman"/>
                <w:sz w:val="12"/>
                <w:szCs w:val="12"/>
                <w:color w:val="auto"/>
                <w:vertAlign w:val="superscript"/>
              </w:rPr>
              <w:t>(9)</w:t>
            </w: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08/15/2027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740" w:type="dxa"/>
            <w:vAlign w:val="bottom"/>
          </w:tcPr>
          <w:p>
            <w:pPr>
              <w:spacing w:after="0"/>
              <w:rPr>
                <w:sz w:val="10"/>
                <w:szCs w:val="1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1,526</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Subordinate Debt</w:t>
            </w:r>
          </w:p>
        </w:tc>
        <w:tc>
          <w:tcPr>
            <w:tcW w:w="940" w:type="dxa"/>
            <w:vAlign w:val="bottom"/>
            <w:shd w:val="clear" w:color="auto" w:fill="CCECFF"/>
          </w:tcPr>
          <w:p>
            <w:pPr>
              <w:spacing w:after="0"/>
              <w:rPr>
                <w:sz w:val="10"/>
                <w:szCs w:val="10"/>
                <w:color w:val="auto"/>
              </w:rPr>
            </w:pPr>
          </w:p>
        </w:tc>
        <w:tc>
          <w:tcPr>
            <w:tcW w:w="196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2,632</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2,693</w:t>
            </w: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Preferred Equity - 2.1% </w:t>
            </w:r>
            <w:r>
              <w:rPr>
                <w:rFonts w:ascii="Times New Roman" w:cs="Times New Roman" w:eastAsia="Times New Roman" w:hAnsi="Times New Roman"/>
                <w:sz w:val="12"/>
                <w:szCs w:val="12"/>
                <w:color w:val="auto"/>
                <w:vertAlign w:val="superscript"/>
              </w:rPr>
              <w:t>(6)</w:t>
            </w:r>
          </w:p>
        </w:tc>
        <w:tc>
          <w:tcPr>
            <w:tcW w:w="9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Accounting Platform Blocker, Inc -. Preferred Equity</w:t>
            </w:r>
          </w:p>
        </w:tc>
        <w:tc>
          <w:tcPr>
            <w:tcW w:w="94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1,075,900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1,076</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1,076</w:t>
            </w: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Holdings, Inc.</w:t>
            </w:r>
          </w:p>
        </w:tc>
        <w:tc>
          <w:tcPr>
            <w:tcW w:w="94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740" w:type="dxa"/>
            <w:vAlign w:val="bottom"/>
          </w:tcPr>
          <w:p>
            <w:pPr>
              <w:spacing w:after="0"/>
              <w:rPr>
                <w:sz w:val="10"/>
                <w:szCs w:val="1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6,720</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672</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852</w:t>
            </w: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AFC Acquisitions, Inc. (Preferred) </w:t>
            </w:r>
            <w:r>
              <w:rPr>
                <w:rFonts w:ascii="Times New Roman" w:cs="Times New Roman" w:eastAsia="Times New Roman" w:hAnsi="Times New Roman"/>
                <w:sz w:val="12"/>
                <w:szCs w:val="12"/>
                <w:color w:val="auto"/>
                <w:vertAlign w:val="superscript"/>
              </w:rPr>
              <w:t>(8)</w:t>
            </w:r>
          </w:p>
        </w:tc>
        <w:tc>
          <w:tcPr>
            <w:tcW w:w="94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7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854</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1,314</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1,400</w:t>
            </w: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Anteriad Holdings, LP (f/k/a MeritDirect Holdings, LP) </w:t>
            </w:r>
            <w:r>
              <w:rPr>
                <w:rFonts w:ascii="Times New Roman" w:cs="Times New Roman" w:eastAsia="Times New Roman" w:hAnsi="Times New Roman"/>
                <w:sz w:val="12"/>
                <w:szCs w:val="12"/>
                <w:color w:val="auto"/>
                <w:vertAlign w:val="superscript"/>
              </w:rPr>
              <w:t>(7), (8)</w:t>
            </w:r>
          </w:p>
        </w:tc>
        <w:tc>
          <w:tcPr>
            <w:tcW w:w="94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740" w:type="dxa"/>
            <w:vAlign w:val="bottom"/>
          </w:tcPr>
          <w:p>
            <w:pPr>
              <w:spacing w:after="0"/>
              <w:rPr>
                <w:sz w:val="10"/>
                <w:szCs w:val="1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2,018</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2,018</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2,298</w:t>
            </w: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Cartessa Aesthetics, LLC (Preferred) </w:t>
            </w:r>
            <w:r>
              <w:rPr>
                <w:rFonts w:ascii="Times New Roman" w:cs="Times New Roman" w:eastAsia="Times New Roman" w:hAnsi="Times New Roman"/>
                <w:sz w:val="12"/>
                <w:szCs w:val="12"/>
                <w:color w:val="auto"/>
                <w:vertAlign w:val="superscript"/>
              </w:rPr>
              <w:t>(8)</w:t>
            </w:r>
          </w:p>
        </w:tc>
        <w:tc>
          <w:tcPr>
            <w:tcW w:w="94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7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1,437,500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1,438</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2,560</w:t>
            </w: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C5MI Holdco, LLC. - Preferred Equity </w:t>
            </w:r>
            <w:r>
              <w:rPr>
                <w:rFonts w:ascii="Times New Roman" w:cs="Times New Roman" w:eastAsia="Times New Roman" w:hAnsi="Times New Roman"/>
                <w:sz w:val="12"/>
                <w:szCs w:val="12"/>
                <w:color w:val="auto"/>
                <w:vertAlign w:val="superscript"/>
              </w:rPr>
              <w:t>(8)</w:t>
            </w:r>
          </w:p>
        </w:tc>
        <w:tc>
          <w:tcPr>
            <w:tcW w:w="94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740" w:type="dxa"/>
            <w:vAlign w:val="bottom"/>
          </w:tcPr>
          <w:p>
            <w:pPr>
              <w:spacing w:after="0"/>
              <w:rPr>
                <w:sz w:val="10"/>
                <w:szCs w:val="1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228,900</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223</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233</w:t>
            </w: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EvAL Home Health Solutions, LLC - Preferred Equity </w:t>
            </w:r>
            <w:r>
              <w:rPr>
                <w:rFonts w:ascii="Times New Roman" w:cs="Times New Roman" w:eastAsia="Times New Roman" w:hAnsi="Times New Roman"/>
                <w:sz w:val="12"/>
                <w:szCs w:val="12"/>
                <w:color w:val="auto"/>
                <w:vertAlign w:val="superscript"/>
              </w:rPr>
              <w:t>(8)</w:t>
            </w:r>
          </w:p>
        </w:tc>
        <w:tc>
          <w:tcPr>
            <w:tcW w:w="94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876,386</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1,455</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1,631</w:t>
            </w: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Schlesinger Coinvest LLC (Preferred Equity)</w:t>
            </w:r>
          </w:p>
        </w:tc>
        <w:tc>
          <w:tcPr>
            <w:tcW w:w="94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40" w:type="dxa"/>
            <w:vAlign w:val="bottom"/>
          </w:tcPr>
          <w:p>
            <w:pPr>
              <w:spacing w:after="0"/>
              <w:rPr>
                <w:sz w:val="10"/>
                <w:szCs w:val="1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64</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64</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w:t>
            </w: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Hancock Claims Consultants Investors, LLC (Preferred Equity) </w:t>
            </w:r>
            <w:r>
              <w:rPr>
                <w:rFonts w:ascii="Times New Roman" w:cs="Times New Roman" w:eastAsia="Times New Roman" w:hAnsi="Times New Roman"/>
                <w:sz w:val="12"/>
                <w:szCs w:val="12"/>
                <w:color w:val="auto"/>
                <w:vertAlign w:val="superscript"/>
              </w:rPr>
              <w:t>(8)</w:t>
            </w:r>
          </w:p>
        </w:tc>
        <w:tc>
          <w:tcPr>
            <w:tcW w:w="94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7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116,588</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76</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w:t>
            </w: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Imagine Topco, LP</w:t>
            </w:r>
          </w:p>
        </w:tc>
        <w:tc>
          <w:tcPr>
            <w:tcW w:w="94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74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2"/>
              </w:rPr>
              <w:t>8.00%</w:t>
            </w:r>
          </w:p>
        </w:tc>
        <w:tc>
          <w:tcPr>
            <w:tcW w:w="240" w:type="dxa"/>
            <w:vAlign w:val="bottom"/>
          </w:tcPr>
          <w:p>
            <w:pPr>
              <w:spacing w:after="0"/>
              <w:rPr>
                <w:sz w:val="10"/>
                <w:szCs w:val="10"/>
                <w:color w:val="auto"/>
              </w:rPr>
            </w:pP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1,236,027</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1,236</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1,432</w:t>
            </w: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A Preferred Equity </w:t>
            </w:r>
            <w:r>
              <w:rPr>
                <w:rFonts w:ascii="Times New Roman" w:cs="Times New Roman" w:eastAsia="Times New Roman" w:hAnsi="Times New Roman"/>
                <w:sz w:val="12"/>
                <w:szCs w:val="12"/>
                <w:color w:val="auto"/>
                <w:vertAlign w:val="superscript"/>
              </w:rPr>
              <w:t>(8)</w:t>
            </w:r>
          </w:p>
        </w:tc>
        <w:tc>
          <w:tcPr>
            <w:tcW w:w="94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Automobiles</w:t>
            </w:r>
          </w:p>
        </w:tc>
        <w:tc>
          <w:tcPr>
            <w:tcW w:w="7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47</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47</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w:t>
            </w: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B Preferred Equity </w:t>
            </w:r>
            <w:r>
              <w:rPr>
                <w:rFonts w:ascii="Times New Roman" w:cs="Times New Roman" w:eastAsia="Times New Roman" w:hAnsi="Times New Roman"/>
                <w:sz w:val="12"/>
                <w:szCs w:val="12"/>
                <w:color w:val="auto"/>
                <w:vertAlign w:val="superscript"/>
              </w:rPr>
              <w:t>(8)</w:t>
            </w:r>
          </w:p>
        </w:tc>
        <w:tc>
          <w:tcPr>
            <w:tcW w:w="94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Automobiles</w:t>
            </w:r>
          </w:p>
        </w:tc>
        <w:tc>
          <w:tcPr>
            <w:tcW w:w="740" w:type="dxa"/>
            <w:vAlign w:val="bottom"/>
          </w:tcPr>
          <w:p>
            <w:pPr>
              <w:spacing w:after="0"/>
              <w:rPr>
                <w:sz w:val="10"/>
                <w:szCs w:val="1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31</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20</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28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Megawatt Acquisition Partners, LLC - Preferred A Equity</w:t>
            </w:r>
          </w:p>
        </w:tc>
        <w:tc>
          <w:tcPr>
            <w:tcW w:w="94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9,360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936</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842</w:t>
            </w: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NXOF Holdings, Inc. (Tyto Athene, LLC) </w:t>
            </w:r>
            <w:r>
              <w:rPr>
                <w:rFonts w:ascii="Times New Roman" w:cs="Times New Roman" w:eastAsia="Times New Roman" w:hAnsi="Times New Roman"/>
                <w:sz w:val="12"/>
                <w:szCs w:val="12"/>
                <w:color w:val="auto"/>
                <w:vertAlign w:val="superscript"/>
              </w:rPr>
              <w:t>(7)</w:t>
            </w:r>
          </w:p>
        </w:tc>
        <w:tc>
          <w:tcPr>
            <w:tcW w:w="94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740" w:type="dxa"/>
            <w:vAlign w:val="bottom"/>
          </w:tcPr>
          <w:p>
            <w:pPr>
              <w:spacing w:after="0"/>
              <w:rPr>
                <w:sz w:val="10"/>
                <w:szCs w:val="1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1,935</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1,935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2,621</w:t>
            </w: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ORL Holdco, Inc. </w:t>
            </w:r>
            <w:r>
              <w:rPr>
                <w:rFonts w:ascii="Times New Roman" w:cs="Times New Roman" w:eastAsia="Times New Roman" w:hAnsi="Times New Roman"/>
                <w:sz w:val="12"/>
                <w:szCs w:val="12"/>
                <w:color w:val="auto"/>
                <w:vertAlign w:val="superscript"/>
              </w:rPr>
              <w:t>(7)</w:t>
            </w:r>
          </w:p>
        </w:tc>
        <w:tc>
          <w:tcPr>
            <w:tcW w:w="94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7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1,327</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133</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w:t>
            </w: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 (Preferred Equity)</w:t>
            </w:r>
          </w:p>
        </w:tc>
        <w:tc>
          <w:tcPr>
            <w:tcW w:w="94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Textiles, Apparel and Luxury Goods</w:t>
            </w:r>
          </w:p>
        </w:tc>
        <w:tc>
          <w:tcPr>
            <w:tcW w:w="740" w:type="dxa"/>
            <w:vAlign w:val="bottom"/>
          </w:tcPr>
          <w:p>
            <w:pPr>
              <w:spacing w:after="0"/>
              <w:rPr>
                <w:sz w:val="10"/>
                <w:szCs w:val="1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61</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61</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RTIC Parent Holdings, LLC - Class A Preferred Equity </w:t>
            </w:r>
            <w:r>
              <w:rPr>
                <w:rFonts w:ascii="Times New Roman" w:cs="Times New Roman" w:eastAsia="Times New Roman" w:hAnsi="Times New Roman"/>
                <w:sz w:val="12"/>
                <w:szCs w:val="12"/>
                <w:color w:val="auto"/>
                <w:vertAlign w:val="superscript"/>
              </w:rPr>
              <w:t>(8)</w:t>
            </w:r>
          </w:p>
        </w:tc>
        <w:tc>
          <w:tcPr>
            <w:tcW w:w="94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7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9</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RTIC Parent Holdings, LLC - Class C Preferred Equity </w:t>
            </w:r>
            <w:r>
              <w:rPr>
                <w:rFonts w:ascii="Times New Roman" w:cs="Times New Roman" w:eastAsia="Times New Roman" w:hAnsi="Times New Roman"/>
                <w:sz w:val="12"/>
                <w:szCs w:val="12"/>
                <w:color w:val="auto"/>
                <w:vertAlign w:val="superscript"/>
              </w:rPr>
              <w:t>(8)</w:t>
            </w:r>
          </w:p>
        </w:tc>
        <w:tc>
          <w:tcPr>
            <w:tcW w:w="94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740" w:type="dxa"/>
            <w:vAlign w:val="bottom"/>
          </w:tcPr>
          <w:p>
            <w:pPr>
              <w:spacing w:after="0"/>
              <w:rPr>
                <w:sz w:val="10"/>
                <w:szCs w:val="1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18,450</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1,215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1,976</w:t>
            </w: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RTIC Parent Holdings, LLC - Class D Preferred Equity </w:t>
            </w:r>
            <w:r>
              <w:rPr>
                <w:rFonts w:ascii="Times New Roman" w:cs="Times New Roman" w:eastAsia="Times New Roman" w:hAnsi="Times New Roman"/>
                <w:sz w:val="12"/>
                <w:szCs w:val="12"/>
                <w:color w:val="auto"/>
                <w:vertAlign w:val="superscript"/>
              </w:rPr>
              <w:t>(8)</w:t>
            </w:r>
          </w:p>
        </w:tc>
        <w:tc>
          <w:tcPr>
            <w:tcW w:w="94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7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19,584</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196</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218</w:t>
            </w: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TPC Holding Company, LP </w:t>
            </w:r>
            <w:r>
              <w:rPr>
                <w:rFonts w:ascii="Times New Roman" w:cs="Times New Roman" w:eastAsia="Times New Roman" w:hAnsi="Times New Roman"/>
                <w:sz w:val="12"/>
                <w:szCs w:val="12"/>
                <w:color w:val="auto"/>
                <w:vertAlign w:val="superscript"/>
              </w:rPr>
              <w:t>(7)</w:t>
            </w:r>
          </w:p>
        </w:tc>
        <w:tc>
          <w:tcPr>
            <w:tcW w:w="94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Food Products</w:t>
            </w:r>
          </w:p>
        </w:tc>
        <w:tc>
          <w:tcPr>
            <w:tcW w:w="740" w:type="dxa"/>
            <w:vAlign w:val="bottom"/>
          </w:tcPr>
          <w:p>
            <w:pPr>
              <w:spacing w:after="0"/>
              <w:rPr>
                <w:sz w:val="10"/>
                <w:szCs w:val="1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409</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409</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662</w:t>
            </w: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TWD Parent Holdings, LLC (The Vertex Companies, LLC) </w:t>
            </w:r>
            <w:r>
              <w:rPr>
                <w:rFonts w:ascii="Times New Roman" w:cs="Times New Roman" w:eastAsia="Times New Roman" w:hAnsi="Times New Roman"/>
                <w:sz w:val="12"/>
                <w:szCs w:val="12"/>
                <w:color w:val="auto"/>
                <w:vertAlign w:val="superscript"/>
              </w:rPr>
              <w:t>(7)</w:t>
            </w:r>
          </w:p>
        </w:tc>
        <w:tc>
          <w:tcPr>
            <w:tcW w:w="94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7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37</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35</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w:t>
            </w: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UniTek Global Services, Inc. - Super Senior Preferred Equity </w:t>
            </w:r>
            <w:r>
              <w:rPr>
                <w:rFonts w:ascii="Times New Roman" w:cs="Times New Roman" w:eastAsia="Times New Roman" w:hAnsi="Times New Roman"/>
                <w:sz w:val="12"/>
                <w:szCs w:val="12"/>
                <w:color w:val="auto"/>
                <w:vertAlign w:val="superscript"/>
              </w:rPr>
              <w:t>(7)</w:t>
            </w:r>
          </w:p>
        </w:tc>
        <w:tc>
          <w:tcPr>
            <w:tcW w:w="94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74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0"/>
              </w:rPr>
              <w:t>20.00%</w:t>
            </w:r>
          </w:p>
        </w:tc>
        <w:tc>
          <w:tcPr>
            <w:tcW w:w="240" w:type="dxa"/>
            <w:vAlign w:val="bottom"/>
          </w:tcPr>
          <w:p>
            <w:pPr>
              <w:spacing w:after="0"/>
              <w:rPr>
                <w:sz w:val="10"/>
                <w:szCs w:val="10"/>
                <w:color w:val="auto"/>
              </w:rPr>
            </w:pP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343,861</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344</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209</w:t>
            </w: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UniTek Global Services, Inc. - Senior Preferred Equity </w:t>
            </w:r>
            <w:r>
              <w:rPr>
                <w:rFonts w:ascii="Times New Roman" w:cs="Times New Roman" w:eastAsia="Times New Roman" w:hAnsi="Times New Roman"/>
                <w:sz w:val="12"/>
                <w:szCs w:val="12"/>
                <w:color w:val="auto"/>
                <w:vertAlign w:val="superscript"/>
              </w:rPr>
              <w:t>(7)</w:t>
            </w:r>
          </w:p>
        </w:tc>
        <w:tc>
          <w:tcPr>
            <w:tcW w:w="94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74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0"/>
              </w:rPr>
              <w:t>19.00%</w:t>
            </w:r>
          </w:p>
        </w:tc>
        <w:tc>
          <w:tcPr>
            <w:tcW w:w="240" w:type="dxa"/>
            <w:vAlign w:val="bottom"/>
            <w:shd w:val="clear" w:color="auto" w:fill="CCECFF"/>
          </w:tcPr>
          <w:p>
            <w:pPr>
              <w:spacing w:after="0"/>
              <w:rPr>
                <w:sz w:val="10"/>
                <w:szCs w:val="10"/>
                <w:color w:val="auto"/>
              </w:rPr>
            </w:pP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448,851</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449</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UniTek Global Services, Inc. </w:t>
            </w:r>
            <w:r>
              <w:rPr>
                <w:rFonts w:ascii="Times New Roman" w:cs="Times New Roman" w:eastAsia="Times New Roman" w:hAnsi="Times New Roman"/>
                <w:sz w:val="12"/>
                <w:szCs w:val="12"/>
                <w:color w:val="auto"/>
                <w:vertAlign w:val="superscript"/>
              </w:rPr>
              <w:t>(7)</w:t>
            </w:r>
          </w:p>
        </w:tc>
        <w:tc>
          <w:tcPr>
            <w:tcW w:w="94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74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0"/>
              </w:rPr>
              <w:t>13.50%</w:t>
            </w:r>
          </w:p>
        </w:tc>
        <w:tc>
          <w:tcPr>
            <w:tcW w:w="240" w:type="dxa"/>
            <w:vAlign w:val="bottom"/>
          </w:tcPr>
          <w:p>
            <w:pPr>
              <w:spacing w:after="0"/>
              <w:rPr>
                <w:sz w:val="10"/>
                <w:szCs w:val="10"/>
                <w:color w:val="auto"/>
              </w:rPr>
            </w:pP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1,047,317</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670</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Preferred Equity</w:t>
            </w:r>
          </w:p>
        </w:tc>
        <w:tc>
          <w:tcPr>
            <w:tcW w:w="940" w:type="dxa"/>
            <w:vAlign w:val="bottom"/>
            <w:shd w:val="clear" w:color="auto" w:fill="CCECFF"/>
          </w:tcPr>
          <w:p>
            <w:pPr>
              <w:spacing w:after="0"/>
              <w:rPr>
                <w:sz w:val="10"/>
                <w:szCs w:val="10"/>
                <w:color w:val="auto"/>
              </w:rPr>
            </w:pPr>
          </w:p>
        </w:tc>
        <w:tc>
          <w:tcPr>
            <w:tcW w:w="196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16,031</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18,305</w:t>
            </w: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Common Equity/Warrants - 15.9% </w:t>
            </w:r>
            <w:r>
              <w:rPr>
                <w:rFonts w:ascii="Times New Roman" w:cs="Times New Roman" w:eastAsia="Times New Roman" w:hAnsi="Times New Roman"/>
                <w:sz w:val="12"/>
                <w:szCs w:val="12"/>
                <w:color w:val="auto"/>
                <w:vertAlign w:val="superscript"/>
              </w:rPr>
              <w:t>(6)</w:t>
            </w:r>
          </w:p>
        </w:tc>
        <w:tc>
          <w:tcPr>
            <w:tcW w:w="9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A1 Garage Equity, LLC </w:t>
            </w:r>
            <w:r>
              <w:rPr>
                <w:rFonts w:ascii="Times New Roman" w:cs="Times New Roman" w:eastAsia="Times New Roman" w:hAnsi="Times New Roman"/>
                <w:sz w:val="12"/>
                <w:szCs w:val="12"/>
                <w:color w:val="auto"/>
                <w:vertAlign w:val="superscript"/>
              </w:rPr>
              <w:t>(8)</w:t>
            </w:r>
          </w:p>
        </w:tc>
        <w:tc>
          <w:tcPr>
            <w:tcW w:w="94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7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647,943</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648</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818</w:t>
            </w: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Big Top Holdings, L.P. - Common Equity</w:t>
            </w:r>
          </w:p>
        </w:tc>
        <w:tc>
          <w:tcPr>
            <w:tcW w:w="94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740" w:type="dxa"/>
            <w:vAlign w:val="bottom"/>
          </w:tcPr>
          <w:p>
            <w:pPr>
              <w:spacing w:after="0"/>
              <w:rPr>
                <w:sz w:val="10"/>
                <w:szCs w:val="1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3,000,500</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3,001</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3,614</w:t>
            </w: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Ad.net Holdings, Inc. </w:t>
            </w:r>
            <w:r>
              <w:rPr>
                <w:rFonts w:ascii="Times New Roman" w:cs="Times New Roman" w:eastAsia="Times New Roman" w:hAnsi="Times New Roman"/>
                <w:sz w:val="12"/>
                <w:szCs w:val="12"/>
                <w:color w:val="auto"/>
                <w:vertAlign w:val="superscript"/>
              </w:rPr>
              <w:t>(7)</w:t>
            </w:r>
          </w:p>
        </w:tc>
        <w:tc>
          <w:tcPr>
            <w:tcW w:w="94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7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7,467</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75</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w:t>
            </w: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Aechelon InvestCo, LP - Common Equity</w:t>
            </w:r>
          </w:p>
        </w:tc>
        <w:tc>
          <w:tcPr>
            <w:tcW w:w="94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40" w:type="dxa"/>
            <w:vAlign w:val="bottom"/>
          </w:tcPr>
          <w:p>
            <w:pPr>
              <w:spacing w:after="0"/>
              <w:rPr>
                <w:sz w:val="10"/>
                <w:szCs w:val="1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31,675</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3,168</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3,168</w:t>
            </w:r>
          </w:p>
        </w:tc>
      </w:tr>
      <w:tr>
        <w:trPr>
          <w:trHeight w:val="136"/>
        </w:trPr>
        <w:tc>
          <w:tcPr>
            <w:tcW w:w="2820" w:type="dxa"/>
            <w:vAlign w:val="bottom"/>
            <w:tcBorders>
              <w:bottom w:val="single" w:sz="8" w:color="CCECFF"/>
            </w:tcBorders>
            <w:shd w:val="clear" w:color="auto" w:fill="CCECFF"/>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Aechelon InvestCo, LP - Unfunded </w:t>
            </w:r>
            <w:r>
              <w:rPr>
                <w:rFonts w:ascii="Times New Roman" w:cs="Times New Roman" w:eastAsia="Times New Roman" w:hAnsi="Times New Roman"/>
                <w:sz w:val="12"/>
                <w:szCs w:val="12"/>
                <w:color w:val="auto"/>
                <w:vertAlign w:val="superscript"/>
              </w:rPr>
              <w:t>(9)</w:t>
            </w:r>
          </w:p>
        </w:tc>
        <w:tc>
          <w:tcPr>
            <w:tcW w:w="940" w:type="dxa"/>
            <w:vAlign w:val="bottom"/>
            <w:tcBorders>
              <w:bottom w:val="single" w:sz="8" w:color="CCECFF"/>
            </w:tcBorders>
            <w:shd w:val="clear" w:color="auto" w:fill="CCECFF"/>
          </w:tcPr>
          <w:p>
            <w:pPr>
              <w:spacing w:after="0"/>
              <w:rPr>
                <w:sz w:val="11"/>
                <w:szCs w:val="11"/>
                <w:color w:val="auto"/>
              </w:rPr>
            </w:pPr>
          </w:p>
        </w:tc>
        <w:tc>
          <w:tcPr>
            <w:tcW w:w="196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4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Borders>
              <w:bottom w:val="single" w:sz="8" w:color="CCECFF"/>
            </w:tcBorders>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Borders>
              <w:bottom w:val="single" w:sz="8" w:color="CCECFF"/>
            </w:tcBorders>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31,675</w:t>
            </w:r>
          </w:p>
        </w:tc>
        <w:tc>
          <w:tcPr>
            <w:tcW w:w="880" w:type="dxa"/>
            <w:vAlign w:val="bottom"/>
            <w:tcBorders>
              <w:bottom w:val="single" w:sz="8" w:color="CCECFF"/>
            </w:tcBorders>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Aftermarket Drivetrain Products Holdings, LLC</w:t>
            </w:r>
          </w:p>
        </w:tc>
        <w:tc>
          <w:tcPr>
            <w:tcW w:w="94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Components</w:t>
            </w:r>
          </w:p>
        </w:tc>
        <w:tc>
          <w:tcPr>
            <w:tcW w:w="740" w:type="dxa"/>
            <w:vAlign w:val="bottom"/>
          </w:tcPr>
          <w:p>
            <w:pPr>
              <w:spacing w:after="0"/>
              <w:rPr>
                <w:sz w:val="10"/>
                <w:szCs w:val="1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2,632</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2,632</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3,686</w:t>
            </w: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12"/>
                <w:szCs w:val="12"/>
                <w:color w:val="auto"/>
                <w:vertAlign w:val="superscript"/>
              </w:rPr>
              <w:t>(7), (8)</w:t>
            </w:r>
          </w:p>
        </w:tc>
        <w:tc>
          <w:tcPr>
            <w:tcW w:w="94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7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805,164</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805</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1,008</w:t>
            </w: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12"/>
                <w:szCs w:val="12"/>
                <w:color w:val="auto"/>
                <w:vertAlign w:val="superscript"/>
              </w:rPr>
              <w:t>(7), (8), (9)</w:t>
            </w:r>
          </w:p>
        </w:tc>
        <w:tc>
          <w:tcPr>
            <w:tcW w:w="94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740" w:type="dxa"/>
            <w:vAlign w:val="bottom"/>
          </w:tcPr>
          <w:p>
            <w:pPr>
              <w:spacing w:after="0"/>
              <w:rPr>
                <w:sz w:val="10"/>
                <w:szCs w:val="1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194,836</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Altamira Intermediate Company II, Inc. </w:t>
            </w:r>
            <w:r>
              <w:rPr>
                <w:rFonts w:ascii="Times New Roman" w:cs="Times New Roman" w:eastAsia="Times New Roman" w:hAnsi="Times New Roman"/>
                <w:sz w:val="12"/>
                <w:szCs w:val="12"/>
                <w:color w:val="auto"/>
                <w:vertAlign w:val="superscript"/>
              </w:rPr>
              <w:t>(7)</w:t>
            </w:r>
          </w:p>
        </w:tc>
        <w:tc>
          <w:tcPr>
            <w:tcW w:w="94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7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1,437,500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1,438</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1,736</w:t>
            </w:r>
          </w:p>
        </w:tc>
      </w:tr>
    </w:tbl>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ind w:left="280"/>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94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20" w:type="dxa"/>
            <w:vAlign w:val="bottom"/>
          </w:tcPr>
          <w:p>
            <w:pPr>
              <w:jc w:val="center"/>
              <w:ind w:right="15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1000" w:type="dxa"/>
            <w:vAlign w:val="bottom"/>
          </w:tcPr>
          <w:p>
            <w:pPr>
              <w:jc w:val="right"/>
              <w:ind w:right="492"/>
              <w:spacing w:after="0"/>
              <w:rPr>
                <w:sz w:val="20"/>
                <w:szCs w:val="20"/>
                <w:color w:val="auto"/>
              </w:rPr>
            </w:pPr>
            <w:r>
              <w:rPr>
                <w:rFonts w:ascii="Times New Roman" w:cs="Times New Roman" w:eastAsia="Times New Roman" w:hAnsi="Times New Roman"/>
                <w:sz w:val="10"/>
                <w:szCs w:val="10"/>
                <w:b w:val="1"/>
                <w:bCs w:val="1"/>
                <w:color w:val="auto"/>
              </w:rPr>
              <w:t>Par /</w:t>
            </w: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940" w:type="dxa"/>
            <w:vAlign w:val="bottom"/>
          </w:tcPr>
          <w:p>
            <w:pPr>
              <w:ind w:left="240"/>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20" w:type="dxa"/>
            <w:vAlign w:val="bottom"/>
          </w:tcPr>
          <w:p>
            <w:pPr>
              <w:jc w:val="center"/>
              <w:ind w:right="15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8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Cost</w:t>
            </w:r>
          </w:p>
        </w:tc>
        <w:tc>
          <w:tcPr>
            <w:tcW w:w="920" w:type="dxa"/>
            <w:vAlign w:val="bottom"/>
          </w:tcPr>
          <w:p>
            <w:pPr>
              <w:jc w:val="right"/>
              <w:ind w:right="17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Anteriad Holdings, LP (f/k/a MeritDirect Holdings, LP) </w:t>
            </w:r>
            <w:r>
              <w:rPr>
                <w:rFonts w:ascii="Times New Roman" w:cs="Times New Roman" w:eastAsia="Times New Roman" w:hAnsi="Times New Roman"/>
                <w:sz w:val="12"/>
                <w:szCs w:val="12"/>
                <w:color w:val="auto"/>
                <w:vertAlign w:val="superscript"/>
              </w:rPr>
              <w:t>(7), (8)</w:t>
            </w:r>
          </w:p>
        </w:tc>
        <w:tc>
          <w:tcPr>
            <w:tcW w:w="7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2,018</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Athletico Holdings, LLC </w:t>
            </w:r>
            <w:r>
              <w:rPr>
                <w:rFonts w:ascii="Times New Roman" w:cs="Times New Roman" w:eastAsia="Times New Roman" w:hAnsi="Times New Roman"/>
                <w:sz w:val="12"/>
                <w:szCs w:val="12"/>
                <w:color w:val="auto"/>
                <w:vertAlign w:val="superscript"/>
              </w:rPr>
              <w:t>(8)</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94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4,678</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5,000</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3,837</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BioDerm Holdings, LP</w:t>
            </w:r>
          </w:p>
        </w:tc>
        <w:tc>
          <w:tcPr>
            <w:tcW w:w="7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1,313</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1,313</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1,179</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Holdings, LP</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Components</w:t>
            </w:r>
          </w:p>
        </w:tc>
        <w:tc>
          <w:tcPr>
            <w:tcW w:w="94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112</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114</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119</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By Light Investco LP </w:t>
            </w:r>
            <w:r>
              <w:rPr>
                <w:rFonts w:ascii="Times New Roman" w:cs="Times New Roman" w:eastAsia="Times New Roman" w:hAnsi="Times New Roman"/>
                <w:sz w:val="12"/>
                <w:szCs w:val="12"/>
                <w:color w:val="auto"/>
                <w:vertAlign w:val="superscript"/>
              </w:rPr>
              <w:t>(7), (8)</w:t>
            </w:r>
          </w:p>
        </w:tc>
        <w:tc>
          <w:tcPr>
            <w:tcW w:w="7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22,789</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803</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18,788</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Carisk Parent, L.P.</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94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239,680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240</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247</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Carnegie HoldCo, LLC - Common Equity </w:t>
            </w:r>
            <w:r>
              <w:rPr>
                <w:rFonts w:ascii="Times New Roman" w:cs="Times New Roman" w:eastAsia="Times New Roman" w:hAnsi="Times New Roman"/>
                <w:sz w:val="12"/>
                <w:szCs w:val="12"/>
                <w:color w:val="auto"/>
                <w:vertAlign w:val="superscript"/>
              </w:rPr>
              <w:t>(8)</w:t>
            </w:r>
          </w:p>
        </w:tc>
        <w:tc>
          <w:tcPr>
            <w:tcW w:w="7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2,719,600</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2,664</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2,638</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Connatix Parent, LLC </w:t>
            </w:r>
            <w:r>
              <w:rPr>
                <w:rFonts w:ascii="Times New Roman" w:cs="Times New Roman" w:eastAsia="Times New Roman" w:hAnsi="Times New Roman"/>
                <w:sz w:val="12"/>
                <w:szCs w:val="12"/>
                <w:color w:val="auto"/>
                <w:vertAlign w:val="superscript"/>
              </w:rPr>
              <w:t>(7)</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4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38,278</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421</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236</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Consello Pacific Aggregator, LLC </w:t>
            </w:r>
            <w:r>
              <w:rPr>
                <w:rFonts w:ascii="Times New Roman" w:cs="Times New Roman" w:eastAsia="Times New Roman" w:hAnsi="Times New Roman"/>
                <w:sz w:val="12"/>
                <w:szCs w:val="12"/>
                <w:color w:val="auto"/>
                <w:vertAlign w:val="superscript"/>
              </w:rPr>
              <w:t>(8)</w:t>
            </w:r>
          </w:p>
        </w:tc>
        <w:tc>
          <w:tcPr>
            <w:tcW w:w="7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1,025,476</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973</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921</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Crane 1 Acquisition Parent Holdings, L.P. </w:t>
            </w:r>
            <w:r>
              <w:rPr>
                <w:rFonts w:ascii="Times New Roman" w:cs="Times New Roman" w:eastAsia="Times New Roman" w:hAnsi="Times New Roman"/>
                <w:sz w:val="12"/>
                <w:szCs w:val="12"/>
                <w:color w:val="auto"/>
                <w:vertAlign w:val="superscript"/>
              </w:rPr>
              <w:t>(7)</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94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130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120</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220</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C5MI Holdco, LLC. - Common Equity </w:t>
            </w:r>
            <w:r>
              <w:rPr>
                <w:rFonts w:ascii="Times New Roman" w:cs="Times New Roman" w:eastAsia="Times New Roman" w:hAnsi="Times New Roman"/>
                <w:sz w:val="12"/>
                <w:szCs w:val="12"/>
                <w:color w:val="auto"/>
                <w:vertAlign w:val="superscript"/>
              </w:rPr>
              <w:t>(8)</w:t>
            </w:r>
          </w:p>
        </w:tc>
        <w:tc>
          <w:tcPr>
            <w:tcW w:w="7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1,659,050</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1,659</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1,654</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Delta InvestCo LP (Sigma Defense Systems, LLC) </w:t>
            </w:r>
            <w:r>
              <w:rPr>
                <w:rFonts w:ascii="Times New Roman" w:cs="Times New Roman" w:eastAsia="Times New Roman" w:hAnsi="Times New Roman"/>
                <w:sz w:val="12"/>
                <w:szCs w:val="12"/>
                <w:color w:val="auto"/>
                <w:vertAlign w:val="superscript"/>
              </w:rPr>
              <w:t>(7), (8)</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4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804,615</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763</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1,500</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Delta InvestCo LP (Sigma Defense Systems, LLC) </w:t>
            </w:r>
            <w:r>
              <w:rPr>
                <w:rFonts w:ascii="Times New Roman" w:cs="Times New Roman" w:eastAsia="Times New Roman" w:hAnsi="Times New Roman"/>
                <w:sz w:val="12"/>
                <w:szCs w:val="12"/>
                <w:color w:val="auto"/>
                <w:vertAlign w:val="superscript"/>
              </w:rPr>
              <w:t>(7), (8), (9)</w:t>
            </w:r>
          </w:p>
        </w:tc>
        <w:tc>
          <w:tcPr>
            <w:tcW w:w="7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200,255</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DUGGAL EQUITY, LP – Common Equity</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94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686,400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686</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686</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eCommission Holding Corporation </w:t>
            </w:r>
            <w:r>
              <w:rPr>
                <w:rFonts w:ascii="Times New Roman" w:cs="Times New Roman" w:eastAsia="Times New Roman" w:hAnsi="Times New Roman"/>
                <w:sz w:val="12"/>
                <w:szCs w:val="12"/>
                <w:color w:val="auto"/>
                <w:vertAlign w:val="superscript"/>
              </w:rPr>
              <w:t>(7), (10)</w:t>
            </w:r>
          </w:p>
        </w:tc>
        <w:tc>
          <w:tcPr>
            <w:tcW w:w="7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Banking, Finance, Insurance &amp; Real Estate</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20</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237</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639</w:t>
            </w:r>
          </w:p>
        </w:tc>
        <w:tc>
          <w:tcPr>
            <w:tcW w:w="0" w:type="dxa"/>
            <w:vAlign w:val="bottom"/>
          </w:tcPr>
          <w:p>
            <w:pPr>
              <w:spacing w:after="0"/>
              <w:rPr>
                <w:sz w:val="1"/>
                <w:szCs w:val="1"/>
                <w:color w:val="auto"/>
              </w:rPr>
            </w:pPr>
          </w:p>
        </w:tc>
      </w:tr>
      <w:tr>
        <w:trPr>
          <w:trHeight w:val="121"/>
        </w:trPr>
        <w:tc>
          <w:tcPr>
            <w:tcW w:w="298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94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EDS Topco, LP</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94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1,125,000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1,125</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1,256</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Exigo, LLC</w:t>
            </w:r>
          </w:p>
        </w:tc>
        <w:tc>
          <w:tcPr>
            <w:tcW w:w="7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541,667</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542</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586</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FedHC InvestCo LP </w:t>
            </w:r>
            <w:r>
              <w:rPr>
                <w:rFonts w:ascii="Times New Roman" w:cs="Times New Roman" w:eastAsia="Times New Roman" w:hAnsi="Times New Roman"/>
                <w:sz w:val="12"/>
                <w:szCs w:val="12"/>
                <w:color w:val="auto"/>
                <w:vertAlign w:val="superscript"/>
              </w:rPr>
              <w:t>(7), (8)</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4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21,665</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727</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1,773</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FedHC InvestCo LP </w:t>
            </w:r>
            <w:r>
              <w:rPr>
                <w:rFonts w:ascii="Times New Roman" w:cs="Times New Roman" w:eastAsia="Times New Roman" w:hAnsi="Times New Roman"/>
                <w:sz w:val="12"/>
                <w:szCs w:val="12"/>
                <w:color w:val="auto"/>
                <w:vertAlign w:val="superscript"/>
              </w:rPr>
              <w:t>(7), (8), (9)</w:t>
            </w:r>
          </w:p>
        </w:tc>
        <w:tc>
          <w:tcPr>
            <w:tcW w:w="7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7,566</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Five Star Parent Holdings, LLC</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94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655,714</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656</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647</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ETE Blocker, LLC</w:t>
            </w:r>
          </w:p>
        </w:tc>
        <w:tc>
          <w:tcPr>
            <w:tcW w:w="7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374,444</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374</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285</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Gauge Lash Coinvest LLC </w:t>
            </w:r>
            <w:r>
              <w:rPr>
                <w:rFonts w:ascii="Times New Roman" w:cs="Times New Roman" w:eastAsia="Times New Roman" w:hAnsi="Times New Roman"/>
                <w:sz w:val="12"/>
                <w:szCs w:val="12"/>
                <w:color w:val="auto"/>
                <w:vertAlign w:val="superscript"/>
              </w:rPr>
              <w:t>(7)</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94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1,840,021</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1,393</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5,349</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Loving Tan, LP</w:t>
            </w:r>
          </w:p>
        </w:tc>
        <w:tc>
          <w:tcPr>
            <w:tcW w:w="7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2,914,701</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2,915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3,207</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Gauge Schlesinger Coinvest LLC </w:t>
            </w:r>
            <w:r>
              <w:rPr>
                <w:rFonts w:ascii="Times New Roman" w:cs="Times New Roman" w:eastAsia="Times New Roman" w:hAnsi="Times New Roman"/>
                <w:sz w:val="12"/>
                <w:szCs w:val="12"/>
                <w:color w:val="auto"/>
                <w:vertAlign w:val="superscript"/>
              </w:rPr>
              <w:t>(7)</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4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465</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476</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268</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GCOM InvestCo LP</w:t>
            </w:r>
          </w:p>
        </w:tc>
        <w:tc>
          <w:tcPr>
            <w:tcW w:w="7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19,184</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3,342</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4,555</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GGG Topco, LLC – Common Equity </w:t>
            </w:r>
            <w:r>
              <w:rPr>
                <w:rFonts w:ascii="Times New Roman" w:cs="Times New Roman" w:eastAsia="Times New Roman" w:hAnsi="Times New Roman"/>
                <w:sz w:val="12"/>
                <w:szCs w:val="12"/>
                <w:color w:val="auto"/>
                <w:vertAlign w:val="superscript"/>
              </w:rPr>
              <w:t>(8)</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4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2,759,800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2,760</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2,760</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GMP Hills, L.P.</w:t>
            </w:r>
          </w:p>
        </w:tc>
        <w:tc>
          <w:tcPr>
            <w:tcW w:w="7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4,430,843</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4,431</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4,342</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Hancock Claims Consultants Investors, LLC </w:t>
            </w:r>
            <w:r>
              <w:rPr>
                <w:rFonts w:ascii="Times New Roman" w:cs="Times New Roman" w:eastAsia="Times New Roman" w:hAnsi="Times New Roman"/>
                <w:sz w:val="12"/>
                <w:szCs w:val="12"/>
                <w:color w:val="auto"/>
                <w:vertAlign w:val="superscript"/>
              </w:rPr>
              <w:t>(7), (8)</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4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450,000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448</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275</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HPA SPQ Aggregator LP</w:t>
            </w:r>
          </w:p>
        </w:tc>
        <w:tc>
          <w:tcPr>
            <w:tcW w:w="7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750,399</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750</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842</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4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100,000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100</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Icon Partners V C, L.P.</w:t>
            </w:r>
          </w:p>
        </w:tc>
        <w:tc>
          <w:tcPr>
            <w:tcW w:w="7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1,870,915</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1,871</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1,872</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Icon Partners V C, L.P. </w:t>
            </w:r>
            <w:r>
              <w:rPr>
                <w:rFonts w:ascii="Times New Roman" w:cs="Times New Roman" w:eastAsia="Times New Roman" w:hAnsi="Times New Roman"/>
                <w:sz w:val="12"/>
                <w:szCs w:val="12"/>
                <w:color w:val="auto"/>
                <w:vertAlign w:val="superscript"/>
              </w:rPr>
              <w:t>(7), (9)</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94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629,085</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IIN Group Holdings, LLC </w:t>
            </w:r>
            <w:r>
              <w:rPr>
                <w:rFonts w:ascii="Times New Roman" w:cs="Times New Roman" w:eastAsia="Times New Roman" w:hAnsi="Times New Roman"/>
                <w:sz w:val="12"/>
                <w:szCs w:val="12"/>
                <w:color w:val="auto"/>
                <w:vertAlign w:val="superscript"/>
              </w:rPr>
              <w:t>(8)</w:t>
            </w:r>
          </w:p>
        </w:tc>
        <w:tc>
          <w:tcPr>
            <w:tcW w:w="7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Services</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1,000</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1,000</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Topco, LP (Common)</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94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1,236,027</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IHS Parent Holdngs, L.P.</w:t>
            </w:r>
          </w:p>
        </w:tc>
        <w:tc>
          <w:tcPr>
            <w:tcW w:w="7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1,218,045</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1,218</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1,535</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Ironclad Holdco, LLC (Applied Technical Services, LLC) </w:t>
            </w:r>
            <w:r>
              <w:rPr>
                <w:rFonts w:ascii="Times New Roman" w:cs="Times New Roman" w:eastAsia="Times New Roman" w:hAnsi="Times New Roman"/>
                <w:sz w:val="12"/>
                <w:szCs w:val="12"/>
                <w:color w:val="auto"/>
                <w:vertAlign w:val="superscript"/>
              </w:rPr>
              <w:t>(7)</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94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6,355</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668</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988</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ITC Infusion Co-invest, LP </w:t>
            </w:r>
            <w:r>
              <w:rPr>
                <w:rFonts w:ascii="Times New Roman" w:cs="Times New Roman" w:eastAsia="Times New Roman" w:hAnsi="Times New Roman"/>
                <w:sz w:val="12"/>
                <w:szCs w:val="12"/>
                <w:color w:val="auto"/>
                <w:vertAlign w:val="superscript"/>
              </w:rPr>
              <w:t>(8)</w:t>
            </w:r>
          </w:p>
        </w:tc>
        <w:tc>
          <w:tcPr>
            <w:tcW w:w="7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116,032</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1,175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1,745</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94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1,734,775</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1,735</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1,985</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KL Stockton Co-Invest LP (Any Hour Services) </w:t>
            </w:r>
            <w:r>
              <w:rPr>
                <w:rFonts w:ascii="Times New Roman" w:cs="Times New Roman" w:eastAsia="Times New Roman" w:hAnsi="Times New Roman"/>
                <w:sz w:val="12"/>
                <w:szCs w:val="12"/>
                <w:color w:val="auto"/>
                <w:vertAlign w:val="superscript"/>
              </w:rPr>
              <w:t>(7), (8)</w:t>
            </w:r>
          </w:p>
        </w:tc>
        <w:tc>
          <w:tcPr>
            <w:tcW w:w="7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Energy Equipment and Services</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382,353</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385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884</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LEP Pequod Holdings, LP</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94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350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865</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1,004</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Lightspeed Investment Holdco LLC </w:t>
            </w:r>
            <w:r>
              <w:rPr>
                <w:rFonts w:ascii="Times New Roman" w:cs="Times New Roman" w:eastAsia="Times New Roman" w:hAnsi="Times New Roman"/>
                <w:sz w:val="12"/>
                <w:szCs w:val="12"/>
                <w:color w:val="auto"/>
                <w:vertAlign w:val="superscript"/>
              </w:rPr>
              <w:t>(7)</w:t>
            </w:r>
          </w:p>
        </w:tc>
        <w:tc>
          <w:tcPr>
            <w:tcW w:w="7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585,587</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586</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2,118</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LP</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94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1,638,043</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1,638</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1,998</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Lucky Bucks, LLC</w:t>
            </w:r>
          </w:p>
        </w:tc>
        <w:tc>
          <w:tcPr>
            <w:tcW w:w="7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73,870</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2,062</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904</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A Common Equity </w:t>
            </w:r>
            <w:r>
              <w:rPr>
                <w:rFonts w:ascii="Times New Roman" w:cs="Times New Roman" w:eastAsia="Times New Roman" w:hAnsi="Times New Roman"/>
                <w:sz w:val="12"/>
                <w:szCs w:val="12"/>
                <w:color w:val="auto"/>
                <w:vertAlign w:val="superscript"/>
              </w:rPr>
              <w:t>(8)</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Automobiles</w:t>
            </w:r>
          </w:p>
        </w:tc>
        <w:tc>
          <w:tcPr>
            <w:tcW w:w="94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46,974</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B Common Equity </w:t>
            </w:r>
            <w:r>
              <w:rPr>
                <w:rFonts w:ascii="Times New Roman" w:cs="Times New Roman" w:eastAsia="Times New Roman" w:hAnsi="Times New Roman"/>
                <w:sz w:val="12"/>
                <w:szCs w:val="12"/>
                <w:color w:val="auto"/>
                <w:vertAlign w:val="superscript"/>
              </w:rPr>
              <w:t>(8)</w:t>
            </w:r>
          </w:p>
        </w:tc>
        <w:tc>
          <w:tcPr>
            <w:tcW w:w="7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Automobiles</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30,926</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MDI Aggregator, LP</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Commodity Chemicals</w:t>
            </w:r>
          </w:p>
        </w:tc>
        <w:tc>
          <w:tcPr>
            <w:tcW w:w="94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10,761</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1,078</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1,250</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Meadowlark Title, LLC </w:t>
            </w:r>
            <w:r>
              <w:rPr>
                <w:rFonts w:ascii="Times New Roman" w:cs="Times New Roman" w:eastAsia="Times New Roman" w:hAnsi="Times New Roman"/>
                <w:sz w:val="12"/>
                <w:szCs w:val="12"/>
                <w:color w:val="auto"/>
                <w:vertAlign w:val="superscript"/>
              </w:rPr>
              <w:t>(8)</w:t>
            </w:r>
          </w:p>
        </w:tc>
        <w:tc>
          <w:tcPr>
            <w:tcW w:w="7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819,231</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806</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298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94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Megawatt Acquisition Partners, LLC - Common A Equity</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94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1,040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104</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83</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Municipal Emergency Services, Inc. </w:t>
            </w:r>
            <w:r>
              <w:rPr>
                <w:rFonts w:ascii="Times New Roman" w:cs="Times New Roman" w:eastAsia="Times New Roman" w:hAnsi="Times New Roman"/>
                <w:sz w:val="12"/>
                <w:szCs w:val="12"/>
                <w:color w:val="auto"/>
                <w:vertAlign w:val="superscript"/>
              </w:rPr>
              <w:t>(7)</w:t>
            </w:r>
          </w:p>
        </w:tc>
        <w:tc>
          <w:tcPr>
            <w:tcW w:w="7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1,973,370</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2,005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3,157</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NEPRT Parent Holdings, LLC (Recteq, LLC) </w:t>
            </w:r>
            <w:r>
              <w:rPr>
                <w:rFonts w:ascii="Times New Roman" w:cs="Times New Roman" w:eastAsia="Times New Roman" w:hAnsi="Times New Roman"/>
                <w:sz w:val="12"/>
                <w:szCs w:val="12"/>
                <w:color w:val="auto"/>
                <w:vertAlign w:val="superscript"/>
              </w:rPr>
              <w:t>(7), (8)</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94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1,494</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1,438</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New Insight Holdings, Inc. - Common Equity</w:t>
            </w:r>
          </w:p>
        </w:tc>
        <w:tc>
          <w:tcPr>
            <w:tcW w:w="7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158,348</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2,771</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2,771</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New Medina Health, LLC </w:t>
            </w:r>
            <w:r>
              <w:rPr>
                <w:rFonts w:ascii="Times New Roman" w:cs="Times New Roman" w:eastAsia="Times New Roman" w:hAnsi="Times New Roman"/>
                <w:sz w:val="12"/>
                <w:szCs w:val="12"/>
                <w:color w:val="auto"/>
                <w:vertAlign w:val="superscript"/>
              </w:rPr>
              <w:t>(8)</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94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2,672,646</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2,673</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4,171</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NFS - CFP Holdings LLC</w:t>
            </w:r>
          </w:p>
        </w:tc>
        <w:tc>
          <w:tcPr>
            <w:tcW w:w="7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1,337,017</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1,337</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1,337</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NORA Parent Holdings, LLC </w:t>
            </w:r>
            <w:r>
              <w:rPr>
                <w:rFonts w:ascii="Times New Roman" w:cs="Times New Roman" w:eastAsia="Times New Roman" w:hAnsi="Times New Roman"/>
                <w:sz w:val="12"/>
                <w:szCs w:val="12"/>
                <w:color w:val="auto"/>
                <w:vertAlign w:val="superscript"/>
              </w:rPr>
              <w:t>(8)</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94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2,544</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2,525</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2,256</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North Haven Saints Equity Holdings, LP </w:t>
            </w:r>
            <w:r>
              <w:rPr>
                <w:rFonts w:ascii="Times New Roman" w:cs="Times New Roman" w:eastAsia="Times New Roman" w:hAnsi="Times New Roman"/>
                <w:sz w:val="12"/>
                <w:szCs w:val="12"/>
                <w:color w:val="auto"/>
                <w:vertAlign w:val="superscript"/>
              </w:rPr>
              <w:t>(8)</w:t>
            </w:r>
          </w:p>
        </w:tc>
        <w:tc>
          <w:tcPr>
            <w:tcW w:w="7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223,602</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224</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241</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NXOF Holdings, Inc. (Tyto Athene, LLC) </w:t>
            </w:r>
            <w:r>
              <w:rPr>
                <w:rFonts w:ascii="Times New Roman" w:cs="Times New Roman" w:eastAsia="Times New Roman" w:hAnsi="Times New Roman"/>
                <w:sz w:val="12"/>
                <w:szCs w:val="12"/>
                <w:color w:val="auto"/>
                <w:vertAlign w:val="superscript"/>
              </w:rPr>
              <w:t>(7)</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4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37,561</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496</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6"/>
        </w:trPr>
        <w:tc>
          <w:tcPr>
            <w:tcW w:w="2980" w:type="dxa"/>
            <w:vAlign w:val="bottom"/>
          </w:tcPr>
          <w:p>
            <w:pPr>
              <w:ind w:left="20"/>
              <w:spacing w:after="0" w:line="96" w:lineRule="exact"/>
              <w:rPr>
                <w:sz w:val="20"/>
                <w:szCs w:val="20"/>
                <w:color w:val="auto"/>
              </w:rPr>
            </w:pPr>
            <w:r>
              <w:rPr>
                <w:rFonts w:ascii="Times New Roman" w:cs="Times New Roman" w:eastAsia="Times New Roman" w:hAnsi="Times New Roman"/>
                <w:sz w:val="9"/>
                <w:szCs w:val="9"/>
                <w:color w:val="auto"/>
              </w:rPr>
              <w:t xml:space="preserve">OceanSound Discovery Equity, LP (Holdco Sands Intermediate, LLC) </w:t>
            </w:r>
            <w:r>
              <w:rPr>
                <w:rFonts w:ascii="Times New Roman" w:cs="Times New Roman" w:eastAsia="Times New Roman" w:hAnsi="Times New Roman"/>
                <w:sz w:val="11"/>
                <w:szCs w:val="11"/>
                <w:color w:val="auto"/>
                <w:vertAlign w:val="superscript"/>
              </w:rPr>
              <w:t>(7),</w:t>
            </w:r>
          </w:p>
        </w:tc>
        <w:tc>
          <w:tcPr>
            <w:tcW w:w="720" w:type="dxa"/>
            <w:vAlign w:val="bottom"/>
          </w:tcPr>
          <w:p>
            <w:pPr>
              <w:spacing w:after="0"/>
              <w:rPr>
                <w:sz w:val="8"/>
                <w:szCs w:val="8"/>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40" w:type="dxa"/>
            <w:vAlign w:val="bottom"/>
            <w:vMerge w:val="restart"/>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vMerge w:val="restart"/>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auto"/>
              </w:rPr>
              <w:t>173,638</w:t>
            </w:r>
          </w:p>
        </w:tc>
        <w:tc>
          <w:tcPr>
            <w:tcW w:w="880" w:type="dxa"/>
            <w:vAlign w:val="bottom"/>
            <w:vMerge w:val="restart"/>
          </w:tcPr>
          <w:p>
            <w:pPr>
              <w:jc w:val="right"/>
              <w:ind w:right="112"/>
              <w:spacing w:after="0"/>
              <w:rPr>
                <w:sz w:val="20"/>
                <w:szCs w:val="20"/>
                <w:color w:val="auto"/>
              </w:rPr>
            </w:pPr>
            <w:r>
              <w:rPr>
                <w:rFonts w:ascii="Times New Roman" w:cs="Times New Roman" w:eastAsia="Times New Roman" w:hAnsi="Times New Roman"/>
                <w:sz w:val="10"/>
                <w:szCs w:val="10"/>
                <w:color w:val="auto"/>
              </w:rPr>
              <w:t>1,736</w:t>
            </w:r>
          </w:p>
        </w:tc>
        <w:tc>
          <w:tcPr>
            <w:tcW w:w="9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1,761</w:t>
            </w:r>
          </w:p>
        </w:tc>
        <w:tc>
          <w:tcPr>
            <w:tcW w:w="0" w:type="dxa"/>
            <w:vAlign w:val="bottom"/>
          </w:tcPr>
          <w:p>
            <w:pPr>
              <w:spacing w:after="0"/>
              <w:rPr>
                <w:sz w:val="1"/>
                <w:szCs w:val="1"/>
                <w:color w:val="auto"/>
              </w:rPr>
            </w:pPr>
          </w:p>
        </w:tc>
      </w:tr>
      <w:tr>
        <w:trPr>
          <w:trHeight w:val="77"/>
        </w:trPr>
        <w:tc>
          <w:tcPr>
            <w:tcW w:w="2980" w:type="dxa"/>
            <w:vAlign w:val="bottom"/>
          </w:tcPr>
          <w:p>
            <w:pPr>
              <w:ind w:left="20"/>
              <w:spacing w:after="0"/>
              <w:rPr>
                <w:sz w:val="20"/>
                <w:szCs w:val="20"/>
                <w:color w:val="auto"/>
              </w:rPr>
            </w:pPr>
            <w:r>
              <w:rPr>
                <w:rFonts w:ascii="Times New Roman" w:cs="Times New Roman" w:eastAsia="Times New Roman" w:hAnsi="Times New Roman"/>
                <w:sz w:val="6"/>
                <w:szCs w:val="6"/>
                <w:color w:val="auto"/>
              </w:rPr>
              <w:t>(8)</w:t>
            </w:r>
          </w:p>
        </w:tc>
        <w:tc>
          <w:tcPr>
            <w:tcW w:w="720" w:type="dxa"/>
            <w:vAlign w:val="bottom"/>
          </w:tcPr>
          <w:p>
            <w:pPr>
              <w:spacing w:after="0"/>
              <w:rPr>
                <w:sz w:val="6"/>
                <w:szCs w:val="6"/>
                <w:color w:val="auto"/>
              </w:rPr>
            </w:pPr>
          </w:p>
        </w:tc>
        <w:tc>
          <w:tcPr>
            <w:tcW w:w="21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10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OES Co-Invest, LP - Class A Common Equity</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4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1,560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1,574</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1,739</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OHCP V BC COI, L.P.</w:t>
            </w:r>
          </w:p>
        </w:tc>
        <w:tc>
          <w:tcPr>
            <w:tcW w:w="7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1,158,239</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1,158</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738</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OHCP V BC COI, L.P. </w:t>
            </w:r>
            <w:r>
              <w:rPr>
                <w:rFonts w:ascii="Times New Roman" w:cs="Times New Roman" w:eastAsia="Times New Roman" w:hAnsi="Times New Roman"/>
                <w:sz w:val="12"/>
                <w:szCs w:val="12"/>
                <w:color w:val="auto"/>
                <w:vertAlign w:val="superscript"/>
              </w:rPr>
              <w:t>(9)</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94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91,761</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(33 )</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ORL Holdco, Inc</w:t>
            </w:r>
          </w:p>
        </w:tc>
        <w:tc>
          <w:tcPr>
            <w:tcW w:w="7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1,474</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OSP Embedded Aggregator, LP</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4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1,727,679</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1,728</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1,098</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Output Services Group, Inc.</w:t>
            </w:r>
          </w:p>
        </w:tc>
        <w:tc>
          <w:tcPr>
            <w:tcW w:w="7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80,170</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642</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701</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PAR Excellence Holdings, Inc. - Common Equity</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94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1,902,200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1,902</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1,902</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PCS Parent, LP - Common Equity</w:t>
            </w:r>
          </w:p>
        </w:tc>
        <w:tc>
          <w:tcPr>
            <w:tcW w:w="7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423,247</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423</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444</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PennantPark-TSO Senior Loan Fund, LP </w:t>
            </w:r>
            <w:r>
              <w:rPr>
                <w:rFonts w:ascii="Times New Roman" w:cs="Times New Roman" w:eastAsia="Times New Roman" w:hAnsi="Times New Roman"/>
                <w:sz w:val="12"/>
                <w:szCs w:val="12"/>
                <w:color w:val="auto"/>
                <w:vertAlign w:val="superscript"/>
              </w:rPr>
              <w:t>(7)(10)</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94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11,167,847</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11,168</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9,186</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Pink Lily Holdco, LLC </w:t>
            </w:r>
            <w:r>
              <w:rPr>
                <w:rFonts w:ascii="Times New Roman" w:cs="Times New Roman" w:eastAsia="Times New Roman" w:hAnsi="Times New Roman"/>
                <w:sz w:val="12"/>
                <w:szCs w:val="12"/>
                <w:color w:val="auto"/>
                <w:vertAlign w:val="superscript"/>
              </w:rPr>
              <w:t>(8)</w:t>
            </w:r>
          </w:p>
        </w:tc>
        <w:tc>
          <w:tcPr>
            <w:tcW w:w="7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Textiles, Apparel and Luxury Goods</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1,735</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1,735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Pragmatic Institute, LLC</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4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610,583</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611</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Quad (U.S.) Co-Invest, L.P.</w:t>
            </w:r>
          </w:p>
        </w:tc>
        <w:tc>
          <w:tcPr>
            <w:tcW w:w="7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266,864</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267</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341</w:t>
            </w:r>
          </w:p>
        </w:tc>
        <w:tc>
          <w:tcPr>
            <w:tcW w:w="0" w:type="dxa"/>
            <w:vAlign w:val="bottom"/>
          </w:tcPr>
          <w:p>
            <w:pPr>
              <w:spacing w:after="0"/>
              <w:rPr>
                <w:sz w:val="1"/>
                <w:szCs w:val="1"/>
                <w:color w:val="auto"/>
              </w:rPr>
            </w:pPr>
          </w:p>
        </w:tc>
      </w:tr>
      <w:tr>
        <w:trPr>
          <w:trHeight w:val="124"/>
        </w:trPr>
        <w:tc>
          <w:tcPr>
            <w:tcW w:w="298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QuantiTech InvestCo LP </w:t>
            </w:r>
            <w:r>
              <w:rPr>
                <w:rFonts w:ascii="Times New Roman" w:cs="Times New Roman" w:eastAsia="Times New Roman" w:hAnsi="Times New Roman"/>
                <w:sz w:val="12"/>
                <w:szCs w:val="12"/>
                <w:color w:val="auto"/>
                <w:vertAlign w:val="superscript"/>
              </w:rPr>
              <w:t>(7), (8)</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40" w:type="dxa"/>
            <w:vAlign w:val="bottom"/>
            <w:vMerge w:val="restart"/>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vMerge w:val="restart"/>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vMerge w:val="restart"/>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700</w:t>
            </w:r>
          </w:p>
        </w:tc>
        <w:tc>
          <w:tcPr>
            <w:tcW w:w="880" w:type="dxa"/>
            <w:vAlign w:val="bottom"/>
            <w:vMerge w:val="restart"/>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0</w:t>
            </w:r>
          </w:p>
        </w:tc>
        <w:tc>
          <w:tcPr>
            <w:tcW w:w="92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172</w:t>
            </w:r>
          </w:p>
        </w:tc>
        <w:tc>
          <w:tcPr>
            <w:tcW w:w="0" w:type="dxa"/>
            <w:vAlign w:val="bottom"/>
          </w:tcPr>
          <w:p>
            <w:pPr>
              <w:spacing w:after="0"/>
              <w:rPr>
                <w:sz w:val="1"/>
                <w:szCs w:val="1"/>
                <w:color w:val="auto"/>
              </w:rPr>
            </w:pPr>
          </w:p>
        </w:tc>
      </w:tr>
      <w:tr>
        <w:trPr>
          <w:trHeight w:val="84"/>
        </w:trPr>
        <w:tc>
          <w:tcPr>
            <w:tcW w:w="2980" w:type="dxa"/>
            <w:vAlign w:val="bottom"/>
            <w:tcBorders>
              <w:bottom w:val="single" w:sz="8" w:color="CCECFF"/>
            </w:tcBorders>
            <w:vMerge w:val="continue"/>
            <w:shd w:val="clear" w:color="auto" w:fill="CCECFF"/>
          </w:tcPr>
          <w:p>
            <w:pPr>
              <w:spacing w:after="0"/>
              <w:rPr>
                <w:sz w:val="7"/>
                <w:szCs w:val="7"/>
                <w:color w:val="auto"/>
              </w:rPr>
            </w:pPr>
          </w:p>
        </w:tc>
        <w:tc>
          <w:tcPr>
            <w:tcW w:w="720" w:type="dxa"/>
            <w:vAlign w:val="bottom"/>
            <w:tcBorders>
              <w:bottom w:val="single" w:sz="8" w:color="CCECFF"/>
            </w:tcBorders>
            <w:shd w:val="clear" w:color="auto" w:fill="CCECFF"/>
          </w:tcPr>
          <w:p>
            <w:pPr>
              <w:spacing w:after="0"/>
              <w:rPr>
                <w:sz w:val="7"/>
                <w:szCs w:val="7"/>
                <w:color w:val="auto"/>
              </w:rPr>
            </w:pPr>
          </w:p>
        </w:tc>
        <w:tc>
          <w:tcPr>
            <w:tcW w:w="2100" w:type="dxa"/>
            <w:vAlign w:val="bottom"/>
            <w:tcBorders>
              <w:bottom w:val="single" w:sz="8" w:color="CCECFF"/>
            </w:tcBorders>
            <w:shd w:val="clear" w:color="auto" w:fill="CCECFF"/>
          </w:tcPr>
          <w:p>
            <w:pPr>
              <w:spacing w:after="0"/>
              <w:rPr>
                <w:sz w:val="7"/>
                <w:szCs w:val="7"/>
                <w:color w:val="auto"/>
              </w:rPr>
            </w:pPr>
          </w:p>
        </w:tc>
        <w:tc>
          <w:tcPr>
            <w:tcW w:w="940" w:type="dxa"/>
            <w:vAlign w:val="bottom"/>
            <w:tcBorders>
              <w:bottom w:val="single" w:sz="8" w:color="CCECFF"/>
            </w:tcBorders>
            <w:vMerge w:val="continue"/>
            <w:shd w:val="clear" w:color="auto" w:fill="CCECFF"/>
          </w:tcPr>
          <w:p>
            <w:pPr>
              <w:spacing w:after="0"/>
              <w:rPr>
                <w:sz w:val="7"/>
                <w:szCs w:val="7"/>
                <w:color w:val="auto"/>
              </w:rPr>
            </w:pPr>
          </w:p>
        </w:tc>
        <w:tc>
          <w:tcPr>
            <w:tcW w:w="1020" w:type="dxa"/>
            <w:vAlign w:val="bottom"/>
            <w:tcBorders>
              <w:bottom w:val="single" w:sz="8" w:color="CCECFF"/>
            </w:tcBorders>
            <w:vMerge w:val="continue"/>
            <w:shd w:val="clear" w:color="auto" w:fill="CCECFF"/>
          </w:tcPr>
          <w:p>
            <w:pPr>
              <w:spacing w:after="0"/>
              <w:rPr>
                <w:sz w:val="7"/>
                <w:szCs w:val="7"/>
                <w:color w:val="auto"/>
              </w:rPr>
            </w:pPr>
          </w:p>
        </w:tc>
        <w:tc>
          <w:tcPr>
            <w:tcW w:w="1000" w:type="dxa"/>
            <w:vAlign w:val="bottom"/>
            <w:tcBorders>
              <w:bottom w:val="single" w:sz="8" w:color="CCECFF"/>
            </w:tcBorders>
            <w:vMerge w:val="continue"/>
            <w:shd w:val="clear" w:color="auto" w:fill="CCECFF"/>
          </w:tcPr>
          <w:p>
            <w:pPr>
              <w:spacing w:after="0"/>
              <w:rPr>
                <w:sz w:val="7"/>
                <w:szCs w:val="7"/>
                <w:color w:val="auto"/>
              </w:rPr>
            </w:pPr>
          </w:p>
        </w:tc>
        <w:tc>
          <w:tcPr>
            <w:tcW w:w="880" w:type="dxa"/>
            <w:vAlign w:val="bottom"/>
            <w:tcBorders>
              <w:bottom w:val="single" w:sz="8" w:color="CCECFF"/>
            </w:tcBorders>
            <w:vMerge w:val="continue"/>
            <w:shd w:val="clear" w:color="auto" w:fill="CCECFF"/>
          </w:tcPr>
          <w:p>
            <w:pPr>
              <w:spacing w:after="0"/>
              <w:rPr>
                <w:sz w:val="7"/>
                <w:szCs w:val="7"/>
                <w:color w:val="auto"/>
              </w:rPr>
            </w:pPr>
          </w:p>
        </w:tc>
        <w:tc>
          <w:tcPr>
            <w:tcW w:w="920" w:type="dxa"/>
            <w:vAlign w:val="bottom"/>
            <w:tcBorders>
              <w:bottom w:val="single" w:sz="8" w:color="CCECFF"/>
            </w:tcBorders>
            <w:vMerge w:val="continue"/>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QuantiTech InvestCo LP </w:t>
            </w:r>
            <w:r>
              <w:rPr>
                <w:rFonts w:ascii="Times New Roman" w:cs="Times New Roman" w:eastAsia="Times New Roman" w:hAnsi="Times New Roman"/>
                <w:sz w:val="12"/>
                <w:szCs w:val="12"/>
                <w:color w:val="auto"/>
                <w:vertAlign w:val="superscript"/>
              </w:rPr>
              <w:t>(7), (8), (9)</w:t>
            </w:r>
          </w:p>
        </w:tc>
        <w:tc>
          <w:tcPr>
            <w:tcW w:w="7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955</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QuantiTech InvestCo II LP </w:t>
            </w:r>
            <w:r>
              <w:rPr>
                <w:rFonts w:ascii="Times New Roman" w:cs="Times New Roman" w:eastAsia="Times New Roman" w:hAnsi="Times New Roman"/>
                <w:sz w:val="12"/>
                <w:szCs w:val="12"/>
                <w:color w:val="auto"/>
                <w:vertAlign w:val="superscript"/>
              </w:rPr>
              <w:t>(7), (8)</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4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40</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14</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w:t>
            </w:r>
          </w:p>
        </w:tc>
        <w:tc>
          <w:tcPr>
            <w:tcW w:w="0" w:type="dxa"/>
            <w:vAlign w:val="bottom"/>
          </w:tcPr>
          <w:p>
            <w:pPr>
              <w:spacing w:after="0"/>
              <w:rPr>
                <w:sz w:val="1"/>
                <w:szCs w:val="1"/>
                <w:color w:val="auto"/>
              </w:rPr>
            </w:pPr>
          </w:p>
        </w:tc>
      </w:tr>
      <w:tr>
        <w:trPr>
          <w:trHeight w:val="120"/>
        </w:trPr>
        <w:tc>
          <w:tcPr>
            <w:tcW w:w="29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RFMG Parent, LP (Rancho Health MSO, Inc.) </w:t>
            </w:r>
            <w:r>
              <w:rPr>
                <w:rFonts w:ascii="Times New Roman" w:cs="Times New Roman" w:eastAsia="Times New Roman" w:hAnsi="Times New Roman"/>
                <w:sz w:val="12"/>
                <w:szCs w:val="12"/>
                <w:color w:val="auto"/>
                <w:vertAlign w:val="superscript"/>
              </w:rPr>
              <w:t>(7)</w:t>
            </w:r>
          </w:p>
        </w:tc>
        <w:tc>
          <w:tcPr>
            <w:tcW w:w="7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1,050,000</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1,050</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1,309</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Safe Haven Defense MidCo, LLC - Common Equity </w:t>
            </w:r>
            <w:r>
              <w:rPr>
                <w:rFonts w:ascii="Times New Roman" w:cs="Times New Roman" w:eastAsia="Times New Roman" w:hAnsi="Times New Roman"/>
                <w:sz w:val="12"/>
                <w:szCs w:val="12"/>
                <w:color w:val="auto"/>
                <w:vertAlign w:val="superscript"/>
              </w:rPr>
              <w:t>(8)</w:t>
            </w:r>
          </w:p>
        </w:tc>
        <w:tc>
          <w:tcPr>
            <w:tcW w:w="72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Building Products</w:t>
            </w:r>
          </w:p>
        </w:tc>
        <w:tc>
          <w:tcPr>
            <w:tcW w:w="94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596</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596</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648</w:t>
            </w:r>
          </w:p>
        </w:tc>
        <w:tc>
          <w:tcPr>
            <w:tcW w:w="0" w:type="dxa"/>
            <w:vAlign w:val="bottom"/>
          </w:tcPr>
          <w:p>
            <w:pPr>
              <w:spacing w:after="0"/>
              <w:rPr>
                <w:sz w:val="1"/>
                <w:szCs w:val="1"/>
                <w:color w:val="auto"/>
              </w:rPr>
            </w:pPr>
          </w:p>
        </w:tc>
      </w:tr>
      <w:tr>
        <w:trPr>
          <w:trHeight w:val="158"/>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SBI Holdings Investments LLC (Sales Benchmark Index LLC) </w:t>
            </w:r>
            <w:r>
              <w:rPr>
                <w:rFonts w:ascii="Times New Roman" w:cs="Times New Roman" w:eastAsia="Times New Roman" w:hAnsi="Times New Roman"/>
                <w:sz w:val="12"/>
                <w:szCs w:val="12"/>
                <w:color w:val="auto"/>
                <w:vertAlign w:val="superscript"/>
              </w:rPr>
              <w:t>(7)</w:t>
            </w:r>
          </w:p>
        </w:tc>
        <w:tc>
          <w:tcPr>
            <w:tcW w:w="72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64,634</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646</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716</w:t>
            </w: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ind w:left="320"/>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660" w:type="dxa"/>
            <w:vAlign w:val="bottom"/>
          </w:tcPr>
          <w:p>
            <w:pPr>
              <w:jc w:val="center"/>
              <w:ind w:left="132"/>
              <w:spacing w:after="0"/>
              <w:rPr>
                <w:sz w:val="20"/>
                <w:szCs w:val="20"/>
                <w:color w:val="auto"/>
              </w:rPr>
            </w:pPr>
            <w:r>
              <w:rPr>
                <w:rFonts w:ascii="Times New Roman" w:cs="Times New Roman" w:eastAsia="Times New Roman" w:hAnsi="Times New Roman"/>
                <w:sz w:val="10"/>
                <w:szCs w:val="10"/>
                <w:b w:val="1"/>
                <w:bCs w:val="1"/>
                <w:color w:val="auto"/>
                <w:w w:val="91"/>
              </w:rPr>
              <w:t>Current</w:t>
            </w:r>
          </w:p>
        </w:tc>
        <w:tc>
          <w:tcPr>
            <w:tcW w:w="280" w:type="dxa"/>
            <w:vAlign w:val="bottom"/>
          </w:tcPr>
          <w:p>
            <w:pPr>
              <w:spacing w:after="0"/>
              <w:rPr>
                <w:sz w:val="10"/>
                <w:szCs w:val="10"/>
                <w:color w:val="auto"/>
              </w:rPr>
            </w:pP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1120" w:type="dxa"/>
            <w:vAlign w:val="bottom"/>
            <w:gridSpan w:val="2"/>
          </w:tcPr>
          <w:p>
            <w:pPr>
              <w:jc w:val="right"/>
              <w:ind w:right="612"/>
              <w:spacing w:after="0"/>
              <w:rPr>
                <w:sz w:val="20"/>
                <w:szCs w:val="20"/>
                <w:color w:val="auto"/>
              </w:rPr>
            </w:pPr>
            <w:r>
              <w:rPr>
                <w:rFonts w:ascii="Times New Roman" w:cs="Times New Roman" w:eastAsia="Times New Roman" w:hAnsi="Times New Roman"/>
                <w:sz w:val="10"/>
                <w:szCs w:val="10"/>
                <w:b w:val="1"/>
                <w:bCs w:val="1"/>
                <w:color w:val="auto"/>
              </w:rPr>
              <w:t>Par /</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660" w:type="dxa"/>
            <w:vAlign w:val="bottom"/>
          </w:tcPr>
          <w:p>
            <w:pPr>
              <w:jc w:val="center"/>
              <w:ind w:left="172"/>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280" w:type="dxa"/>
            <w:vAlign w:val="bottom"/>
          </w:tcPr>
          <w:p>
            <w:pPr>
              <w:spacing w:after="0"/>
              <w:rPr>
                <w:sz w:val="10"/>
                <w:szCs w:val="10"/>
                <w:color w:val="auto"/>
              </w:rPr>
            </w:pPr>
          </w:p>
        </w:tc>
        <w:tc>
          <w:tcPr>
            <w:tcW w:w="1060" w:type="dxa"/>
            <w:vAlign w:val="bottom"/>
          </w:tcPr>
          <w:p>
            <w:pPr>
              <w:jc w:val="center"/>
              <w:ind w:right="11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1120" w:type="dxa"/>
            <w:vAlign w:val="bottom"/>
            <w:gridSpan w:val="2"/>
          </w:tcPr>
          <w:p>
            <w:pPr>
              <w:jc w:val="right"/>
              <w:ind w:right="55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Cost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0"/>
                <w:szCs w:val="10"/>
                <w:b w:val="1"/>
                <w:bCs w:val="1"/>
                <w:color w:val="auto"/>
                <w:w w:val="97"/>
              </w:rPr>
              <w:t xml:space="preserve">Fair Value </w:t>
            </w:r>
            <w:r>
              <w:rPr>
                <w:rFonts w:ascii="Times New Roman" w:cs="Times New Roman" w:eastAsia="Times New Roman" w:hAnsi="Times New Roman"/>
                <w:sz w:val="12"/>
                <w:szCs w:val="12"/>
                <w:b w:val="1"/>
                <w:bCs w:val="1"/>
                <w:color w:val="auto"/>
                <w:w w:val="97"/>
                <w:vertAlign w:val="superscript"/>
              </w:rPr>
              <w:t>(2)</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Topco, LP</w:t>
            </w:r>
          </w:p>
        </w:tc>
        <w:tc>
          <w:tcPr>
            <w:tcW w:w="820" w:type="dxa"/>
            <w:vAlign w:val="bottom"/>
            <w:shd w:val="clear" w:color="auto" w:fill="CCECFF"/>
          </w:tcPr>
          <w:p>
            <w:pPr>
              <w:spacing w:after="0"/>
              <w:rPr>
                <w:sz w:val="10"/>
                <w:szCs w:val="10"/>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66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296</w:t>
            </w: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296</w:t>
            </w:r>
          </w:p>
        </w:tc>
        <w:tc>
          <w:tcPr>
            <w:tcW w:w="1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199</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 L2 Holdings, LLC (Ledge Lounger, Inc.)</w:t>
            </w:r>
          </w:p>
        </w:tc>
        <w:tc>
          <w:tcPr>
            <w:tcW w:w="820" w:type="dxa"/>
            <w:vAlign w:val="bottom"/>
          </w:tcPr>
          <w:p>
            <w:pPr>
              <w:spacing w:after="0"/>
              <w:rPr>
                <w:sz w:val="10"/>
                <w:szCs w:val="1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66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360,103</w:t>
            </w: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SSC Dominion Holdings, LLC - Class B (US Dominion, Inc.)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spacing w:after="0"/>
              <w:rPr>
                <w:sz w:val="10"/>
                <w:szCs w:val="10"/>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66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12</w:t>
            </w: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1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1,385</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StellPen Holdings, LLC (CF512, Inc.) </w:t>
            </w:r>
            <w:r>
              <w:rPr>
                <w:rFonts w:ascii="Times New Roman" w:cs="Times New Roman" w:eastAsia="Times New Roman" w:hAnsi="Times New Roman"/>
                <w:sz w:val="12"/>
                <w:szCs w:val="12"/>
                <w:color w:val="auto"/>
                <w:vertAlign w:val="superscript"/>
              </w:rPr>
              <w:t>(7)</w:t>
            </w:r>
          </w:p>
        </w:tc>
        <w:tc>
          <w:tcPr>
            <w:tcW w:w="820" w:type="dxa"/>
            <w:vAlign w:val="bottom"/>
          </w:tcPr>
          <w:p>
            <w:pPr>
              <w:spacing w:after="0"/>
              <w:rPr>
                <w:sz w:val="10"/>
                <w:szCs w:val="1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66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161,538</w:t>
            </w: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SV Aero Holdings, LLC </w:t>
            </w:r>
            <w:r>
              <w:rPr>
                <w:rFonts w:ascii="Times New Roman" w:cs="Times New Roman" w:eastAsia="Times New Roman" w:hAnsi="Times New Roman"/>
                <w:sz w:val="12"/>
                <w:szCs w:val="12"/>
                <w:color w:val="auto"/>
                <w:vertAlign w:val="superscript"/>
              </w:rPr>
              <w:t>(8)</w:t>
            </w:r>
          </w:p>
        </w:tc>
        <w:tc>
          <w:tcPr>
            <w:tcW w:w="820" w:type="dxa"/>
            <w:vAlign w:val="bottom"/>
            <w:shd w:val="clear" w:color="auto" w:fill="CCECFF"/>
          </w:tcPr>
          <w:p>
            <w:pPr>
              <w:spacing w:after="0"/>
              <w:rPr>
                <w:sz w:val="10"/>
                <w:szCs w:val="10"/>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6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61</w:t>
            </w: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535</w:t>
            </w:r>
          </w:p>
        </w:tc>
        <w:tc>
          <w:tcPr>
            <w:tcW w:w="1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1,157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 xml:space="preserve">TAC LifePort Holdings, LLC </w:t>
            </w:r>
            <w:r>
              <w:rPr>
                <w:rFonts w:ascii="Times New Roman" w:cs="Times New Roman" w:eastAsia="Times New Roman" w:hAnsi="Times New Roman"/>
                <w:sz w:val="12"/>
                <w:szCs w:val="12"/>
                <w:color w:val="auto"/>
                <w:vertAlign w:val="superscript"/>
              </w:rPr>
              <w:t>(7), (8)</w:t>
            </w:r>
          </w:p>
        </w:tc>
        <w:tc>
          <w:tcPr>
            <w:tcW w:w="820" w:type="dxa"/>
            <w:vAlign w:val="bottom"/>
          </w:tcPr>
          <w:p>
            <w:pPr>
              <w:spacing w:after="0"/>
              <w:rPr>
                <w:sz w:val="10"/>
                <w:szCs w:val="1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60" w:type="dxa"/>
            <w:vAlign w:val="bottom"/>
          </w:tcPr>
          <w:p>
            <w:pPr>
              <w:spacing w:after="0"/>
              <w:rPr>
                <w:sz w:val="10"/>
                <w:szCs w:val="10"/>
                <w:color w:val="auto"/>
              </w:rPr>
            </w:pP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vMerge w:val="restart"/>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vMerge w:val="restart"/>
          </w:tcPr>
          <w:p>
            <w:pPr>
              <w:jc w:val="right"/>
              <w:ind w:right="132"/>
              <w:spacing w:after="0"/>
              <w:rPr>
                <w:sz w:val="20"/>
                <w:szCs w:val="20"/>
                <w:color w:val="auto"/>
              </w:rPr>
            </w:pPr>
            <w:r>
              <w:rPr>
                <w:rFonts w:ascii="Times New Roman" w:cs="Times New Roman" w:eastAsia="Times New Roman" w:hAnsi="Times New Roman"/>
                <w:sz w:val="10"/>
                <w:szCs w:val="10"/>
                <w:color w:val="auto"/>
              </w:rPr>
              <w:t>533,833</w:t>
            </w:r>
          </w:p>
        </w:tc>
        <w:tc>
          <w:tcPr>
            <w:tcW w:w="1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502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815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94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TCG 3.0 Jogger Co-Invest, LP</w:t>
            </w:r>
          </w:p>
        </w:tc>
        <w:tc>
          <w:tcPr>
            <w:tcW w:w="820" w:type="dxa"/>
            <w:vAlign w:val="bottom"/>
            <w:shd w:val="clear" w:color="auto" w:fill="CCECFF"/>
          </w:tcPr>
          <w:p>
            <w:pPr>
              <w:spacing w:after="0"/>
              <w:rPr>
                <w:sz w:val="10"/>
                <w:szCs w:val="10"/>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66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9,108</w:t>
            </w: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1,760</w:t>
            </w:r>
          </w:p>
        </w:tc>
        <w:tc>
          <w:tcPr>
            <w:tcW w:w="1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1,357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Tower Arch Infolinks Media, LP (Infolinks Media Buyco, LLC) </w:t>
            </w:r>
            <w:r>
              <w:rPr>
                <w:rFonts w:ascii="Times New Roman" w:cs="Times New Roman" w:eastAsia="Times New Roman" w:hAnsi="Times New Roman"/>
                <w:sz w:val="12"/>
                <w:szCs w:val="12"/>
                <w:color w:val="auto"/>
                <w:vertAlign w:val="superscript"/>
              </w:rPr>
              <w:t>(8)</w:t>
            </w:r>
          </w:p>
        </w:tc>
        <w:tc>
          <w:tcPr>
            <w:tcW w:w="820" w:type="dxa"/>
            <w:vAlign w:val="bottom"/>
          </w:tcPr>
          <w:p>
            <w:pPr>
              <w:spacing w:after="0"/>
              <w:rPr>
                <w:sz w:val="10"/>
                <w:szCs w:val="1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66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221,296</w:t>
            </w: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Tower Arch Infolinks Media, LP (Infolinks Media Buyco, LLC) </w:t>
            </w:r>
            <w:r>
              <w:rPr>
                <w:rFonts w:ascii="Times New Roman" w:cs="Times New Roman" w:eastAsia="Times New Roman" w:hAnsi="Times New Roman"/>
                <w:sz w:val="12"/>
                <w:szCs w:val="12"/>
                <w:color w:val="auto"/>
                <w:vertAlign w:val="superscript"/>
              </w:rPr>
              <w:t>(8), (9)</w:t>
            </w:r>
          </w:p>
        </w:tc>
        <w:tc>
          <w:tcPr>
            <w:tcW w:w="820" w:type="dxa"/>
            <w:vAlign w:val="bottom"/>
            <w:shd w:val="clear" w:color="auto" w:fill="CCECFF"/>
          </w:tcPr>
          <w:p>
            <w:pPr>
              <w:spacing w:after="0"/>
              <w:rPr>
                <w:sz w:val="10"/>
                <w:szCs w:val="10"/>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66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144,310</w:t>
            </w: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1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TPC Holding Company, LP </w:t>
            </w:r>
            <w:r>
              <w:rPr>
                <w:rFonts w:ascii="Times New Roman" w:cs="Times New Roman" w:eastAsia="Times New Roman" w:hAnsi="Times New Roman"/>
                <w:sz w:val="12"/>
                <w:szCs w:val="12"/>
                <w:color w:val="auto"/>
                <w:vertAlign w:val="superscript"/>
              </w:rPr>
              <w:t>(7)</w:t>
            </w:r>
          </w:p>
        </w:tc>
        <w:tc>
          <w:tcPr>
            <w:tcW w:w="820" w:type="dxa"/>
            <w:vAlign w:val="bottom"/>
          </w:tcPr>
          <w:p>
            <w:pPr>
              <w:spacing w:after="0"/>
              <w:rPr>
                <w:sz w:val="10"/>
                <w:szCs w:val="1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Food Products</w:t>
            </w:r>
          </w:p>
        </w:tc>
        <w:tc>
          <w:tcPr>
            <w:tcW w:w="66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21,527</w:t>
            </w: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TPCN Holdings, LLC - Common Equity </w:t>
            </w:r>
            <w:r>
              <w:rPr>
                <w:rFonts w:ascii="Times New Roman" w:cs="Times New Roman" w:eastAsia="Times New Roman" w:hAnsi="Times New Roman"/>
                <w:sz w:val="12"/>
                <w:szCs w:val="12"/>
                <w:color w:val="auto"/>
                <w:vertAlign w:val="superscript"/>
              </w:rPr>
              <w:t>(8)</w:t>
            </w:r>
          </w:p>
        </w:tc>
        <w:tc>
          <w:tcPr>
            <w:tcW w:w="820" w:type="dxa"/>
            <w:vAlign w:val="bottom"/>
            <w:shd w:val="clear" w:color="auto" w:fill="CCECFF"/>
          </w:tcPr>
          <w:p>
            <w:pPr>
              <w:spacing w:after="0"/>
              <w:rPr>
                <w:sz w:val="10"/>
                <w:szCs w:val="10"/>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6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1,053,200</w:t>
            </w: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1,053</w:t>
            </w:r>
          </w:p>
        </w:tc>
        <w:tc>
          <w:tcPr>
            <w:tcW w:w="1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864</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TWD Parent Holdings, LLC (The Vertex Companies, LLC) </w:t>
            </w:r>
            <w:r>
              <w:rPr>
                <w:rFonts w:ascii="Times New Roman" w:cs="Times New Roman" w:eastAsia="Times New Roman" w:hAnsi="Times New Roman"/>
                <w:sz w:val="12"/>
                <w:szCs w:val="12"/>
                <w:color w:val="auto"/>
                <w:vertAlign w:val="superscript"/>
              </w:rPr>
              <w:t>(7)</w:t>
            </w:r>
          </w:p>
        </w:tc>
        <w:tc>
          <w:tcPr>
            <w:tcW w:w="820" w:type="dxa"/>
            <w:vAlign w:val="bottom"/>
          </w:tcPr>
          <w:p>
            <w:pPr>
              <w:spacing w:after="0"/>
              <w:rPr>
                <w:sz w:val="10"/>
                <w:szCs w:val="1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66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749</w:t>
            </w: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UniTek Global Services, Inc.(C)</w:t>
            </w:r>
          </w:p>
        </w:tc>
        <w:tc>
          <w:tcPr>
            <w:tcW w:w="820" w:type="dxa"/>
            <w:vAlign w:val="bottom"/>
            <w:shd w:val="clear" w:color="auto" w:fill="CCECFF"/>
          </w:tcPr>
          <w:p>
            <w:pPr>
              <w:spacing w:after="0"/>
              <w:rPr>
                <w:sz w:val="10"/>
                <w:szCs w:val="10"/>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66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213,739</w:t>
            </w:r>
          </w:p>
        </w:tc>
        <w:tc>
          <w:tcPr>
            <w:tcW w:w="180" w:type="dxa"/>
            <w:vAlign w:val="bottom"/>
            <w:shd w:val="clear" w:color="auto" w:fill="CCECFF"/>
          </w:tcPr>
          <w:p>
            <w:pPr>
              <w:spacing w:after="0"/>
              <w:rPr>
                <w:sz w:val="10"/>
                <w:szCs w:val="10"/>
                <w:color w:val="auto"/>
              </w:rPr>
            </w:pPr>
          </w:p>
        </w:tc>
        <w:tc>
          <w:tcPr>
            <w:tcW w:w="7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UniVista Insurance </w:t>
            </w:r>
            <w:r>
              <w:rPr>
                <w:rFonts w:ascii="Times New Roman" w:cs="Times New Roman" w:eastAsia="Times New Roman" w:hAnsi="Times New Roman"/>
                <w:sz w:val="12"/>
                <w:szCs w:val="12"/>
                <w:color w:val="auto"/>
                <w:vertAlign w:val="superscript"/>
              </w:rPr>
              <w:t>(7), (8)</w:t>
            </w:r>
          </w:p>
        </w:tc>
        <w:tc>
          <w:tcPr>
            <w:tcW w:w="820" w:type="dxa"/>
            <w:vAlign w:val="bottom"/>
          </w:tcPr>
          <w:p>
            <w:pPr>
              <w:spacing w:after="0"/>
              <w:rPr>
                <w:sz w:val="10"/>
                <w:szCs w:val="1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66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400</w:t>
            </w: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Partners Co., L.P.</w:t>
            </w:r>
          </w:p>
        </w:tc>
        <w:tc>
          <w:tcPr>
            <w:tcW w:w="820" w:type="dxa"/>
            <w:vAlign w:val="bottom"/>
            <w:shd w:val="clear" w:color="auto" w:fill="CCECFF"/>
          </w:tcPr>
          <w:p>
            <w:pPr>
              <w:spacing w:after="0"/>
              <w:rPr>
                <w:sz w:val="10"/>
                <w:szCs w:val="10"/>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66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694,444</w:t>
            </w: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694</w:t>
            </w:r>
          </w:p>
        </w:tc>
        <w:tc>
          <w:tcPr>
            <w:tcW w:w="1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740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Walker Edison Holdco LLC</w:t>
            </w:r>
          </w:p>
        </w:tc>
        <w:tc>
          <w:tcPr>
            <w:tcW w:w="820" w:type="dxa"/>
            <w:vAlign w:val="bottom"/>
          </w:tcPr>
          <w:p>
            <w:pPr>
              <w:spacing w:after="0"/>
              <w:rPr>
                <w:sz w:val="10"/>
                <w:szCs w:val="1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66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36,458</w:t>
            </w: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3,393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29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66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Watchtower Holdings, LLC </w:t>
            </w:r>
            <w:r>
              <w:rPr>
                <w:rFonts w:ascii="Times New Roman" w:cs="Times New Roman" w:eastAsia="Times New Roman" w:hAnsi="Times New Roman"/>
                <w:sz w:val="12"/>
                <w:szCs w:val="12"/>
                <w:color w:val="auto"/>
                <w:vertAlign w:val="superscript"/>
              </w:rPr>
              <w:t>(8)</w:t>
            </w:r>
          </w:p>
        </w:tc>
        <w:tc>
          <w:tcPr>
            <w:tcW w:w="820" w:type="dxa"/>
            <w:vAlign w:val="bottom"/>
            <w:shd w:val="clear" w:color="auto" w:fill="CCECFF"/>
          </w:tcPr>
          <w:p>
            <w:pPr>
              <w:spacing w:after="0"/>
              <w:rPr>
                <w:sz w:val="10"/>
                <w:szCs w:val="10"/>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66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12,419</w:t>
            </w: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1,242</w:t>
            </w:r>
          </w:p>
        </w:tc>
        <w:tc>
          <w:tcPr>
            <w:tcW w:w="1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1,292</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WCP IvyRehab Coinvestment, LP </w:t>
            </w:r>
            <w:r>
              <w:rPr>
                <w:rFonts w:ascii="Times New Roman" w:cs="Times New Roman" w:eastAsia="Times New Roman" w:hAnsi="Times New Roman"/>
                <w:sz w:val="12"/>
                <w:szCs w:val="12"/>
                <w:color w:val="auto"/>
                <w:vertAlign w:val="superscript"/>
              </w:rPr>
              <w:t>(8)</w:t>
            </w:r>
          </w:p>
        </w:tc>
        <w:tc>
          <w:tcPr>
            <w:tcW w:w="820" w:type="dxa"/>
            <w:vAlign w:val="bottom"/>
          </w:tcPr>
          <w:p>
            <w:pPr>
              <w:spacing w:after="0"/>
              <w:rPr>
                <w:sz w:val="10"/>
                <w:szCs w:val="1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66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208</w:t>
            </w: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WCP IvyRehab QP CF Feeder, LP </w:t>
            </w:r>
            <w:r>
              <w:rPr>
                <w:rFonts w:ascii="Times New Roman" w:cs="Times New Roman" w:eastAsia="Times New Roman" w:hAnsi="Times New Roman"/>
                <w:sz w:val="12"/>
                <w:szCs w:val="12"/>
                <w:color w:val="auto"/>
                <w:vertAlign w:val="superscript"/>
              </w:rPr>
              <w:t>(8)</w:t>
            </w:r>
          </w:p>
        </w:tc>
        <w:tc>
          <w:tcPr>
            <w:tcW w:w="820" w:type="dxa"/>
            <w:vAlign w:val="bottom"/>
            <w:shd w:val="clear" w:color="auto" w:fill="CCECFF"/>
          </w:tcPr>
          <w:p>
            <w:pPr>
              <w:spacing w:after="0"/>
              <w:rPr>
                <w:sz w:val="10"/>
                <w:szCs w:val="10"/>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66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3,754</w:t>
            </w: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3,793</w:t>
            </w:r>
          </w:p>
        </w:tc>
        <w:tc>
          <w:tcPr>
            <w:tcW w:w="1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3,987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WCP Ivyrehab QP CF Feeder, LP. - Unfunded </w:t>
            </w:r>
            <w:r>
              <w:rPr>
                <w:rFonts w:ascii="Times New Roman" w:cs="Times New Roman" w:eastAsia="Times New Roman" w:hAnsi="Times New Roman"/>
                <w:sz w:val="12"/>
                <w:szCs w:val="12"/>
                <w:color w:val="auto"/>
                <w:vertAlign w:val="superscript"/>
              </w:rPr>
              <w:t>(8)</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2"/>
                <w:szCs w:val="12"/>
                <w:color w:val="auto"/>
                <w:vertAlign w:val="superscript"/>
              </w:rPr>
              <w:t>(9)</w:t>
            </w:r>
          </w:p>
        </w:tc>
        <w:tc>
          <w:tcPr>
            <w:tcW w:w="820" w:type="dxa"/>
            <w:vAlign w:val="bottom"/>
          </w:tcPr>
          <w:p>
            <w:pPr>
              <w:spacing w:after="0"/>
              <w:rPr>
                <w:sz w:val="10"/>
                <w:szCs w:val="1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66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246</w:t>
            </w:r>
          </w:p>
        </w:tc>
        <w:tc>
          <w:tcPr>
            <w:tcW w:w="18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29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66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Wildcat Parent, LP (Wildcat Buyerco, Inc.)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spacing w:after="0"/>
              <w:rPr>
                <w:sz w:val="10"/>
                <w:szCs w:val="10"/>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66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2,240</w:t>
            </w: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w:t>
            </w:r>
          </w:p>
        </w:tc>
        <w:tc>
          <w:tcPr>
            <w:tcW w:w="1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816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UniTek Global Services, Inc.(W)</w:t>
            </w:r>
          </w:p>
        </w:tc>
        <w:tc>
          <w:tcPr>
            <w:tcW w:w="820" w:type="dxa"/>
            <w:vAlign w:val="bottom"/>
          </w:tcPr>
          <w:p>
            <w:pPr>
              <w:spacing w:after="0"/>
              <w:rPr>
                <w:sz w:val="10"/>
                <w:szCs w:val="1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66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23,889</w:t>
            </w:r>
          </w:p>
        </w:tc>
        <w:tc>
          <w:tcPr>
            <w:tcW w:w="18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Kentucky Racing Holdco, LLC (Warrants) </w:t>
            </w:r>
            <w:r>
              <w:rPr>
                <w:rFonts w:ascii="Times New Roman" w:cs="Times New Roman" w:eastAsia="Times New Roman" w:hAnsi="Times New Roman"/>
                <w:sz w:val="12"/>
                <w:szCs w:val="12"/>
                <w:color w:val="auto"/>
                <w:vertAlign w:val="superscript"/>
              </w:rPr>
              <w:t>(8)</w:t>
            </w:r>
          </w:p>
        </w:tc>
        <w:tc>
          <w:tcPr>
            <w:tcW w:w="82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87,345</w:t>
            </w:r>
          </w:p>
        </w:tc>
        <w:tc>
          <w:tcPr>
            <w:tcW w:w="18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927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Equity/Warrants</w:t>
            </w:r>
          </w:p>
        </w:tc>
        <w:tc>
          <w:tcPr>
            <w:tcW w:w="8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115,289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139,207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Non-Controlled, Non-Affiliated Portfolio</w:t>
            </w:r>
          </w:p>
        </w:tc>
        <w:tc>
          <w:tcPr>
            <w:tcW w:w="820" w:type="dxa"/>
            <w:vAlign w:val="bottom"/>
            <w:shd w:val="clear" w:color="auto" w:fill="CCECFF"/>
          </w:tcPr>
          <w:p>
            <w:pPr>
              <w:spacing w:after="0"/>
              <w:rPr>
                <w:sz w:val="10"/>
                <w:szCs w:val="10"/>
                <w:color w:val="auto"/>
              </w:rPr>
            </w:pPr>
          </w:p>
        </w:tc>
        <w:tc>
          <w:tcPr>
            <w:tcW w:w="200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Companies</w:t>
            </w:r>
          </w:p>
        </w:tc>
        <w:tc>
          <w:tcPr>
            <w:tcW w:w="820" w:type="dxa"/>
            <w:vAlign w:val="bottom"/>
            <w:shd w:val="clear" w:color="auto" w:fill="CCECFF"/>
          </w:tcPr>
          <w:p>
            <w:pPr>
              <w:spacing w:after="0"/>
              <w:rPr>
                <w:sz w:val="10"/>
                <w:szCs w:val="10"/>
                <w:color w:val="auto"/>
              </w:rPr>
            </w:pPr>
          </w:p>
        </w:tc>
        <w:tc>
          <w:tcPr>
            <w:tcW w:w="200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1,622,669</w:t>
            </w:r>
          </w:p>
        </w:tc>
        <w:tc>
          <w:tcPr>
            <w:tcW w:w="1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1,632,269</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w w:val="99"/>
              </w:rPr>
              <w:t xml:space="preserve">Investments in Controlled, Affiliated Portfolio Companies - 40.0% </w:t>
            </w:r>
            <w:r>
              <w:rPr>
                <w:rFonts w:ascii="Times New Roman" w:cs="Times New Roman" w:eastAsia="Times New Roman" w:hAnsi="Times New Roman"/>
                <w:sz w:val="12"/>
                <w:szCs w:val="12"/>
                <w:color w:val="auto"/>
                <w:w w:val="99"/>
                <w:vertAlign w:val="superscript"/>
              </w:rPr>
              <w:t>(3), (4)</w:t>
            </w:r>
          </w:p>
        </w:tc>
        <w:tc>
          <w:tcPr>
            <w:tcW w:w="8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- 31.3%</w:t>
            </w:r>
          </w:p>
        </w:tc>
        <w:tc>
          <w:tcPr>
            <w:tcW w:w="820" w:type="dxa"/>
            <w:vAlign w:val="bottom"/>
            <w:shd w:val="clear" w:color="auto" w:fill="CCECFF"/>
          </w:tcPr>
          <w:p>
            <w:pPr>
              <w:spacing w:after="0"/>
              <w:rPr>
                <w:sz w:val="10"/>
                <w:szCs w:val="10"/>
                <w:color w:val="auto"/>
              </w:rPr>
            </w:pPr>
          </w:p>
        </w:tc>
        <w:tc>
          <w:tcPr>
            <w:tcW w:w="200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 xml:space="preserve">Marketplace Events, LLC - Super Priority First Lien Term Loan </w:t>
            </w:r>
            <w:r>
              <w:rPr>
                <w:rFonts w:ascii="Times New Roman" w:cs="Times New Roman" w:eastAsia="Times New Roman" w:hAnsi="Times New Roman"/>
                <w:sz w:val="12"/>
                <w:szCs w:val="12"/>
                <w:color w:val="auto"/>
                <w:vertAlign w:val="superscript"/>
              </w:rPr>
              <w:t>(7)</w:t>
            </w:r>
          </w:p>
        </w:tc>
        <w:tc>
          <w:tcPr>
            <w:tcW w:w="820" w:type="dxa"/>
            <w:vAlign w:val="bottom"/>
            <w:vMerge w:val="restart"/>
          </w:tcPr>
          <w:p>
            <w:pPr>
              <w:jc w:val="center"/>
              <w:ind w:right="12"/>
              <w:spacing w:after="0"/>
              <w:rPr>
                <w:sz w:val="20"/>
                <w:szCs w:val="20"/>
                <w:color w:val="auto"/>
              </w:rPr>
            </w:pPr>
            <w:r>
              <w:rPr>
                <w:rFonts w:ascii="Times New Roman" w:cs="Times New Roman" w:eastAsia="Times New Roman" w:hAnsi="Times New Roman"/>
                <w:sz w:val="10"/>
                <w:szCs w:val="10"/>
                <w:color w:val="auto"/>
                <w:w w:val="96"/>
              </w:rPr>
              <w:t>09/30/2025</w:t>
            </w: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660" w:type="dxa"/>
            <w:vAlign w:val="bottom"/>
            <w:vMerge w:val="restart"/>
          </w:tcPr>
          <w:p>
            <w:pPr>
              <w:jc w:val="center"/>
              <w:ind w:left="132"/>
              <w:spacing w:after="0"/>
              <w:rPr>
                <w:sz w:val="20"/>
                <w:szCs w:val="20"/>
                <w:color w:val="auto"/>
              </w:rPr>
            </w:pPr>
            <w:r>
              <w:rPr>
                <w:rFonts w:ascii="Times New Roman" w:cs="Times New Roman" w:eastAsia="Times New Roman" w:hAnsi="Times New Roman"/>
                <w:sz w:val="10"/>
                <w:szCs w:val="10"/>
                <w:color w:val="auto"/>
                <w:w w:val="90"/>
              </w:rPr>
              <w:t>10.26%</w:t>
            </w:r>
          </w:p>
        </w:tc>
        <w:tc>
          <w:tcPr>
            <w:tcW w:w="280" w:type="dxa"/>
            <w:vAlign w:val="bottom"/>
          </w:tcPr>
          <w:p>
            <w:pPr>
              <w:spacing w:after="0"/>
              <w:rPr>
                <w:sz w:val="10"/>
                <w:szCs w:val="10"/>
                <w:color w:val="auto"/>
              </w:rPr>
            </w:pPr>
          </w:p>
        </w:tc>
        <w:tc>
          <w:tcPr>
            <w:tcW w:w="1060" w:type="dxa"/>
            <w:vAlign w:val="bottom"/>
            <w:vMerge w:val="restart"/>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SOFR+540</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10,213</w:t>
            </w:r>
          </w:p>
        </w:tc>
        <w:tc>
          <w:tcPr>
            <w:tcW w:w="1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10,213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10,213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9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20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Marketplace Events, LLC - Super Priority First Lien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09/30/2025</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66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3,122</w:t>
            </w:r>
          </w:p>
        </w:tc>
        <w:tc>
          <w:tcPr>
            <w:tcW w:w="180" w:type="dxa"/>
            <w:vAlign w:val="bottom"/>
            <w:shd w:val="clear" w:color="auto" w:fill="CCECFF"/>
          </w:tcPr>
          <w:p>
            <w:pPr>
              <w:spacing w:after="0"/>
              <w:rPr>
                <w:sz w:val="10"/>
                <w:szCs w:val="10"/>
                <w:color w:val="auto"/>
              </w:rPr>
            </w:pPr>
          </w:p>
        </w:tc>
        <w:tc>
          <w:tcPr>
            <w:tcW w:w="7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Marketplace Events, LLC</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09/30/2026</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6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0"/>
              </w:rPr>
              <w:t>10.26%</w:t>
            </w:r>
          </w:p>
        </w:tc>
        <w:tc>
          <w:tcPr>
            <w:tcW w:w="28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SOFR+540</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26,771</w:t>
            </w: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22,558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26,771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PennantPark Senior Secured Loan Fund I LLC </w:t>
            </w:r>
            <w:r>
              <w:rPr>
                <w:rFonts w:ascii="Times New Roman" w:cs="Times New Roman" w:eastAsia="Times New Roman" w:hAnsi="Times New Roman"/>
                <w:sz w:val="12"/>
                <w:szCs w:val="12"/>
                <w:color w:val="auto"/>
                <w:vertAlign w:val="superscript"/>
              </w:rPr>
              <w:t>(7), (10)</w:t>
            </w:r>
          </w:p>
        </w:tc>
        <w:tc>
          <w:tcPr>
            <w:tcW w:w="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05/06/2029</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6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0"/>
              </w:rPr>
              <w:t>13.28%</w:t>
            </w:r>
          </w:p>
        </w:tc>
        <w:tc>
          <w:tcPr>
            <w:tcW w:w="280" w:type="dxa"/>
            <w:vAlign w:val="bottom"/>
            <w:shd w:val="clear" w:color="auto" w:fill="CCECFF"/>
          </w:tcPr>
          <w:p>
            <w:pPr>
              <w:spacing w:after="0"/>
              <w:rPr>
                <w:sz w:val="10"/>
                <w:szCs w:val="10"/>
                <w:color w:val="auto"/>
              </w:rPr>
            </w:pPr>
          </w:p>
        </w:tc>
        <w:tc>
          <w:tcPr>
            <w:tcW w:w="106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3M SOFR+800</w:t>
            </w:r>
          </w:p>
        </w:tc>
        <w:tc>
          <w:tcPr>
            <w:tcW w:w="9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237,650</w:t>
            </w: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237,650</w:t>
            </w:r>
          </w:p>
        </w:tc>
        <w:tc>
          <w:tcPr>
            <w:tcW w:w="1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237,650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8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270,421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274,634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Equity Interests - 8.7%</w:t>
            </w:r>
          </w:p>
        </w:tc>
        <w:tc>
          <w:tcPr>
            <w:tcW w:w="820" w:type="dxa"/>
            <w:vAlign w:val="bottom"/>
            <w:shd w:val="clear" w:color="auto" w:fill="CCECFF"/>
          </w:tcPr>
          <w:p>
            <w:pPr>
              <w:spacing w:after="0"/>
              <w:rPr>
                <w:sz w:val="10"/>
                <w:szCs w:val="10"/>
                <w:color w:val="auto"/>
              </w:rPr>
            </w:pPr>
          </w:p>
        </w:tc>
        <w:tc>
          <w:tcPr>
            <w:tcW w:w="200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New MPE Holdings, LLC - Common Equity </w:t>
            </w:r>
            <w:r>
              <w:rPr>
                <w:rFonts w:ascii="Times New Roman" w:cs="Times New Roman" w:eastAsia="Times New Roman" w:hAnsi="Times New Roman"/>
                <w:sz w:val="12"/>
                <w:szCs w:val="12"/>
                <w:color w:val="auto"/>
                <w:vertAlign w:val="superscript"/>
              </w:rPr>
              <w:t>(8)</w:t>
            </w:r>
          </w:p>
        </w:tc>
        <w:tc>
          <w:tcPr>
            <w:tcW w:w="820" w:type="dxa"/>
            <w:vAlign w:val="bottom"/>
          </w:tcPr>
          <w:p>
            <w:pPr>
              <w:spacing w:after="0"/>
              <w:rPr>
                <w:sz w:val="10"/>
                <w:szCs w:val="1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66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349</w:t>
            </w:r>
          </w:p>
        </w:tc>
        <w:tc>
          <w:tcPr>
            <w:tcW w:w="18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20,123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PennantPark Senior Secured Loan Fund I LLC </w:t>
            </w:r>
            <w:r>
              <w:rPr>
                <w:rFonts w:ascii="Times New Roman" w:cs="Times New Roman" w:eastAsia="Times New Roman" w:hAnsi="Times New Roman"/>
                <w:sz w:val="12"/>
                <w:szCs w:val="12"/>
                <w:color w:val="auto"/>
                <w:vertAlign w:val="superscript"/>
              </w:rPr>
              <w:t>(7), (10)</w:t>
            </w:r>
          </w:p>
        </w:tc>
        <w:tc>
          <w:tcPr>
            <w:tcW w:w="820" w:type="dxa"/>
            <w:vAlign w:val="bottom"/>
            <w:shd w:val="clear" w:color="auto" w:fill="CCECFF"/>
          </w:tcPr>
          <w:p>
            <w:pPr>
              <w:spacing w:after="0"/>
              <w:rPr>
                <w:sz w:val="10"/>
                <w:szCs w:val="10"/>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66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101,850</w:t>
            </w: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101,850</w:t>
            </w:r>
          </w:p>
        </w:tc>
        <w:tc>
          <w:tcPr>
            <w:tcW w:w="1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56,478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Equity Interests</w:t>
            </w:r>
          </w:p>
        </w:tc>
        <w:tc>
          <w:tcPr>
            <w:tcW w:w="8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101,850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76,601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Controlled, Affiliated Portfolio Companies</w:t>
            </w:r>
          </w:p>
        </w:tc>
        <w:tc>
          <w:tcPr>
            <w:tcW w:w="820" w:type="dxa"/>
            <w:vAlign w:val="bottom"/>
            <w:shd w:val="clear" w:color="auto" w:fill="CCECFF"/>
          </w:tcPr>
          <w:p>
            <w:pPr>
              <w:spacing w:after="0"/>
              <w:rPr>
                <w:sz w:val="10"/>
                <w:szCs w:val="10"/>
                <w:color w:val="auto"/>
              </w:rPr>
            </w:pPr>
          </w:p>
        </w:tc>
        <w:tc>
          <w:tcPr>
            <w:tcW w:w="200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372,271</w:t>
            </w:r>
          </w:p>
        </w:tc>
        <w:tc>
          <w:tcPr>
            <w:tcW w:w="1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351,235</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Total Investments - 226.1% </w:t>
            </w:r>
            <w:r>
              <w:rPr>
                <w:rFonts w:ascii="Times New Roman" w:cs="Times New Roman" w:eastAsia="Times New Roman" w:hAnsi="Times New Roman"/>
                <w:sz w:val="12"/>
                <w:szCs w:val="12"/>
                <w:color w:val="auto"/>
                <w:vertAlign w:val="superscript"/>
              </w:rPr>
              <w:t>(12)</w:t>
            </w:r>
          </w:p>
        </w:tc>
        <w:tc>
          <w:tcPr>
            <w:tcW w:w="8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1,994,940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1,983,504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- 12.8%</w:t>
            </w:r>
          </w:p>
        </w:tc>
        <w:tc>
          <w:tcPr>
            <w:tcW w:w="820" w:type="dxa"/>
            <w:vAlign w:val="bottom"/>
            <w:shd w:val="clear" w:color="auto" w:fill="CCECFF"/>
          </w:tcPr>
          <w:p>
            <w:pPr>
              <w:spacing w:after="0"/>
              <w:rPr>
                <w:sz w:val="10"/>
                <w:szCs w:val="10"/>
                <w:color w:val="auto"/>
              </w:rPr>
            </w:pPr>
          </w:p>
        </w:tc>
        <w:tc>
          <w:tcPr>
            <w:tcW w:w="200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Money Market - BlackRock Federal FD Institutional 81</w:t>
            </w:r>
          </w:p>
        </w:tc>
        <w:tc>
          <w:tcPr>
            <w:tcW w:w="8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6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2"/>
              </w:rPr>
              <w:t>5.03%</w:t>
            </w: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22,211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22,211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94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Non-Money Market Cash</w:t>
            </w:r>
          </w:p>
        </w:tc>
        <w:tc>
          <w:tcPr>
            <w:tcW w:w="820" w:type="dxa"/>
            <w:vAlign w:val="bottom"/>
            <w:shd w:val="clear" w:color="auto" w:fill="CCECFF"/>
          </w:tcPr>
          <w:p>
            <w:pPr>
              <w:spacing w:after="0"/>
              <w:rPr>
                <w:sz w:val="10"/>
                <w:szCs w:val="10"/>
                <w:color w:val="auto"/>
              </w:rPr>
            </w:pPr>
          </w:p>
        </w:tc>
        <w:tc>
          <w:tcPr>
            <w:tcW w:w="200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89,835</w:t>
            </w:r>
          </w:p>
        </w:tc>
        <w:tc>
          <w:tcPr>
            <w:tcW w:w="1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89,839</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940" w:type="dxa"/>
            <w:vAlign w:val="bottom"/>
            <w:vMerge w:val="continue"/>
            <w:shd w:val="clear" w:color="auto" w:fill="CCECFF"/>
          </w:tcPr>
          <w:p>
            <w:pPr>
              <w:spacing w:after="0"/>
              <w:rPr>
                <w:sz w:val="5"/>
                <w:szCs w:val="5"/>
                <w:color w:val="auto"/>
              </w:rPr>
            </w:pPr>
          </w:p>
        </w:tc>
        <w:tc>
          <w:tcPr>
            <w:tcW w:w="820" w:type="dxa"/>
            <w:vAlign w:val="bottom"/>
            <w:shd w:val="clear" w:color="auto" w:fill="CCECFF"/>
          </w:tcPr>
          <w:p>
            <w:pPr>
              <w:spacing w:after="0"/>
              <w:rPr>
                <w:sz w:val="5"/>
                <w:szCs w:val="5"/>
                <w:color w:val="auto"/>
              </w:rPr>
            </w:pPr>
          </w:p>
        </w:tc>
        <w:tc>
          <w:tcPr>
            <w:tcW w:w="2000" w:type="dxa"/>
            <w:vAlign w:val="bottom"/>
            <w:shd w:val="clear" w:color="auto" w:fill="CCECFF"/>
          </w:tcPr>
          <w:p>
            <w:pPr>
              <w:spacing w:after="0"/>
              <w:rPr>
                <w:sz w:val="5"/>
                <w:szCs w:val="5"/>
                <w:color w:val="auto"/>
              </w:rPr>
            </w:pPr>
          </w:p>
        </w:tc>
        <w:tc>
          <w:tcPr>
            <w:tcW w:w="660" w:type="dxa"/>
            <w:vAlign w:val="bottom"/>
            <w:shd w:val="clear" w:color="auto" w:fill="CCECFF"/>
          </w:tcPr>
          <w:p>
            <w:pPr>
              <w:spacing w:after="0"/>
              <w:rPr>
                <w:sz w:val="5"/>
                <w:szCs w:val="5"/>
                <w:color w:val="auto"/>
              </w:rPr>
            </w:pPr>
          </w:p>
        </w:tc>
        <w:tc>
          <w:tcPr>
            <w:tcW w:w="280" w:type="dxa"/>
            <w:vAlign w:val="bottom"/>
            <w:shd w:val="clear" w:color="auto" w:fill="CCECFF"/>
          </w:tcPr>
          <w:p>
            <w:pPr>
              <w:spacing w:after="0"/>
              <w:rPr>
                <w:sz w:val="5"/>
                <w:szCs w:val="5"/>
                <w:color w:val="auto"/>
              </w:rPr>
            </w:pPr>
          </w:p>
        </w:tc>
        <w:tc>
          <w:tcPr>
            <w:tcW w:w="1060" w:type="dxa"/>
            <w:vAlign w:val="bottom"/>
            <w:shd w:val="clear" w:color="auto" w:fill="CCECFF"/>
          </w:tcPr>
          <w:p>
            <w:pPr>
              <w:spacing w:after="0"/>
              <w:rPr>
                <w:sz w:val="5"/>
                <w:szCs w:val="5"/>
                <w:color w:val="auto"/>
              </w:rPr>
            </w:pPr>
          </w:p>
        </w:tc>
        <w:tc>
          <w:tcPr>
            <w:tcW w:w="940" w:type="dxa"/>
            <w:vAlign w:val="bottom"/>
            <w:shd w:val="clear" w:color="auto" w:fill="CCECFF"/>
          </w:tcPr>
          <w:p>
            <w:pPr>
              <w:spacing w:after="0"/>
              <w:rPr>
                <w:sz w:val="5"/>
                <w:szCs w:val="5"/>
                <w:color w:val="auto"/>
              </w:rPr>
            </w:pPr>
          </w:p>
        </w:tc>
        <w:tc>
          <w:tcPr>
            <w:tcW w:w="180" w:type="dxa"/>
            <w:vAlign w:val="bottom"/>
            <w:shd w:val="clear" w:color="auto" w:fill="CCECFF"/>
          </w:tcPr>
          <w:p>
            <w:pPr>
              <w:spacing w:after="0"/>
              <w:rPr>
                <w:sz w:val="5"/>
                <w:szCs w:val="5"/>
                <w:color w:val="auto"/>
              </w:rPr>
            </w:pPr>
          </w:p>
        </w:tc>
        <w:tc>
          <w:tcPr>
            <w:tcW w:w="600" w:type="dxa"/>
            <w:vAlign w:val="bottom"/>
            <w:shd w:val="clear" w:color="auto" w:fill="CCECFF"/>
          </w:tcPr>
          <w:p>
            <w:pPr>
              <w:spacing w:after="0"/>
              <w:rPr>
                <w:sz w:val="5"/>
                <w:szCs w:val="5"/>
                <w:color w:val="auto"/>
              </w:rPr>
            </w:pPr>
          </w:p>
        </w:tc>
        <w:tc>
          <w:tcPr>
            <w:tcW w:w="100" w:type="dxa"/>
            <w:vAlign w:val="bottom"/>
            <w:shd w:val="clear" w:color="auto" w:fill="CCECFF"/>
          </w:tcPr>
          <w:p>
            <w:pPr>
              <w:spacing w:after="0"/>
              <w:rPr>
                <w:sz w:val="5"/>
                <w:szCs w:val="5"/>
                <w:color w:val="auto"/>
              </w:rPr>
            </w:pPr>
          </w:p>
        </w:tc>
        <w:tc>
          <w:tcPr>
            <w:tcW w:w="80" w:type="dxa"/>
            <w:vAlign w:val="bottom"/>
            <w:shd w:val="clear" w:color="auto" w:fill="CCECFF"/>
          </w:tcPr>
          <w:p>
            <w:pPr>
              <w:spacing w:after="0"/>
              <w:rPr>
                <w:sz w:val="5"/>
                <w:szCs w:val="5"/>
                <w:color w:val="auto"/>
              </w:rPr>
            </w:pPr>
          </w:p>
        </w:tc>
        <w:tc>
          <w:tcPr>
            <w:tcW w:w="100" w:type="dxa"/>
            <w:vAlign w:val="bottom"/>
            <w:shd w:val="clear" w:color="auto" w:fill="CCECFF"/>
          </w:tcPr>
          <w:p>
            <w:pPr>
              <w:spacing w:after="0"/>
              <w:rPr>
                <w:sz w:val="5"/>
                <w:szCs w:val="5"/>
                <w:color w:val="auto"/>
              </w:rPr>
            </w:pPr>
          </w:p>
        </w:tc>
        <w:tc>
          <w:tcPr>
            <w:tcW w:w="700" w:type="dxa"/>
            <w:vAlign w:val="bottom"/>
            <w:shd w:val="clear" w:color="auto" w:fill="CCECFF"/>
          </w:tcPr>
          <w:p>
            <w:pPr>
              <w:spacing w:after="0"/>
              <w:rPr>
                <w:sz w:val="5"/>
                <w:szCs w:val="5"/>
                <w:color w:val="auto"/>
              </w:rPr>
            </w:pPr>
          </w:p>
        </w:tc>
        <w:tc>
          <w:tcPr>
            <w:tcW w:w="100" w:type="dxa"/>
            <w:vAlign w:val="bottom"/>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8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112,046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112,050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940" w:type="dxa"/>
            <w:vAlign w:val="bottom"/>
            <w:tcBorders>
              <w:bottom w:val="single" w:sz="8" w:color="CCECFF"/>
            </w:tcBorders>
            <w:shd w:val="clear" w:color="auto" w:fill="CCEC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Total Investments and Cash Equivalents - 238.9%</w:t>
            </w:r>
          </w:p>
        </w:tc>
        <w:tc>
          <w:tcPr>
            <w:tcW w:w="820" w:type="dxa"/>
            <w:vAlign w:val="bottom"/>
            <w:tcBorders>
              <w:bottom w:val="single" w:sz="8" w:color="CCECFF"/>
            </w:tcBorders>
            <w:shd w:val="clear" w:color="auto" w:fill="CCECFF"/>
          </w:tcPr>
          <w:p>
            <w:pPr>
              <w:spacing w:after="0"/>
              <w:rPr>
                <w:sz w:val="13"/>
                <w:szCs w:val="13"/>
                <w:color w:val="auto"/>
              </w:rPr>
            </w:pPr>
          </w:p>
        </w:tc>
        <w:tc>
          <w:tcPr>
            <w:tcW w:w="2000" w:type="dxa"/>
            <w:vAlign w:val="bottom"/>
            <w:tcBorders>
              <w:bottom w:val="single" w:sz="8" w:color="CCECFF"/>
            </w:tcBorders>
            <w:shd w:val="clear" w:color="auto" w:fill="CCECFF"/>
          </w:tcPr>
          <w:p>
            <w:pPr>
              <w:spacing w:after="0"/>
              <w:rPr>
                <w:sz w:val="13"/>
                <w:szCs w:val="13"/>
                <w:color w:val="auto"/>
              </w:rPr>
            </w:pPr>
          </w:p>
        </w:tc>
        <w:tc>
          <w:tcPr>
            <w:tcW w:w="66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CCECFF"/>
            </w:tcBorders>
            <w:shd w:val="clear" w:color="auto" w:fill="CCECFF"/>
          </w:tcPr>
          <w:p>
            <w:pPr>
              <w:spacing w:after="0"/>
              <w:rPr>
                <w:sz w:val="13"/>
                <w:szCs w:val="13"/>
                <w:color w:val="auto"/>
              </w:rPr>
            </w:pPr>
          </w:p>
        </w:tc>
        <w:tc>
          <w:tcPr>
            <w:tcW w:w="1060" w:type="dxa"/>
            <w:vAlign w:val="bottom"/>
            <w:tcBorders>
              <w:bottom w:val="single" w:sz="8" w:color="CCECFF"/>
            </w:tcBorders>
            <w:shd w:val="clear" w:color="auto" w:fill="CCECFF"/>
          </w:tcPr>
          <w:p>
            <w:pPr>
              <w:spacing w:after="0"/>
              <w:rPr>
                <w:sz w:val="13"/>
                <w:szCs w:val="13"/>
                <w:color w:val="auto"/>
              </w:rPr>
            </w:pPr>
          </w:p>
        </w:tc>
        <w:tc>
          <w:tcPr>
            <w:tcW w:w="94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auto"/>
            </w:tcBorders>
            <w:shd w:val="clear" w:color="auto" w:fill="D5EF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shd w:val="clear" w:color="auto" w:fill="D5EFFF"/>
          </w:tcPr>
          <w:p>
            <w:pPr>
              <w:jc w:val="right"/>
              <w:spacing w:after="0"/>
              <w:rPr>
                <w:sz w:val="20"/>
                <w:szCs w:val="20"/>
                <w:color w:val="auto"/>
              </w:rPr>
            </w:pPr>
            <w:r>
              <w:rPr>
                <w:rFonts w:ascii="Times New Roman" w:cs="Times New Roman" w:eastAsia="Times New Roman" w:hAnsi="Times New Roman"/>
                <w:sz w:val="10"/>
                <w:szCs w:val="10"/>
                <w:color w:val="auto"/>
              </w:rPr>
              <w:t>2,106,986</w:t>
            </w:r>
          </w:p>
        </w:tc>
        <w:tc>
          <w:tcPr>
            <w:tcW w:w="100" w:type="dxa"/>
            <w:vAlign w:val="bottom"/>
            <w:tcBorders>
              <w:bottom w:val="single" w:sz="8" w:color="D5EFFF"/>
            </w:tcBorders>
            <w:shd w:val="clear" w:color="auto" w:fill="D5EFFF"/>
          </w:tcPr>
          <w:p>
            <w:pPr>
              <w:spacing w:after="0"/>
              <w:rPr>
                <w:sz w:val="13"/>
                <w:szCs w:val="13"/>
                <w:color w:val="auto"/>
              </w:rPr>
            </w:pPr>
          </w:p>
        </w:tc>
        <w:tc>
          <w:tcPr>
            <w:tcW w:w="8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D5EF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shd w:val="clear" w:color="auto" w:fill="D5EFFF"/>
          </w:tcPr>
          <w:p>
            <w:pPr>
              <w:jc w:val="right"/>
              <w:spacing w:after="0"/>
              <w:rPr>
                <w:sz w:val="20"/>
                <w:szCs w:val="20"/>
                <w:color w:val="auto"/>
              </w:rPr>
            </w:pPr>
            <w:r>
              <w:rPr>
                <w:rFonts w:ascii="Times New Roman" w:cs="Times New Roman" w:eastAsia="Times New Roman" w:hAnsi="Times New Roman"/>
                <w:sz w:val="10"/>
                <w:szCs w:val="10"/>
                <w:color w:val="auto"/>
              </w:rPr>
              <w:t>2,095,554</w:t>
            </w:r>
          </w:p>
        </w:tc>
        <w:tc>
          <w:tcPr>
            <w:tcW w:w="100" w:type="dxa"/>
            <w:vAlign w:val="bottom"/>
            <w:tcBorders>
              <w:bottom w:val="single" w:sz="8" w:color="D5EFFF"/>
            </w:tcBorders>
            <w:shd w:val="clear" w:color="auto" w:fill="D5EFFF"/>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2940" w:type="dxa"/>
            <w:vAlign w:val="bottom"/>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Liabilities in Excess of Other Assets - (138.9)%</w:t>
            </w:r>
          </w:p>
        </w:tc>
        <w:tc>
          <w:tcPr>
            <w:tcW w:w="8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tcPr>
          <w:p>
            <w:pPr>
              <w:jc w:val="right"/>
              <w:ind w:right="60"/>
              <w:spacing w:after="0" w:line="96" w:lineRule="exact"/>
              <w:rPr>
                <w:sz w:val="20"/>
                <w:szCs w:val="20"/>
                <w:color w:val="auto"/>
              </w:rPr>
            </w:pPr>
            <w:r>
              <w:rPr>
                <w:rFonts w:ascii="Times New Roman" w:cs="Times New Roman" w:eastAsia="Times New Roman" w:hAnsi="Times New Roman"/>
                <w:sz w:val="10"/>
                <w:szCs w:val="10"/>
                <w:color w:val="auto"/>
              </w:rPr>
              <w:t>(1,218,260 )</w:t>
            </w:r>
          </w:p>
        </w:tc>
        <w:tc>
          <w:tcPr>
            <w:tcW w:w="0" w:type="dxa"/>
            <w:vAlign w:val="bottom"/>
          </w:tcPr>
          <w:p>
            <w:pPr>
              <w:spacing w:after="0"/>
              <w:rPr>
                <w:sz w:val="1"/>
                <w:szCs w:val="1"/>
                <w:color w:val="auto"/>
              </w:rPr>
            </w:pPr>
          </w:p>
        </w:tc>
      </w:tr>
      <w:tr>
        <w:trPr>
          <w:trHeight w:val="160"/>
        </w:trPr>
        <w:tc>
          <w:tcPr>
            <w:tcW w:w="2940" w:type="dxa"/>
            <w:vAlign w:val="bottom"/>
            <w:tcBorders>
              <w:bottom w:val="single" w:sz="8" w:color="CCECFF"/>
            </w:tcBorders>
            <w:shd w:val="clear" w:color="auto" w:fill="CCEC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Net Assets - 100%</w:t>
            </w:r>
          </w:p>
        </w:tc>
        <w:tc>
          <w:tcPr>
            <w:tcW w:w="820" w:type="dxa"/>
            <w:vAlign w:val="bottom"/>
            <w:tcBorders>
              <w:bottom w:val="single" w:sz="8" w:color="CCECFF"/>
            </w:tcBorders>
            <w:shd w:val="clear" w:color="auto" w:fill="CCECFF"/>
          </w:tcPr>
          <w:p>
            <w:pPr>
              <w:spacing w:after="0"/>
              <w:rPr>
                <w:sz w:val="13"/>
                <w:szCs w:val="13"/>
                <w:color w:val="auto"/>
              </w:rPr>
            </w:pPr>
          </w:p>
        </w:tc>
        <w:tc>
          <w:tcPr>
            <w:tcW w:w="2000" w:type="dxa"/>
            <w:vAlign w:val="bottom"/>
            <w:tcBorders>
              <w:bottom w:val="single" w:sz="8" w:color="CCECFF"/>
            </w:tcBorders>
            <w:shd w:val="clear" w:color="auto" w:fill="CCECFF"/>
          </w:tcPr>
          <w:p>
            <w:pPr>
              <w:spacing w:after="0"/>
              <w:rPr>
                <w:sz w:val="13"/>
                <w:szCs w:val="13"/>
                <w:color w:val="auto"/>
              </w:rPr>
            </w:pPr>
          </w:p>
        </w:tc>
        <w:tc>
          <w:tcPr>
            <w:tcW w:w="66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CCECFF"/>
            </w:tcBorders>
            <w:shd w:val="clear" w:color="auto" w:fill="CCECFF"/>
          </w:tcPr>
          <w:p>
            <w:pPr>
              <w:spacing w:after="0"/>
              <w:rPr>
                <w:sz w:val="13"/>
                <w:szCs w:val="13"/>
                <w:color w:val="auto"/>
              </w:rPr>
            </w:pPr>
          </w:p>
        </w:tc>
        <w:tc>
          <w:tcPr>
            <w:tcW w:w="1060" w:type="dxa"/>
            <w:vAlign w:val="bottom"/>
            <w:tcBorders>
              <w:bottom w:val="single" w:sz="8" w:color="CCECFF"/>
            </w:tcBorders>
            <w:shd w:val="clear" w:color="auto" w:fill="CCECFF"/>
          </w:tcPr>
          <w:p>
            <w:pPr>
              <w:spacing w:after="0"/>
              <w:rPr>
                <w:sz w:val="13"/>
                <w:szCs w:val="13"/>
                <w:color w:val="auto"/>
              </w:rPr>
            </w:pPr>
          </w:p>
        </w:tc>
        <w:tc>
          <w:tcPr>
            <w:tcW w:w="94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60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D5EF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shd w:val="clear" w:color="auto" w:fill="D5EFFF"/>
          </w:tcPr>
          <w:p>
            <w:pPr>
              <w:jc w:val="right"/>
              <w:spacing w:after="0"/>
              <w:rPr>
                <w:sz w:val="20"/>
                <w:szCs w:val="20"/>
                <w:color w:val="auto"/>
              </w:rPr>
            </w:pPr>
            <w:r>
              <w:rPr>
                <w:rFonts w:ascii="Times New Roman" w:cs="Times New Roman" w:eastAsia="Times New Roman" w:hAnsi="Times New Roman"/>
                <w:sz w:val="10"/>
                <w:szCs w:val="10"/>
                <w:color w:val="auto"/>
              </w:rPr>
              <w:t>877,294</w:t>
            </w:r>
          </w:p>
        </w:tc>
        <w:tc>
          <w:tcPr>
            <w:tcW w:w="100" w:type="dxa"/>
            <w:vAlign w:val="bottom"/>
            <w:tcBorders>
              <w:bottom w:val="single" w:sz="8" w:color="D5EFFF"/>
            </w:tcBorders>
            <w:shd w:val="clear" w:color="auto" w:fill="D5EFFF"/>
          </w:tcPr>
          <w:p>
            <w:pPr>
              <w:spacing w:after="0"/>
              <w:rPr>
                <w:sz w:val="13"/>
                <w:szCs w:val="13"/>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Secured Overnight Financing Rate, or “SOFR”, or Prime rate, or “P, or Sterling Overnight Index Average, or “SONIA.” The spread may change based on the type of rate used. The terms in the Schedule of Investments disclose the actual interest rate in effect as of the reporting period. SOFR loans are typically indexed to a 30-day, 90-day or 180-day SOFR rates (1M S, 3M S, or 6M S, respectively) at the borrower’s option. SONIA loans are typically indexed daily for GBP loans with a quarterly frequency payment. All securities are subject to a SOFR or Prime rate floor where a spread is provided, unless noted. The spread provided includes PIK interest and other fee rates, if any.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1"/>
          <w:szCs w:val="11"/>
          <w:color w:val="auto"/>
        </w:rPr>
        <w:t>Valued based on our accounting policy (See Note 2). The value of all securities was determined using significant unobservable inputs (See Note 5).</w:t>
      </w:r>
    </w:p>
    <w:p>
      <w:pPr>
        <w:ind w:right="40"/>
        <w:spacing w:after="0" w:line="216" w:lineRule="auto"/>
        <w:rPr>
          <w:sz w:val="20"/>
          <w:szCs w:val="20"/>
          <w:color w:val="auto"/>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1"/>
          <w:szCs w:val="11"/>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17"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1"/>
          <w:szCs w:val="11"/>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1"/>
          <w:szCs w:val="11"/>
          <w:color w:val="auto"/>
        </w:rPr>
        <w:t>Partial non-accrual PIK Securities</w:t>
      </w:r>
    </w:p>
    <w:p>
      <w:pPr>
        <w:spacing w:after="0" w:line="226" w:lineRule="auto"/>
        <w:rPr>
          <w:sz w:val="20"/>
          <w:szCs w:val="20"/>
          <w:color w:val="auto"/>
        </w:rPr>
      </w:pPr>
      <w:r>
        <w:rPr>
          <w:rFonts w:ascii="Times New Roman" w:cs="Times New Roman" w:eastAsia="Times New Roman" w:hAnsi="Times New Roman"/>
          <w:sz w:val="21"/>
          <w:szCs w:val="21"/>
          <w:color w:val="auto"/>
          <w:vertAlign w:val="superscript"/>
        </w:rPr>
        <w:t>(6)</w:t>
      </w:r>
      <w:r>
        <w:rPr>
          <w:rFonts w:ascii="Times New Roman" w:cs="Times New Roman" w:eastAsia="Times New Roman" w:hAnsi="Times New Roman"/>
          <w:sz w:val="11"/>
          <w:szCs w:val="11"/>
          <w:color w:val="auto"/>
        </w:rPr>
        <w:t>Non-income producing securities.</w:t>
      </w:r>
    </w:p>
    <w:p>
      <w:pPr>
        <w:spacing w:after="0" w:line="1" w:lineRule="exact"/>
        <w:rPr>
          <w:sz w:val="20"/>
          <w:szCs w:val="20"/>
          <w:color w:val="auto"/>
        </w:rPr>
      </w:pPr>
    </w:p>
    <w:p>
      <w:pPr>
        <w:ind w:right="160"/>
        <w:spacing w:after="0" w:line="216" w:lineRule="auto"/>
        <w:rPr>
          <w:sz w:val="20"/>
          <w:szCs w:val="20"/>
          <w:color w:val="auto"/>
        </w:rPr>
      </w:pPr>
      <w:r>
        <w:rPr>
          <w:rFonts w:ascii="Times New Roman" w:cs="Times New Roman" w:eastAsia="Times New Roman" w:hAnsi="Times New Roman"/>
          <w:sz w:val="21"/>
          <w:szCs w:val="21"/>
          <w:color w:val="auto"/>
          <w:vertAlign w:val="superscript"/>
        </w:rPr>
        <w:t>(7)</w:t>
      </w:r>
      <w:r>
        <w:rPr>
          <w:rFonts w:ascii="Times New Roman" w:cs="Times New Roman" w:eastAsia="Times New Roman" w:hAnsi="Times New Roman"/>
          <w:sz w:val="11"/>
          <w:szCs w:val="11"/>
          <w:color w:val="auto"/>
        </w:rPr>
        <w:t>The securities, or a portion thereof, are 1) pledged as collateral under the Credit Facility and held through Funding I; or 2) securing the 2036-R Asset-Backed Debt and held through PennantPark CLO I, Ltd.; or 3) 2036 Asset-Backed Debt and held through PennantPark CLO VIII, Ltd.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(8)</w:t>
      </w:r>
      <w:r>
        <w:rPr>
          <w:rFonts w:ascii="Times New Roman" w:cs="Times New Roman" w:eastAsia="Times New Roman" w:hAnsi="Times New Roman"/>
          <w:sz w:val="11"/>
          <w:szCs w:val="11"/>
          <w:color w:val="auto"/>
        </w:rPr>
        <w:t>Investment is held through our Taxable Subsidiary.</w:t>
      </w:r>
    </w:p>
    <w:p>
      <w:pPr>
        <w:spacing w:after="0" w:line="226" w:lineRule="auto"/>
        <w:rPr>
          <w:sz w:val="20"/>
          <w:szCs w:val="20"/>
          <w:color w:val="auto"/>
        </w:rPr>
      </w:pPr>
      <w:r>
        <w:rPr>
          <w:rFonts w:ascii="Times New Roman" w:cs="Times New Roman" w:eastAsia="Times New Roman" w:hAnsi="Times New Roman"/>
          <w:sz w:val="21"/>
          <w:szCs w:val="21"/>
          <w:color w:val="auto"/>
          <w:vertAlign w:val="superscript"/>
        </w:rPr>
        <w:t>(9)</w:t>
      </w:r>
      <w:r>
        <w:rPr>
          <w:rFonts w:ascii="Times New Roman" w:cs="Times New Roman" w:eastAsia="Times New Roman" w:hAnsi="Times New Roman"/>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21"/>
          <w:szCs w:val="21"/>
          <w:color w:val="auto"/>
          <w:vertAlign w:val="superscript"/>
        </w:rPr>
        <w:t>(10)</w:t>
      </w:r>
      <w:r>
        <w:rPr>
          <w:rFonts w:ascii="Times New Roman" w:cs="Times New Roman" w:eastAsia="Times New Roman" w:hAnsi="Times New Roman"/>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2024, qualifying assets represent 86% of our total assets and non-qualifying assets represent 14% of our total assets.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(11)</w:t>
      </w:r>
      <w:r>
        <w:rPr>
          <w:rFonts w:ascii="Times New Roman" w:cs="Times New Roman" w:eastAsia="Times New Roman" w:hAnsi="Times New Roman"/>
          <w:sz w:val="10"/>
          <w:szCs w:val="10"/>
          <w:color w:val="auto"/>
        </w:rPr>
        <w:t>Non-accrual security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(12)</w:t>
      </w:r>
      <w:r>
        <w:rPr>
          <w:rFonts w:ascii="Times New Roman" w:cs="Times New Roman" w:eastAsia="Times New Roman" w:hAnsi="Times New Roman"/>
          <w:sz w:val="10"/>
          <w:szCs w:val="10"/>
          <w:color w:val="auto"/>
        </w:rPr>
        <w:t>All investments are in US Companies unless noted otherwise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23" w:name="page24"/>
    <w:bookmarkEnd w:id="23"/>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 ORGANIZATION</w:t>
      </w:r>
    </w:p>
    <w:p>
      <w:pPr>
        <w:spacing w:after="0" w:line="189" w:lineRule="exact"/>
        <w:rPr>
          <w:sz w:val="20"/>
          <w:szCs w:val="20"/>
          <w:color w:val="auto"/>
        </w:rPr>
      </w:pPr>
    </w:p>
    <w:p>
      <w:pPr>
        <w:ind w:right="260" w:firstLine="420"/>
        <w:spacing w:after="0" w:line="268" w:lineRule="auto"/>
        <w:rPr>
          <w:sz w:val="20"/>
          <w:szCs w:val="20"/>
          <w:color w:val="auto"/>
        </w:rPr>
      </w:pPr>
      <w:r>
        <w:rPr>
          <w:rFonts w:ascii="Times New Roman" w:cs="Times New Roman" w:eastAsia="Times New Roman" w:hAnsi="Times New Roman"/>
          <w:sz w:val="13"/>
          <w:szCs w:val="13"/>
          <w:color w:val="auto"/>
        </w:rPr>
        <w:t>PennantPark Floating Rate Capital Ltd. was organized as a Maryland corporation in October 2010. We are a closed-end, externally managed, non-diversified investment company that has elected to be treated as a BDC under the 1940 Act. On April 14, 2022, trading of the Company’s common stock commenced on the New York Stock Exchange after the Company voluntarily withdrew the principal listing of its common stock from the Nasdaq Stock Market LLC effective at market close on April 13, 2022.</w:t>
      </w:r>
    </w:p>
    <w:p>
      <w:pPr>
        <w:spacing w:after="0" w:line="123" w:lineRule="exact"/>
        <w:rPr>
          <w:sz w:val="20"/>
          <w:szCs w:val="20"/>
          <w:color w:val="auto"/>
        </w:rPr>
      </w:pPr>
    </w:p>
    <w:p>
      <w:pPr>
        <w:ind w:firstLine="420"/>
        <w:spacing w:after="0" w:line="257" w:lineRule="auto"/>
        <w:rPr>
          <w:sz w:val="20"/>
          <w:szCs w:val="20"/>
          <w:color w:val="auto"/>
        </w:rPr>
      </w:pPr>
      <w:r>
        <w:rPr>
          <w:rFonts w:ascii="Times New Roman" w:cs="Times New Roman" w:eastAsia="Times New Roman" w:hAnsi="Times New Roman"/>
          <w:sz w:val="13"/>
          <w:szCs w:val="13"/>
          <w:color w:val="auto"/>
        </w:rPr>
        <w:t>Our investment objectives are to generate both current income and capital appreciation while seeking to preserve capital. We seek to achieve our investment objective by investing primarily in floating rate loans, and other investments made to U.S. middle- market private companies whose debt is rated below investment grade. Floating rate loans pay interest at variable rates, which are determined periodically, on the basis of a floating base lending rate such as SOFR, with or without a floor, plus a fixed spread. Under normal market conditions, we generally expect that at least 80% of the value of our managed assets will be invested in floating rate loans and other investments bearing a variable rate of interest, which may include, from time to time, variable rate derivative instruments. We generally expect that first lien secured debt will represent at least 65% of our overall portfolio. We generally expect to invest up to 35% of our overall portfolio opportunistically in other types of investments, including second lien secured debt, subordinated debt, and, to a lesser extent, equity investments.</w:t>
      </w:r>
    </w:p>
    <w:p>
      <w:pPr>
        <w:spacing w:after="0" w:line="132" w:lineRule="exact"/>
        <w:rPr>
          <w:sz w:val="20"/>
          <w:szCs w:val="20"/>
          <w:color w:val="auto"/>
        </w:rPr>
      </w:pPr>
    </w:p>
    <w:p>
      <w:pPr>
        <w:ind w:right="1540" w:firstLine="420"/>
        <w:spacing w:after="0" w:line="256" w:lineRule="auto"/>
        <w:rPr>
          <w:sz w:val="20"/>
          <w:szCs w:val="20"/>
          <w:color w:val="auto"/>
        </w:rPr>
      </w:pPr>
      <w:r>
        <w:rPr>
          <w:rFonts w:ascii="Times New Roman" w:cs="Times New Roman" w:eastAsia="Times New Roman" w:hAnsi="Times New Roman"/>
          <w:sz w:val="13"/>
          <w:szCs w:val="13"/>
          <w:color w:val="auto"/>
        </w:rPr>
        <w:t>We execute our investment strategy directly and through our wholly owned subsidiaries, our unconsolidated joint venture and unconsolidated limited partnership. The term “subsidiary” means entities that primarily engage in investment activities in securities or other assets and are wholly owned by us. The Company does not intend to create or acquire primary control of any entity which primarily engages in investment activities of securities or other assets other than entities wholly owned by the Company. We comply with the provisions of Section 18 of the 1940 Act governing capital structure and leverage on an aggregate basis with our subsidiaries. Our subsidiaries comply with the provisions of Section 17 of the 1940 Act related to affiliated transactions and custody. To the extent that the Company forms a subsidiary advised by an investment adviser other than the Investment Adviser, the investment adviser to such subsidiaries will comply with the provisions of the 1940 Act relating to investment advisory contracts, including but not limited to, Section 15, as if it were an investment adviser to the Company under Section 2(a)(20) of the 1940 Act.</w:t>
      </w:r>
    </w:p>
    <w:p>
      <w:pPr>
        <w:spacing w:after="0" w:line="132" w:lineRule="exact"/>
        <w:rPr>
          <w:sz w:val="20"/>
          <w:szCs w:val="20"/>
          <w:color w:val="auto"/>
        </w:rPr>
      </w:pPr>
    </w:p>
    <w:p>
      <w:pPr>
        <w:ind w:right="140" w:firstLine="420"/>
        <w:spacing w:after="0" w:line="268" w:lineRule="auto"/>
        <w:rPr>
          <w:sz w:val="20"/>
          <w:szCs w:val="20"/>
          <w:color w:val="auto"/>
        </w:rPr>
      </w:pPr>
      <w:r>
        <w:rPr>
          <w:rFonts w:ascii="Times New Roman" w:cs="Times New Roman" w:eastAsia="Times New Roman" w:hAnsi="Times New Roman"/>
          <w:sz w:val="13"/>
          <w:szCs w:val="13"/>
          <w:color w:val="auto"/>
        </w:rPr>
        <w:t>We have entered into an investment management agreement, or (the "Investment Management Agreement"), with PennantPark Investment Advisers LLC (the "Investment Adviser"), an external adviser that manages our day-to-day operations. We have also entered into an administration agreement, or (the "Administration Agreement"), with PennantPark Investment Administration LLC (the "Administrator"), which provides the administrative services necessary for us to operate.</w:t>
      </w:r>
    </w:p>
    <w:p>
      <w:pPr>
        <w:spacing w:after="0" w:line="123" w:lineRule="exact"/>
        <w:rPr>
          <w:sz w:val="20"/>
          <w:szCs w:val="20"/>
          <w:color w:val="auto"/>
        </w:rPr>
      </w:pPr>
    </w:p>
    <w:p>
      <w:pPr>
        <w:jc w:val="both"/>
        <w:ind w:right="240" w:firstLine="420"/>
        <w:spacing w:after="0" w:line="268" w:lineRule="auto"/>
        <w:rPr>
          <w:sz w:val="20"/>
          <w:szCs w:val="20"/>
          <w:color w:val="auto"/>
        </w:rPr>
      </w:pPr>
      <w:r>
        <w:rPr>
          <w:rFonts w:ascii="Times New Roman" w:cs="Times New Roman" w:eastAsia="Times New Roman" w:hAnsi="Times New Roman"/>
          <w:sz w:val="13"/>
          <w:szCs w:val="13"/>
          <w:color w:val="auto"/>
        </w:rPr>
        <w:t>Funding I, our wholly- owned subsidiary and a special purpose entity, was organized in Delaware as a limited liability company in May 2011. We formed Funding I in order to establish a credit facility. The Investment Adviser serves as the collateral manager to Funding I and has irrevocably directed that any management fee owed with respect to such services is to be paid to us so long as the Investment Adviser remains the collateral manager. This arrangement does not increase our consolidated management fee.</w:t>
      </w:r>
    </w:p>
    <w:p>
      <w:pPr>
        <w:spacing w:after="0" w:line="123" w:lineRule="exact"/>
        <w:rPr>
          <w:sz w:val="20"/>
          <w:szCs w:val="20"/>
          <w:color w:val="auto"/>
        </w:rPr>
      </w:pPr>
    </w:p>
    <w:p>
      <w:pPr>
        <w:ind w:right="100" w:firstLine="420"/>
        <w:spacing w:after="0" w:line="286" w:lineRule="auto"/>
        <w:rPr>
          <w:sz w:val="20"/>
          <w:szCs w:val="20"/>
          <w:color w:val="auto"/>
        </w:rPr>
      </w:pPr>
      <w:r>
        <w:rPr>
          <w:rFonts w:ascii="Times New Roman" w:cs="Times New Roman" w:eastAsia="Times New Roman" w:hAnsi="Times New Roman"/>
          <w:sz w:val="13"/>
          <w:szCs w:val="13"/>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12" w:lineRule="exact"/>
        <w:rPr>
          <w:sz w:val="20"/>
          <w:szCs w:val="20"/>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 See Note 4.</w:t>
      </w:r>
    </w:p>
    <w:p>
      <w:pPr>
        <w:spacing w:after="0" w:line="112"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In November 2017, we issued $138.6 million of our 2023 Notes. The principal on the 2023 Notes were payable in four annual installments as follows: 15% of the original principal amount on December 15, 2020, 15% of the original principal amount on December 15, 2021, 15% of the original principal amount on December 15, 2022 and 55% on December 15, 2023. On December 15, 2023, the remaining 2023 Notes were repaid in full. The 2023 Notes were general, unsecured obligations and ranked equal in right of payment with all of our existing and future senior unsecured indebtedness. The 2023 Notes were listed on the TASE. In connection with this offering, we dual listed our common stock on the TASE.</w:t>
      </w:r>
    </w:p>
    <w:p>
      <w:pPr>
        <w:spacing w:after="0" w:line="127" w:lineRule="exact"/>
        <w:rPr>
          <w:sz w:val="20"/>
          <w:szCs w:val="20"/>
          <w:color w:val="auto"/>
        </w:rPr>
      </w:pPr>
    </w:p>
    <w:p>
      <w:pPr>
        <w:jc w:val="both"/>
        <w:ind w:right="360" w:firstLine="420"/>
        <w:spacing w:after="0" w:line="286" w:lineRule="auto"/>
        <w:rPr>
          <w:sz w:val="20"/>
          <w:szCs w:val="20"/>
          <w:color w:val="auto"/>
        </w:rPr>
      </w:pPr>
      <w:r>
        <w:rPr>
          <w:rFonts w:ascii="Times New Roman" w:cs="Times New Roman" w:eastAsia="Times New Roman" w:hAnsi="Times New Roman"/>
          <w:sz w:val="13"/>
          <w:szCs w:val="13"/>
          <w:color w:val="auto"/>
        </w:rPr>
        <w:t>On February 7, 2024, the Company filed a notice with the Israel Securities Authority and the Tel Aviv Stock Exchange Ltd (the “TASE”) voluntarily requesting to delist the Company’s common stock from trading on the TASE. The last day of trading on the TASE was May 6, 2024 and the delisting of the Company’s common stock from the TASE took effect on May 8, 2024.</w:t>
      </w:r>
    </w:p>
    <w:p>
      <w:pPr>
        <w:spacing w:after="0" w:line="112" w:lineRule="exact"/>
        <w:rPr>
          <w:sz w:val="20"/>
          <w:szCs w:val="20"/>
          <w:color w:val="auto"/>
        </w:rPr>
      </w:pPr>
    </w:p>
    <w:p>
      <w:pPr>
        <w:ind w:right="100" w:firstLine="420"/>
        <w:spacing w:after="0" w:line="259" w:lineRule="auto"/>
        <w:rPr>
          <w:sz w:val="20"/>
          <w:szCs w:val="20"/>
          <w:color w:val="auto"/>
        </w:rPr>
      </w:pPr>
      <w:r>
        <w:rPr>
          <w:rFonts w:ascii="Times New Roman" w:cs="Times New Roman" w:eastAsia="Times New Roman" w:hAnsi="Times New Roman"/>
          <w:sz w:val="13"/>
          <w:szCs w:val="13"/>
          <w:color w:val="auto"/>
        </w:rPr>
        <w:t>In September 2019, the Securitization Issuers completed the Debt Securitization. The 2031 Asset-Backed Debt is secured by a diversified portfolio of the Securitization Issuer consisting primarily of middle market loans and participation interests in middle market loans. The 2031 Asset-Backed Debt is scheduled to mature on October 15, 2031. On the closing date of the Debt Securitization, in consideration of our transfer to the Securitization Issuer of the initial closing date loan portfolio, which included loans distributed to us by certain of our wholly-owned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See Note 10.</w:t>
      </w:r>
    </w:p>
    <w:p>
      <w:pPr>
        <w:spacing w:after="0" w:line="130" w:lineRule="exact"/>
        <w:rPr>
          <w:sz w:val="20"/>
          <w:szCs w:val="20"/>
          <w:color w:val="auto"/>
        </w:rPr>
      </w:pPr>
    </w:p>
    <w:p>
      <w:pPr>
        <w:ind w:right="40" w:firstLine="420"/>
        <w:spacing w:after="0" w:line="268" w:lineRule="auto"/>
        <w:rPr>
          <w:sz w:val="20"/>
          <w:szCs w:val="20"/>
          <w:color w:val="auto"/>
        </w:rPr>
      </w:pPr>
      <w:r>
        <w:rPr>
          <w:rFonts w:ascii="Times New Roman" w:cs="Times New Roman" w:eastAsia="Times New Roman" w:hAnsi="Times New Roman"/>
          <w:sz w:val="13"/>
          <w:szCs w:val="13"/>
          <w:color w:val="auto"/>
        </w:rPr>
        <w:t>In July 2024, the 2031 Asset-Backed Debt was refinanced through a $351.0 million debt securitization in the form of a collateralized loan obligation, or the "2036-R Asset-Backed Debt". The Company retained $85.0 million of the debt securitization. The 2036-R Asset-Backed Debt is secured by a diversified portfolio of primarily middle market loans and participation interest in middle market loans. The 2036-R Asset Backed Debt is schedule to mature in July 2036.</w:t>
      </w:r>
    </w:p>
    <w:p>
      <w:pPr>
        <w:spacing w:after="0" w:line="123" w:lineRule="exact"/>
        <w:rPr>
          <w:sz w:val="20"/>
          <w:szCs w:val="20"/>
          <w:color w:val="auto"/>
        </w:rPr>
      </w:pPr>
    </w:p>
    <w:p>
      <w:pPr>
        <w:jc w:val="both"/>
        <w:ind w:right="220" w:firstLine="420"/>
        <w:spacing w:after="0" w:line="262" w:lineRule="auto"/>
        <w:rPr>
          <w:sz w:val="20"/>
          <w:szCs w:val="20"/>
          <w:color w:val="auto"/>
        </w:rPr>
      </w:pPr>
      <w:r>
        <w:rPr>
          <w:rFonts w:ascii="Times New Roman" w:cs="Times New Roman" w:eastAsia="Times New Roman" w:hAnsi="Times New Roman"/>
          <w:sz w:val="13"/>
          <w:szCs w:val="13"/>
          <w:color w:val="auto"/>
        </w:rPr>
        <w:t>On February 22, 2024, the 2036 Securitization Issuer completed the 2036 Debt Securitization. The 2036 Asset-Backed Debt is secured by a diversified portfolio of the 2036-Securitization Issuer consisting primarily of middle market loans and participation interests in middle market loans. The 2036 Asset-Backed Debt is scheduled to mature in April 2036. On the closing date of the 2036 Debt Securitization, in consideration of our transfer to the 2036 Securitization Issuer of the initial closing date loan portfolio, which included loans distributed to us by certain of our wholly-owned subsidiaries. See Note 10.</w:t>
      </w:r>
    </w:p>
    <w:p>
      <w:pPr>
        <w:spacing w:after="0" w:line="127" w:lineRule="exact"/>
        <w:rPr>
          <w:sz w:val="20"/>
          <w:szCs w:val="20"/>
          <w:color w:val="auto"/>
        </w:rPr>
      </w:pPr>
    </w:p>
    <w:p>
      <w:pPr>
        <w:ind w:right="120" w:firstLine="420"/>
        <w:spacing w:after="0" w:line="256" w:lineRule="auto"/>
        <w:rPr>
          <w:sz w:val="20"/>
          <w:szCs w:val="20"/>
          <w:color w:val="auto"/>
        </w:rPr>
      </w:pPr>
      <w:r>
        <w:rPr>
          <w:rFonts w:ascii="Times New Roman" w:cs="Times New Roman" w:eastAsia="Times New Roman" w:hAnsi="Times New Roman"/>
          <w:sz w:val="13"/>
          <w:szCs w:val="13"/>
          <w:color w:val="auto"/>
        </w:rPr>
        <w:t>In March 2021 and October 2021, we issued $100.0 million and $85.0 million, respectively, in aggregate principal amount of our 2026 Notes at a public offering price per note of 99.4% and 101.5% respectively. Interest on the 2026 Notes is paid semi- annually on April 1 and October 1 of each year, at a rate of 4.25% per year, commencing October 1, 2021. The 2026 Notes mature on April 1, 2026 and may be redeemed in whole or in part at our option subject to a make- whole premium if redeemed more than three months prior to maturity. The 2026 Notes are general, unsecured obligations and rank equal in right of payment with all of our existing and future senior unsecured indebtedness.</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408940</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132" w:right="700"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73" w:lineRule="exact"/>
        <w:rPr>
          <w:sz w:val="20"/>
          <w:szCs w:val="20"/>
          <w:color w:val="auto"/>
        </w:rPr>
      </w:pPr>
    </w:p>
    <w:p>
      <w:pPr>
        <w:ind w:right="20" w:firstLine="420"/>
        <w:spacing w:after="0" w:line="268" w:lineRule="auto"/>
        <w:rPr>
          <w:sz w:val="20"/>
          <w:szCs w:val="20"/>
          <w:color w:val="auto"/>
        </w:rPr>
      </w:pPr>
      <w:r>
        <w:rPr>
          <w:rFonts w:ascii="Times New Roman" w:cs="Times New Roman" w:eastAsia="Times New Roman" w:hAnsi="Times New Roman"/>
          <w:sz w:val="13"/>
          <w:szCs w:val="13"/>
          <w:color w:val="auto"/>
        </w:rPr>
        <w:t>The 2026 Notes are effectively subordinated to our existing and future secured indebtedness to the extent of the value of the assets securing such indebtedness and are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23" w:lineRule="exact"/>
        <w:rPr>
          <w:sz w:val="20"/>
          <w:szCs w:val="20"/>
          <w:color w:val="auto"/>
        </w:rPr>
      </w:pPr>
    </w:p>
    <w:p>
      <w:pPr>
        <w:ind w:right="40" w:firstLine="330"/>
        <w:spacing w:after="0" w:line="258" w:lineRule="auto"/>
        <w:rPr>
          <w:sz w:val="20"/>
          <w:szCs w:val="20"/>
          <w:color w:val="auto"/>
        </w:rPr>
      </w:pPr>
      <w:r>
        <w:rPr>
          <w:rFonts w:ascii="Times New Roman" w:cs="Times New Roman" w:eastAsia="Times New Roman" w:hAnsi="Times New Roman"/>
          <w:sz w:val="13"/>
          <w:szCs w:val="13"/>
          <w:color w:val="auto"/>
        </w:rPr>
        <w:t>In April 2021, we formed PennantPark -TSO Senior Loan Fund LP ("PTSF"), an unconsolidated limited partnership, organized as a Delaware limited liability partnership. We sold $81.4 million in investments to a wholly-owned subsidiary of PTSF in exchange for cash in the amount of $69.5 million and an $11.9 million equity interest in PTSF representing 23.08% of the total outstanding Class A Units of PTSF. We recognized $0.4 million of realized gain upon the formation of PTSF. As of December 31, 2024, our capital commitment of $15.3 million is fully funded and we hold</w:t>
      </w:r>
    </w:p>
    <w:p>
      <w:pPr>
        <w:ind w:right="260"/>
        <w:spacing w:after="0" w:line="263" w:lineRule="auto"/>
        <w:rPr>
          <w:sz w:val="20"/>
          <w:szCs w:val="20"/>
          <w:color w:val="auto"/>
        </w:rPr>
      </w:pPr>
      <w:r>
        <w:rPr>
          <w:rFonts w:ascii="Times New Roman" w:cs="Times New Roman" w:eastAsia="Times New Roman" w:hAnsi="Times New Roman"/>
          <w:sz w:val="13"/>
          <w:szCs w:val="13"/>
          <w:color w:val="auto"/>
        </w:rPr>
        <w:t>23.08% of the total outstanding Class A Units of PTSF and a 4.99% voting interest in the general partner which manages PTSF. PTSF also invests primarily in middle-market and other corporate debt securities consistent with our strategy.</w:t>
      </w:r>
    </w:p>
    <w:p>
      <w:pPr>
        <w:spacing w:after="0" w:line="127" w:lineRule="exact"/>
        <w:rPr>
          <w:sz w:val="20"/>
          <w:szCs w:val="20"/>
          <w:color w:val="auto"/>
        </w:rPr>
      </w:pPr>
    </w:p>
    <w:p>
      <w:pPr>
        <w:ind w:right="140" w:firstLine="420"/>
        <w:spacing w:after="0" w:line="259" w:lineRule="auto"/>
        <w:rPr>
          <w:sz w:val="20"/>
          <w:szCs w:val="20"/>
          <w:color w:val="auto"/>
        </w:rPr>
      </w:pPr>
      <w:r>
        <w:rPr>
          <w:rFonts w:ascii="Times New Roman" w:cs="Times New Roman" w:eastAsia="Times New Roman" w:hAnsi="Times New Roman"/>
          <w:sz w:val="13"/>
          <w:szCs w:val="13"/>
          <w:color w:val="auto"/>
        </w:rPr>
        <w:t>On February 4, 2022, we formed PFLT Investment Holdings II, LLC, a Delaware limited liability company (“Holdings II”), as a wholly owned subsidiary. On December 31, 2022, we contributed 100% of our interests in PFLT Investment Holdings, LLC ( “Holdings”) to Holdings II. Effective as of January 1, 2024, Holdings II elected to be treated as a corporation for U.S. federal income tax purposes. On January 3, 2024, we purchased an equity interest in Holdings from Holdings II and Holdings became a partnership for U.S. federal income tax purposes. The company and Holdings II entered into a limited liability company agreement with respect to Holdings that provides for certain payments and the sharing of income, gain, loss and deductions attributable to Holdings’ investments.</w:t>
      </w:r>
    </w:p>
    <w:p>
      <w:pPr>
        <w:spacing w:after="0" w:line="130" w:lineRule="exact"/>
        <w:rPr>
          <w:sz w:val="20"/>
          <w:szCs w:val="20"/>
          <w:color w:val="auto"/>
        </w:rPr>
      </w:pPr>
    </w:p>
    <w:p>
      <w:pPr>
        <w:ind w:right="560" w:firstLine="420"/>
        <w:spacing w:after="0" w:line="286" w:lineRule="auto"/>
        <w:rPr>
          <w:sz w:val="20"/>
          <w:szCs w:val="20"/>
          <w:color w:val="auto"/>
        </w:rPr>
      </w:pPr>
      <w:r>
        <w:rPr>
          <w:rFonts w:ascii="Times New Roman" w:cs="Times New Roman" w:eastAsia="Times New Roman" w:hAnsi="Times New Roman"/>
          <w:sz w:val="13"/>
          <w:szCs w:val="13"/>
          <w:color w:val="auto"/>
        </w:rPr>
        <w:t>In July 2024, the Company established a $500.0 million ATM Program and terminated the existing $250.0 million ATM Program, each an at-the-market offering program, or "ATM Program", and together "ATM Programs".</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During three months ended December 31, 2024 and 2023, we issued 7,276,000 and zero shares of our Common Stock, respectively, under ATM Programs at a weighted-average price of</w:t>
      </w:r>
    </w:p>
    <w:p>
      <w:pPr>
        <w:spacing w:after="0" w:line="21"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3"/>
          <w:szCs w:val="13"/>
          <w:color w:val="auto"/>
        </w:rPr>
        <w:t>$11.30 and zero per share, respectively, raising $82.2 million and zero of net proceeds after commissions to the sales agents and inclusive of proceeds from the Investment Adviser to ensure that all shares were sold at or above NAV. During the quarter ended December 31, 2024 and 2023, we incurred less than $0.1 million and zero, respectively, of legal and other offering costs associated with establishing the ATM Programs. As of December 31, 2024 and September 30, 2024, we had $355.0 million and $437.3 million available under the respective ATM Programs.</w:t>
      </w:r>
    </w:p>
    <w:p>
      <w:pPr>
        <w:spacing w:after="0" w:line="130" w:lineRule="exact"/>
        <w:rPr>
          <w:sz w:val="20"/>
          <w:szCs w:val="20"/>
          <w:color w:val="auto"/>
        </w:rPr>
      </w:pPr>
    </w:p>
    <w:p>
      <w:pPr>
        <w:ind w:right="420" w:firstLine="420"/>
        <w:spacing w:after="0" w:line="268" w:lineRule="auto"/>
        <w:rPr>
          <w:sz w:val="20"/>
          <w:szCs w:val="20"/>
          <w:color w:val="auto"/>
        </w:rPr>
      </w:pPr>
      <w:r>
        <w:rPr>
          <w:rFonts w:ascii="Times New Roman" w:cs="Times New Roman" w:eastAsia="Times New Roman" w:hAnsi="Times New Roman"/>
          <w:sz w:val="13"/>
          <w:szCs w:val="13"/>
          <w:color w:val="auto"/>
        </w:rPr>
        <w:t>We are operated by a person who has claimed an exclusion from the definition of the term “commodity pool operator” under the Commodity Exchange Act of 1936, as amended, or the Commodity Exchange Act.The Investment Advisor intends to continue to affirm the exclusion on an annual basis and therefore, does not expect to be subject to registration or regulation as a commodity pool operator under the Commodity Exchange Act.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 SIGNIFICANT ACCOUNTING POLICIES</w:t>
      </w:r>
    </w:p>
    <w:p>
      <w:pPr>
        <w:spacing w:after="0" w:line="165" w:lineRule="exact"/>
        <w:rPr>
          <w:sz w:val="20"/>
          <w:szCs w:val="20"/>
          <w:color w:val="auto"/>
        </w:rPr>
      </w:pPr>
    </w:p>
    <w:p>
      <w:pPr>
        <w:ind w:firstLine="420"/>
        <w:spacing w:after="0" w:line="256" w:lineRule="auto"/>
        <w:rPr>
          <w:sz w:val="20"/>
          <w:szCs w:val="20"/>
          <w:color w:val="auto"/>
        </w:rPr>
      </w:pPr>
      <w:r>
        <w:rPr>
          <w:rFonts w:ascii="Times New Roman" w:cs="Times New Roman" w:eastAsia="Times New Roman" w:hAnsi="Times New Roman"/>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 worthiness of our portfolio companies, and any other parameters used in determining these estimates and assumptions could cause actual results to differ from these estimates and assumptions. We may reclassify certain prior period amounts to conform to the current period presentation. We have eliminated all intercompany balances and transactions.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32" w:lineRule="exact"/>
        <w:rPr>
          <w:sz w:val="20"/>
          <w:szCs w:val="20"/>
          <w:color w:val="auto"/>
        </w:rPr>
      </w:pPr>
    </w:p>
    <w:p>
      <w:pPr>
        <w:jc w:val="both"/>
        <w:ind w:right="120" w:firstLine="420"/>
        <w:spacing w:after="0" w:line="268" w:lineRule="auto"/>
        <w:rPr>
          <w:sz w:val="20"/>
          <w:szCs w:val="20"/>
          <w:color w:val="auto"/>
        </w:rPr>
      </w:pPr>
      <w:r>
        <w:rPr>
          <w:rFonts w:ascii="Times New Roman" w:cs="Times New Roman" w:eastAsia="Times New Roman" w:hAnsi="Times New Roman"/>
          <w:sz w:val="13"/>
          <w:szCs w:val="13"/>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significant accounting policies consistently applied are as follows:</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(a) Investment Valuations</w:t>
      </w:r>
    </w:p>
    <w:p>
      <w:pPr>
        <w:spacing w:after="0" w:line="167" w:lineRule="exact"/>
        <w:rPr>
          <w:sz w:val="20"/>
          <w:szCs w:val="20"/>
          <w:color w:val="auto"/>
        </w:rPr>
      </w:pPr>
    </w:p>
    <w:p>
      <w:pPr>
        <w:ind w:right="40" w:firstLine="420"/>
        <w:spacing w:after="0" w:line="256" w:lineRule="auto"/>
        <w:rPr>
          <w:sz w:val="20"/>
          <w:szCs w:val="20"/>
          <w:color w:val="auto"/>
        </w:rPr>
      </w:pPr>
      <w:r>
        <w:rPr>
          <w:rFonts w:ascii="Times New Roman" w:cs="Times New Roman" w:eastAsia="Times New Roman" w:hAnsi="Times New Roman"/>
          <w:sz w:val="13"/>
          <w:szCs w:val="13"/>
          <w:color w:val="auto"/>
        </w:rPr>
        <w:t>We expect that there may not be readily available market values for many of the investments, which are or will be in our portfolio.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32"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12" w:lineRule="exact"/>
        <w:rPr>
          <w:sz w:val="20"/>
          <w:szCs w:val="20"/>
          <w:color w:val="auto"/>
        </w:rPr>
      </w:pPr>
    </w:p>
    <w:p>
      <w:pPr>
        <w:ind w:left="420" w:right="340"/>
        <w:spacing w:after="0" w:line="286" w:lineRule="auto"/>
        <w:rPr>
          <w:sz w:val="20"/>
          <w:szCs w:val="20"/>
          <w:color w:val="auto"/>
        </w:rPr>
      </w:pPr>
      <w:r>
        <w:rPr>
          <w:rFonts w:ascii="Times New Roman" w:cs="Times New Roman" w:eastAsia="Times New Roman" w:hAnsi="Times New Roman"/>
          <w:sz w:val="13"/>
          <w:szCs w:val="13"/>
          <w:color w:val="auto"/>
        </w:rPr>
        <w:t>(1)Our quarterly valuation process begins with each portfolio company or investment being initially valued by the investment professionals of our Investment Adviser responsible for the portfolio investment;</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(2)Preliminary valuation conclusions are then documented and discussed with the management of the Investment Adviser;</w:t>
      </w:r>
    </w:p>
    <w:p>
      <w:pPr>
        <w:spacing w:after="0" w:line="163" w:lineRule="exact"/>
        <w:rPr>
          <w:sz w:val="20"/>
          <w:szCs w:val="20"/>
          <w:color w:val="auto"/>
        </w:rPr>
      </w:pPr>
    </w:p>
    <w:p>
      <w:pPr>
        <w:ind w:left="420" w:right="180"/>
        <w:spacing w:after="0" w:line="268" w:lineRule="auto"/>
        <w:rPr>
          <w:sz w:val="20"/>
          <w:szCs w:val="20"/>
          <w:color w:val="auto"/>
        </w:rPr>
      </w:pPr>
      <w:r>
        <w:rPr>
          <w:rFonts w:ascii="Times New Roman" w:cs="Times New Roman" w:eastAsia="Times New Roman" w:hAnsi="Times New Roman"/>
          <w:sz w:val="13"/>
          <w:szCs w:val="13"/>
          <w:color w:val="auto"/>
        </w:rPr>
        <w:t>(3)Our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73" w:lineRule="exact"/>
        <w:rPr>
          <w:sz w:val="20"/>
          <w:szCs w:val="20"/>
          <w:color w:val="auto"/>
        </w:rPr>
      </w:pPr>
    </w:p>
    <w:p>
      <w:pPr>
        <w:ind w:left="420" w:right="140"/>
        <w:spacing w:after="0" w:line="268" w:lineRule="auto"/>
        <w:rPr>
          <w:sz w:val="20"/>
          <w:szCs w:val="20"/>
          <w:color w:val="auto"/>
        </w:rPr>
      </w:pPr>
      <w:r>
        <w:rPr>
          <w:rFonts w:ascii="Times New Roman" w:cs="Times New Roman" w:eastAsia="Times New Roman" w:hAnsi="Times New Roman"/>
          <w:sz w:val="13"/>
          <w:szCs w:val="13"/>
          <w:color w:val="auto"/>
        </w:rPr>
        <w:t>(4)The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23" w:lineRule="exact"/>
        <w:rPr>
          <w:sz w:val="20"/>
          <w:szCs w:val="20"/>
          <w:color w:val="auto"/>
        </w:rPr>
      </w:pPr>
    </w:p>
    <w:p>
      <w:pPr>
        <w:ind w:left="420" w:right="20"/>
        <w:spacing w:after="0" w:line="286" w:lineRule="auto"/>
        <w:rPr>
          <w:sz w:val="20"/>
          <w:szCs w:val="20"/>
          <w:color w:val="auto"/>
        </w:rPr>
      </w:pPr>
      <w:r>
        <w:rPr>
          <w:rFonts w:ascii="Times New Roman" w:cs="Times New Roman" w:eastAsia="Times New Roman" w:hAnsi="Times New Roman"/>
          <w:sz w:val="13"/>
          <w:szCs w:val="13"/>
          <w:color w:val="auto"/>
        </w:rPr>
        <w:t>(5)Our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12"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(b) Security Transactions, Revenue Recognition, and Realized/Unrealized Gains or Losses</w:t>
      </w:r>
    </w:p>
    <w:p>
      <w:pPr>
        <w:spacing w:after="0" w:line="167"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the Credit Facility and the 2023 Notes during the reporting period, including any reversal of previously recorded unrealized appreciation or depreciation, when gains or losses are realized.</w:t>
      </w:r>
    </w:p>
    <w:p>
      <w:pPr>
        <w:spacing w:after="0" w:line="127" w:lineRule="exact"/>
        <w:rPr>
          <w:sz w:val="20"/>
          <w:szCs w:val="20"/>
          <w:color w:val="auto"/>
        </w:rPr>
      </w:pPr>
    </w:p>
    <w:p>
      <w:pPr>
        <w:ind w:right="120" w:firstLine="420"/>
        <w:spacing w:after="0" w:line="255" w:lineRule="auto"/>
        <w:rPr>
          <w:sz w:val="20"/>
          <w:szCs w:val="20"/>
          <w:color w:val="auto"/>
        </w:rPr>
      </w:pPr>
      <w:r>
        <w:rPr>
          <w:rFonts w:ascii="Times New Roman" w:cs="Times New Roman" w:eastAsia="Times New Roman" w:hAnsi="Times New Roman"/>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may or may not be non-recurring in nature. Such fees include loan prepayment penalties, structuring fees, amendment fees and agency fees, and are recorded as other investment income when earned. Litigation settlements are accounted for in accordance with the gain contingency provisions of ASC Subtopic 450-30, Gain Contingencies, or ASC 450-30.</w:t>
      </w:r>
    </w:p>
    <w:p>
      <w:pPr>
        <w:spacing w:after="0" w:line="134"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Loans are placed on non-accrual status when principal or interest payments are past due 30 days or more and/or if there is reasonable doubt that principal or interest will be collected. Accrued interest is generally reversed when a loan is placed on non- 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December 31, 2024, we had two portfolio companies on non-accrual, representing 0.4% and 0.1% of our overall portfolio on a cost and fair value basis, respectively. As of September 30, 2024, we had two portfolio companies on non-accrual, representing 0.4% and 0.2% of our overall portfolio on a cost and fair value basis, respectively.</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(c) Income Taxes</w:t>
      </w:r>
    </w:p>
    <w:p>
      <w:pPr>
        <w:spacing w:after="0" w:line="167" w:lineRule="exact"/>
        <w:rPr>
          <w:sz w:val="20"/>
          <w:szCs w:val="20"/>
          <w:color w:val="auto"/>
        </w:rPr>
      </w:pPr>
    </w:p>
    <w:p>
      <w:pPr>
        <w:ind w:right="100" w:firstLine="420"/>
        <w:spacing w:after="0" w:line="257" w:lineRule="auto"/>
        <w:rPr>
          <w:sz w:val="20"/>
          <w:szCs w:val="20"/>
          <w:color w:val="auto"/>
        </w:rPr>
      </w:pPr>
      <w:r>
        <w:rPr>
          <w:rFonts w:ascii="Times New Roman" w:cs="Times New Roman" w:eastAsia="Times New Roman" w:hAnsi="Times New Roman"/>
          <w:sz w:val="13"/>
          <w:szCs w:val="13"/>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purposes, we typically do not incur material U.S. federal income taxes. However, we may choose to retain a portion of our calendar year income, which may result in the imposition of a federal excise tax, or we may incur taxes through our taxable subsidiaries, including the Taxable Subsidiary. For the three months ended December 31, 2024 and 2023, we recorded a provision for taxes on net investment income of $0.2 million and $0.2 million, respectively, pertaining to federal excise tax.</w:t>
      </w:r>
    </w:p>
    <w:p>
      <w:pPr>
        <w:spacing w:after="0" w:line="132" w:lineRule="exact"/>
        <w:rPr>
          <w:sz w:val="20"/>
          <w:szCs w:val="20"/>
          <w:color w:val="auto"/>
        </w:rPr>
      </w:pPr>
    </w:p>
    <w:p>
      <w:pPr>
        <w:ind w:firstLine="420"/>
        <w:spacing w:after="0" w:line="257" w:lineRule="auto"/>
        <w:rPr>
          <w:sz w:val="20"/>
          <w:szCs w:val="20"/>
          <w:color w:val="auto"/>
        </w:rPr>
      </w:pPr>
      <w:r>
        <w:rPr>
          <w:rFonts w:ascii="Times New Roman" w:cs="Times New Roman" w:eastAsia="Times New Roman" w:hAnsi="Times New Roman"/>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32" w:lineRule="exact"/>
        <w:rPr>
          <w:sz w:val="20"/>
          <w:szCs w:val="20"/>
          <w:color w:val="auto"/>
        </w:rPr>
      </w:pPr>
    </w:p>
    <w:p>
      <w:pPr>
        <w:ind w:right="20" w:firstLine="420"/>
        <w:spacing w:after="0" w:line="255" w:lineRule="auto"/>
        <w:rPr>
          <w:sz w:val="20"/>
          <w:szCs w:val="20"/>
          <w:color w:val="auto"/>
        </w:rPr>
      </w:pPr>
      <w:r>
        <w:rPr>
          <w:rFonts w:ascii="Times New Roman" w:cs="Times New Roman" w:eastAsia="Times New Roman" w:hAnsi="Times New Roman"/>
          <w:sz w:val="13"/>
          <w:szCs w:val="13"/>
          <w:color w:val="auto"/>
        </w:rPr>
        <w:t>For the three months ended December 31, 2024, the Company recognized a provision for taxes of $0.6 million on unrealized appreciation (depreciation) on investments by the Taxable Subsidiary. For the three months ended December 31, 2023, the Company recognized a provision reduction for taxes of zero on unrealized appreciation (depreciation) on investments by the Taxable Subsidiary. The provision for taxes on unrealized appreciation (depreciation) on investments is the result of netting (i) the expected tax liability on gains from sales of investments and (ii) the expected tax benefit from the use of losses in the current year. As of December 31, 2024 and September 30, 2024, $1.1 million and $1.7 million, respectively, was accrued as a deferred tax liability on the Consolidated Statements of Assets and Liabilities relating to unrealized gain on investments held by the Taxable Subsidiary. For the three months ended December 31, 2024 and 2023, $0.1 million and zero, respectively, was accrued as a provision for taxes on the Consolidated Statements of Operations relating to realized gain on investments held by the Taxable Subsidiary. During the three months ended December 31, 2024, the Company paid zero in taxes on realized gains on the sale of investments held by the Taxable Subsidiary. During the three months ended December 31, 2023, the Company paid zero in taxes on realized gains on the sale of investments held by the Taxable Subsidiary.</w:t>
      </w:r>
    </w:p>
    <w:p>
      <w:pPr>
        <w:spacing w:after="0" w:line="134" w:lineRule="exact"/>
        <w:rPr>
          <w:sz w:val="20"/>
          <w:szCs w:val="20"/>
          <w:color w:val="auto"/>
        </w:rPr>
      </w:pPr>
    </w:p>
    <w:p>
      <w:pPr>
        <w:ind w:right="120" w:firstLine="420"/>
        <w:spacing w:after="0" w:line="268" w:lineRule="auto"/>
        <w:rPr>
          <w:sz w:val="20"/>
          <w:szCs w:val="20"/>
          <w:color w:val="auto"/>
        </w:rPr>
      </w:pPr>
      <w:r>
        <w:rPr>
          <w:rFonts w:ascii="Times New Roman" w:cs="Times New Roman" w:eastAsia="Times New Roman" w:hAnsi="Times New Roman"/>
          <w:sz w:val="13"/>
          <w:szCs w:val="13"/>
          <w:color w:val="auto"/>
        </w:rPr>
        <w:t>We operate in a manner to maintain our election to be subject to tax as a RIC and to eliminate corporate-level U.S. federal income tax (other than the 4% excise tax) by distributing sufficient investment company taxable income and capital gain net income (if any). As a result, we will have an effective tax rate equal to 0% before the excise tax and income taxes incurred by the Taxable Subsidiary. As such, a reconciliation of the differences between our reported income tax expense and its tax expense at the federal statutory rate of 21% is not meaningful.</w:t>
      </w:r>
    </w:p>
    <w:p>
      <w:pPr>
        <w:spacing w:after="0" w:line="123" w:lineRule="exact"/>
        <w:rPr>
          <w:sz w:val="20"/>
          <w:szCs w:val="20"/>
          <w:color w:val="auto"/>
        </w:rPr>
      </w:pPr>
    </w:p>
    <w:p>
      <w:pPr>
        <w:ind w:right="420" w:firstLine="420"/>
        <w:spacing w:after="0" w:line="263" w:lineRule="auto"/>
        <w:rPr>
          <w:sz w:val="20"/>
          <w:szCs w:val="20"/>
          <w:color w:val="auto"/>
        </w:rPr>
      </w:pPr>
      <w:r>
        <w:rPr>
          <w:rFonts w:ascii="Times New Roman" w:cs="Times New Roman" w:eastAsia="Times New Roman" w:hAnsi="Times New Roman"/>
          <w:sz w:val="13"/>
          <w:szCs w:val="13"/>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w:t>
      </w: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408940</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7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3"/>
          <w:szCs w:val="13"/>
          <w:color w:val="auto"/>
        </w:rPr>
        <w:t>among capital accounts in the Consolidated Statements of Assets and Liabilities to reflect their tax character. Temporary differences arise when certain items of income, expense, gain or loss are recognized at some time in the future.</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(d) Distributions and Capital Transactions</w:t>
      </w:r>
    </w:p>
    <w:p>
      <w:pPr>
        <w:spacing w:after="0" w:line="167"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may be distributed at least annually. The tax attributes for distributions will generally include ordinary income and capital gains but may also include certain tax-qualified dividends and/or a return of capital.</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Capital transactions through offerings of our common stock are recorded when issued and offering costs are charged as a reduction of capital upon issuance of our common stock.</w:t>
      </w:r>
    </w:p>
    <w:p>
      <w:pPr>
        <w:spacing w:after="0" w:line="163" w:lineRule="exact"/>
        <w:rPr>
          <w:sz w:val="20"/>
          <w:szCs w:val="20"/>
          <w:color w:val="auto"/>
        </w:rPr>
      </w:pPr>
    </w:p>
    <w:p>
      <w:pPr>
        <w:ind w:right="20" w:firstLine="420"/>
        <w:spacing w:after="0" w:line="254" w:lineRule="auto"/>
        <w:rPr>
          <w:sz w:val="20"/>
          <w:szCs w:val="20"/>
          <w:color w:val="auto"/>
        </w:rPr>
      </w:pPr>
      <w:r>
        <w:rPr>
          <w:rFonts w:ascii="Times New Roman" w:cs="Times New Roman" w:eastAsia="Times New Roman" w:hAnsi="Times New Roman"/>
          <w:sz w:val="13"/>
          <w:szCs w:val="13"/>
          <w:color w:val="auto"/>
        </w:rPr>
        <w:t>On July 17, 2024, we entered into new equity distribution agreements with Citizens JMP Securities, LLC, Raymond James &amp; Associates, Inc. and Truist Securities, Inc. as the sales agents (the "Sale Agents"), (together, the "Equity Distribution Agreements") in connection with the sale of our shares of common stock, with an aggregate offering price of up to $500 million under an at-the-market offering program ("ATM Program") . The Equity Distribution agreements provide that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 The Investment Adviser may, from time to time, in its sole discretion, pay some or all of the commissions payable under the Equity Distribution Agreements or make additional supplemental payments to ensure that the sales price per share of our common stock in connection with all of the ATM Program offerings, net of any commissions of Sale Agents, will not be less than our then current NAV per share. Any such payments made by the Investment Adviser will not be subject to reimbursement by us. In connection with the entry into the Equity Distribution Agreements, the Company terminated the equity distribution agreements with each of Citizens JMP Securities LLC, Raymond James &amp; Associates, Inc. and Truist Securities, Inc. in connection with the Company’s prior $250 million ATM Program.</w:t>
      </w:r>
    </w:p>
    <w:p>
      <w:pPr>
        <w:spacing w:after="0" w:line="137" w:lineRule="exact"/>
        <w:rPr>
          <w:sz w:val="20"/>
          <w:szCs w:val="20"/>
          <w:color w:val="auto"/>
        </w:rPr>
      </w:pPr>
    </w:p>
    <w:p>
      <w:pPr>
        <w:jc w:val="both"/>
        <w:ind w:right="180" w:firstLine="420"/>
        <w:spacing w:after="0" w:line="268" w:lineRule="auto"/>
        <w:rPr>
          <w:sz w:val="20"/>
          <w:szCs w:val="20"/>
          <w:color w:val="auto"/>
        </w:rPr>
      </w:pPr>
      <w:r>
        <w:rPr>
          <w:rFonts w:ascii="Times New Roman" w:cs="Times New Roman" w:eastAsia="Times New Roman" w:hAnsi="Times New Roman"/>
          <w:sz w:val="13"/>
          <w:szCs w:val="13"/>
          <w:color w:val="auto"/>
        </w:rPr>
        <w:t>During the three months ended December 31, 2024 and 2023, we issued 7,276,000 and zero shares of common stock through the ATM Program at an average price of $11.30, raising $82.2 million of net proceeds after commissions to the sales agents and inclusive of proceeds from the Investment Adviser to ensure that all shares were sold at or above NAV, respectively. In connection with the share issuance, we expensed $0.1 million of deferred offering costs incurred related to establishing the ATM Program to additional paid in capital.</w:t>
      </w:r>
    </w:p>
    <w:p>
      <w:pPr>
        <w:spacing w:after="0" w:line="119" w:lineRule="exact"/>
        <w:rPr>
          <w:sz w:val="20"/>
          <w:szCs w:val="20"/>
          <w:color w:val="auto"/>
        </w:rPr>
      </w:pPr>
    </w:p>
    <w:p>
      <w:pPr>
        <w:ind w:left="420" w:hanging="186"/>
        <w:spacing w:after="0"/>
        <w:tabs>
          <w:tab w:leader="none" w:pos="420" w:val="left"/>
        </w:tabs>
        <w:numPr>
          <w:ilvl w:val="0"/>
          <w:numId w:val="4"/>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Foreign Currency Translation</w:t>
      </w:r>
    </w:p>
    <w:p>
      <w:pPr>
        <w:spacing w:after="0" w:line="166" w:lineRule="exact"/>
        <w:rPr>
          <w:rFonts w:ascii="Times New Roman" w:cs="Times New Roman" w:eastAsia="Times New Roman" w:hAnsi="Times New Roman"/>
          <w:sz w:val="13"/>
          <w:szCs w:val="13"/>
          <w:b w:val="1"/>
          <w:bCs w:val="1"/>
          <w:i w:val="1"/>
          <w:iCs w:val="1"/>
          <w:color w:val="auto"/>
        </w:rPr>
      </w:pPr>
    </w:p>
    <w:p>
      <w:pPr>
        <w:ind w:left="420"/>
        <w:spacing w:after="0"/>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Our books and records are maintained in U.S. dollars. Any foreign currency amounts are translated into U.S. dollars on the following basis:</w:t>
      </w:r>
    </w:p>
    <w:p>
      <w:pPr>
        <w:spacing w:after="0" w:line="162" w:lineRule="exact"/>
        <w:rPr>
          <w:rFonts w:ascii="Times New Roman" w:cs="Times New Roman" w:eastAsia="Times New Roman" w:hAnsi="Times New Roman"/>
          <w:sz w:val="13"/>
          <w:szCs w:val="13"/>
          <w:b w:val="1"/>
          <w:bCs w:val="1"/>
          <w:i w:val="1"/>
          <w:iCs w:val="1"/>
          <w:color w:val="auto"/>
        </w:rPr>
      </w:pPr>
    </w:p>
    <w:p>
      <w:pPr>
        <w:ind w:left="440"/>
        <w:spacing w:after="0"/>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1.Fair value of investment securities, other assets and liabilities – at the exchange rates prevailing at the end of the applicable period; and</w:t>
      </w:r>
    </w:p>
    <w:p>
      <w:pPr>
        <w:spacing w:after="0" w:line="162" w:lineRule="exact"/>
        <w:rPr>
          <w:rFonts w:ascii="Times New Roman" w:cs="Times New Roman" w:eastAsia="Times New Roman" w:hAnsi="Times New Roman"/>
          <w:sz w:val="13"/>
          <w:szCs w:val="13"/>
          <w:b w:val="1"/>
          <w:bCs w:val="1"/>
          <w:i w:val="1"/>
          <w:iCs w:val="1"/>
          <w:color w:val="auto"/>
        </w:rPr>
      </w:pPr>
    </w:p>
    <w:p>
      <w:pPr>
        <w:ind w:left="440"/>
        <w:spacing w:after="0"/>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2.Purchases and sales of investment securities, income and expenses – at the exchange rates prevailing on the respective dates of such transactions.</w:t>
      </w:r>
    </w:p>
    <w:p>
      <w:pPr>
        <w:spacing w:after="0" w:line="163" w:lineRule="exact"/>
        <w:rPr>
          <w:sz w:val="20"/>
          <w:szCs w:val="20"/>
          <w:color w:val="auto"/>
        </w:rPr>
      </w:pPr>
    </w:p>
    <w:p>
      <w:pPr>
        <w:ind w:right="180" w:firstLine="420"/>
        <w:spacing w:after="0" w:line="268" w:lineRule="auto"/>
        <w:rPr>
          <w:sz w:val="20"/>
          <w:szCs w:val="20"/>
          <w:color w:val="auto"/>
        </w:rPr>
      </w:pPr>
      <w:r>
        <w:rPr>
          <w:rFonts w:ascii="Times New Roman" w:cs="Times New Roman" w:eastAsia="Times New Roman" w:hAnsi="Times New Roman"/>
          <w:sz w:val="13"/>
          <w:szCs w:val="13"/>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23" w:lineRule="exact"/>
        <w:rPr>
          <w:sz w:val="20"/>
          <w:szCs w:val="20"/>
          <w:color w:val="auto"/>
        </w:rPr>
      </w:pPr>
    </w:p>
    <w:p>
      <w:pPr>
        <w:ind w:right="140" w:firstLine="420"/>
        <w:spacing w:after="0" w:line="268" w:lineRule="auto"/>
        <w:rPr>
          <w:sz w:val="20"/>
          <w:szCs w:val="20"/>
          <w:color w:val="auto"/>
        </w:rPr>
      </w:pPr>
      <w:r>
        <w:rPr>
          <w:rFonts w:ascii="Times New Roman" w:cs="Times New Roman" w:eastAsia="Times New Roman" w:hAnsi="Times New Roman"/>
          <w:sz w:val="13"/>
          <w:szCs w:val="13"/>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(f) Consolidation</w:t>
      </w:r>
    </w:p>
    <w:p>
      <w:pPr>
        <w:spacing w:after="0" w:line="167"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As permitted under Regulation S-X and as explained by ASC paragraph 946-810- 45-3, PennantPark Floating Rate Capital Ltd. will generally not consolidate its investment in a company other than an investment company wholly-owned subsidiary or a controlled operating company whose business consists of providing services to us. Accordingly, we have consolidated the results of our taxable subsidiaries, including the Taxable Subsidiary, Funding I, Securitization Issuer, and the 2036-Securitization Issuer in our Consolidated Financial Statements. We do not consolidate our non-controlling interest in PSSL or PTSF. See further description of our investment in PSSL in Note 4.</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(g) Asset Transfers and Servicing</w:t>
      </w:r>
    </w:p>
    <w:p>
      <w:pPr>
        <w:spacing w:after="0" w:line="167" w:lineRule="exact"/>
        <w:rPr>
          <w:sz w:val="20"/>
          <w:szCs w:val="20"/>
          <w:color w:val="auto"/>
        </w:rPr>
      </w:pPr>
    </w:p>
    <w:p>
      <w:pPr>
        <w:jc w:val="both"/>
        <w:ind w:firstLine="420"/>
        <w:spacing w:after="0" w:line="268" w:lineRule="auto"/>
        <w:rPr>
          <w:sz w:val="20"/>
          <w:szCs w:val="20"/>
          <w:color w:val="auto"/>
        </w:rPr>
      </w:pPr>
      <w:r>
        <w:rPr>
          <w:rFonts w:ascii="Times New Roman" w:cs="Times New Roman" w:eastAsia="Times New Roman" w:hAnsi="Times New Roman"/>
          <w:sz w:val="13"/>
          <w:szCs w:val="13"/>
          <w:color w:val="auto"/>
        </w:rPr>
        <w:t>Asset transfers that do not meet ASC Topic 860, Transfers and Servicing, requirements for sale accounting treatment are reflected in the Consolidated Statements of Assets and Liabilities and the Consolidated Schedules of Investments as investments. The creditors of Funding I have received a security interest in all of its assets and such assets are not intended to be available to the creditors of PennantPark Floating Rate Capital Ltd. or any of its affiliates.</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b w:val="1"/>
          <w:bCs w:val="1"/>
          <w:i w:val="1"/>
          <w:iCs w:val="1"/>
          <w:color w:val="auto"/>
        </w:rPr>
        <w:t>(h) Recent Accounting Pronouncements</w:t>
      </w:r>
    </w:p>
    <w:p>
      <w:pPr>
        <w:spacing w:after="0" w:line="167" w:lineRule="exact"/>
        <w:rPr>
          <w:sz w:val="20"/>
          <w:szCs w:val="20"/>
          <w:color w:val="auto"/>
        </w:rPr>
      </w:pPr>
    </w:p>
    <w:p>
      <w:pPr>
        <w:ind w:right="80" w:firstLine="330"/>
        <w:spacing w:after="0" w:line="259" w:lineRule="auto"/>
        <w:rPr>
          <w:sz w:val="20"/>
          <w:szCs w:val="20"/>
          <w:color w:val="auto"/>
        </w:rPr>
      </w:pPr>
      <w:r>
        <w:rPr>
          <w:rFonts w:ascii="Times New Roman" w:cs="Times New Roman" w:eastAsia="Times New Roman" w:hAnsi="Times New Roman"/>
          <w:sz w:val="13"/>
          <w:szCs w:val="13"/>
          <w:color w:val="auto"/>
        </w:rPr>
        <w:t>In March 2020, the FASB issued Accounting Standards Update, or ASU,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FASB approved an (optional) two year extension to December 31, 2024, for transitioning away from LIBOR. The Company utilized the optional expedients and exceptions provided by ASU 2020-04 during the three months ended December 31, 2024, the effect of which was not material to the Consolidated Financial Statements and the notes thereto.</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73" w:lineRule="exact"/>
        <w:rPr>
          <w:sz w:val="20"/>
          <w:szCs w:val="20"/>
          <w:color w:val="auto"/>
        </w:rPr>
      </w:pPr>
    </w:p>
    <w:p>
      <w:pPr>
        <w:ind w:firstLine="420"/>
        <w:spacing w:after="0" w:line="258" w:lineRule="auto"/>
        <w:rPr>
          <w:sz w:val="20"/>
          <w:szCs w:val="20"/>
          <w:color w:val="auto"/>
        </w:rPr>
      </w:pPr>
      <w:r>
        <w:rPr>
          <w:rFonts w:ascii="Times New Roman" w:cs="Times New Roman" w:eastAsia="Times New Roman" w:hAnsi="Times New Roman"/>
          <w:sz w:val="13"/>
          <w:szCs w:val="13"/>
          <w:color w:val="auto"/>
        </w:rPr>
        <w:t>In March 2022, the FASB issued ASU No. 2022-02, “Financial Instruments - Credit Losses (Topic 326)”,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has adopted the new accounting standard implementing appropriate controls and procedures, the effect of which was not material to the consolidated financial statements and the notes thereto.</w:t>
      </w:r>
    </w:p>
    <w:p>
      <w:pPr>
        <w:spacing w:after="0" w:line="289" w:lineRule="exact"/>
        <w:rPr>
          <w:sz w:val="20"/>
          <w:szCs w:val="20"/>
          <w:color w:val="auto"/>
        </w:rPr>
      </w:pPr>
    </w:p>
    <w:p>
      <w:pPr>
        <w:ind w:firstLine="420"/>
        <w:spacing w:after="0" w:line="257" w:lineRule="auto"/>
        <w:rPr>
          <w:sz w:val="20"/>
          <w:szCs w:val="20"/>
          <w:color w:val="auto"/>
        </w:rPr>
      </w:pPr>
      <w:r>
        <w:rPr>
          <w:rFonts w:ascii="Times New Roman" w:cs="Times New Roman" w:eastAsia="Times New Roman" w:hAnsi="Times New Roman"/>
          <w:sz w:val="13"/>
          <w:szCs w:val="13"/>
          <w:color w:val="auto"/>
        </w:rPr>
        <w:t>In June 2022, the FASB issued Accounting Standards Update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has adopted the new accounting standard, the effect of which was not material to the consolidated financial statements and the notes thereto.</w:t>
      </w:r>
    </w:p>
    <w:p>
      <w:pPr>
        <w:spacing w:after="0" w:line="132" w:lineRule="exact"/>
        <w:rPr>
          <w:sz w:val="20"/>
          <w:szCs w:val="20"/>
          <w:color w:val="auto"/>
        </w:rPr>
      </w:pPr>
    </w:p>
    <w:p>
      <w:pPr>
        <w:ind w:right="160" w:firstLine="420"/>
        <w:spacing w:after="0" w:line="256" w:lineRule="auto"/>
        <w:rPr>
          <w:sz w:val="20"/>
          <w:szCs w:val="20"/>
          <w:color w:val="auto"/>
        </w:rPr>
      </w:pPr>
      <w:r>
        <w:rPr>
          <w:rFonts w:ascii="Times New Roman" w:cs="Times New Roman" w:eastAsia="Times New Roman" w:hAnsi="Times New Roman"/>
          <w:sz w:val="13"/>
          <w:szCs w:val="13"/>
          <w:color w:val="auto"/>
        </w:rPr>
        <w:t>In November 2023, the Financial Accounting Standards Board (FASB) issued ASU 2023-07, Segment Reporting (Topic 280), Improvements to Reportable Segment Disclosures to improve reportable segment disclosure requirements through enhanced disclosures about significant segment expenses. ASU 2023-07 expands public entities' segment disclosure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 of a reportable segment's profit or loss and assets. All disclosure requirements of ASU 2023-07 are required for entities with a single reportable segment. ASU 2023-07 is effective for fiscal years beginning after December 15, 2023, and interim periods for our fiscal years beginning December 15, 2024, and should be applied on a retrospective basis to all periods presented, noting early adoption is permitted. The Company is currently evaluating the impact of this standard on its consolidated financial statements and related disclosures.</w:t>
      </w:r>
    </w:p>
    <w:p>
      <w:pPr>
        <w:spacing w:after="0" w:line="132" w:lineRule="exact"/>
        <w:rPr>
          <w:sz w:val="20"/>
          <w:szCs w:val="20"/>
          <w:color w:val="auto"/>
        </w:rPr>
      </w:pPr>
    </w:p>
    <w:p>
      <w:pPr>
        <w:jc w:val="both"/>
        <w:ind w:right="400" w:firstLine="420"/>
        <w:spacing w:after="0" w:line="268" w:lineRule="auto"/>
        <w:rPr>
          <w:sz w:val="20"/>
          <w:szCs w:val="20"/>
          <w:color w:val="auto"/>
        </w:rPr>
      </w:pPr>
      <w:r>
        <w:rPr>
          <w:rFonts w:ascii="Times New Roman" w:cs="Times New Roman" w:eastAsia="Times New Roman" w:hAnsi="Times New Roman"/>
          <w:sz w:val="13"/>
          <w:szCs w:val="13"/>
          <w:color w:val="auto"/>
        </w:rPr>
        <w:t>In December 2023, the FASB issued ASU 2023 - 09 "Improvements to Income Tax Disclosures" ("ASU 2023 - 09"). ASU 2023 - 09 intends to improve the transparency of income tax disclosures. ASU 2023 - 09 is effective for fiscal years beginning after December 15, 2024 and is to be adopted on a prospective basis with the option to apply retrospectively. We are currently assessing the impact of this guidance, however, we do not expect a material impact to our consolidated financial statements and related disclosures.</w:t>
      </w:r>
    </w:p>
    <w:p>
      <w:pPr>
        <w:spacing w:after="0" w:line="121" w:lineRule="exact"/>
        <w:rPr>
          <w:sz w:val="20"/>
          <w:szCs w:val="20"/>
          <w:color w:val="auto"/>
        </w:rPr>
      </w:pPr>
    </w:p>
    <w:p>
      <w:pPr>
        <w:ind w:left="140" w:hanging="134"/>
        <w:spacing w:after="0"/>
        <w:tabs>
          <w:tab w:leader="none" w:pos="140" w:val="left"/>
        </w:tabs>
        <w:numPr>
          <w:ilvl w:val="0"/>
          <w:numId w:val="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AGREEMENTS AND RELATED PARTY TRANSACTIONS</w:t>
      </w:r>
    </w:p>
    <w:p>
      <w:pPr>
        <w:spacing w:after="0" w:line="160" w:lineRule="exact"/>
        <w:rPr>
          <w:rFonts w:ascii="Times New Roman" w:cs="Times New Roman" w:eastAsia="Times New Roman" w:hAnsi="Times New Roman"/>
          <w:sz w:val="13"/>
          <w:szCs w:val="13"/>
          <w:b w:val="1"/>
          <w:bCs w:val="1"/>
          <w:color w:val="auto"/>
        </w:rPr>
      </w:pPr>
    </w:p>
    <w:p>
      <w:pPr>
        <w:ind w:left="540" w:hanging="258"/>
        <w:spacing w:after="0"/>
        <w:tabs>
          <w:tab w:leader="none" w:pos="540" w:val="left"/>
        </w:tabs>
        <w:numPr>
          <w:ilvl w:val="1"/>
          <w:numId w:val="5"/>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Investment Management Agreement</w:t>
      </w:r>
    </w:p>
    <w:p>
      <w:pPr>
        <w:spacing w:after="0" w:line="167"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The Investment Management Agreement with the Investment Adviser was reapproved by our board of directors, including a majority of our directors who are not interested persons of us or the Investment Adviser, in May 2024.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any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 a base management fee and an incentive fee.</w:t>
      </w:r>
    </w:p>
    <w:p>
      <w:pPr>
        <w:spacing w:after="0" w:line="1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i w:val="1"/>
          <w:iCs w:val="1"/>
          <w:color w:val="auto"/>
        </w:rPr>
        <w:t>Base Management Fee</w:t>
      </w:r>
    </w:p>
    <w:p>
      <w:pPr>
        <w:spacing w:after="0" w:line="167" w:lineRule="exact"/>
        <w:rPr>
          <w:sz w:val="20"/>
          <w:szCs w:val="20"/>
          <w:color w:val="auto"/>
        </w:rPr>
      </w:pPr>
    </w:p>
    <w:p>
      <w:pPr>
        <w:ind w:right="40" w:firstLine="420"/>
        <w:spacing w:after="0" w:line="256" w:lineRule="auto"/>
        <w:rPr>
          <w:sz w:val="20"/>
          <w:szCs w:val="20"/>
          <w:color w:val="auto"/>
        </w:rPr>
      </w:pPr>
      <w:r>
        <w:rPr>
          <w:rFonts w:ascii="Times New Roman" w:cs="Times New Roman" w:eastAsia="Times New Roman" w:hAnsi="Times New Roman"/>
          <w:sz w:val="13"/>
          <w:szCs w:val="13"/>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months ended December 31, 2024 and 2023, the Investment Adviser earned a base management fee of $5.3 million and $3.0 million, respectively, from us.</w:t>
      </w:r>
    </w:p>
    <w:p>
      <w:pPr>
        <w:spacing w:after="0" w:line="1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i w:val="1"/>
          <w:iCs w:val="1"/>
          <w:color w:val="auto"/>
        </w:rPr>
        <w:t>Incentive Fee</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incentive fee has two parts, as follows:</w:t>
      </w:r>
    </w:p>
    <w:p>
      <w:pPr>
        <w:spacing w:after="0" w:line="163" w:lineRule="exact"/>
        <w:rPr>
          <w:sz w:val="20"/>
          <w:szCs w:val="20"/>
          <w:color w:val="auto"/>
        </w:rPr>
      </w:pPr>
    </w:p>
    <w:p>
      <w:pPr>
        <w:ind w:firstLine="420"/>
        <w:spacing w:after="0" w:line="252" w:lineRule="auto"/>
        <w:rPr>
          <w:sz w:val="20"/>
          <w:szCs w:val="20"/>
          <w:color w:val="auto"/>
        </w:rPr>
      </w:pPr>
      <w:r>
        <w:rPr>
          <w:rFonts w:ascii="Times New Roman" w:cs="Times New Roman" w:eastAsia="Times New Roman" w:hAnsi="Times New Roman"/>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 Incentive Fee Net Investment Income in each calendar quarter as follows: (1) no incentive fee in any calendar quarter in which our Pre-Incentive Fee Net Investment Income does not exceed the hurdle rate of 1.75%, (2) 50% of our Pre- Incentive Fee Net Investment Income with respect to that portion of such Pre-Incentive Fee Net Investment Income, if any, that exceeds the hurdle rate but is less than 2.9167% in any calendar quarter (11.67% annualized) (we refer to this portion of our Pre -Incentive Fee Net Investment Income (which exceeds the hurdle but is less than 2.9167%) as the “catch-up,” which is meant to provide our Investment Adviser with 20% of our Pre-Incentive Fee Net Investment Income, as if a hurdle did not apply, if this net investment income exceeds</w:t>
      </w:r>
    </w:p>
    <w:p>
      <w:pPr>
        <w:spacing w:after="0" w:line="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3"/>
          <w:szCs w:val="13"/>
          <w:color w:val="auto"/>
        </w:rPr>
        <w:t>2.9167% in any calendar quarter), and (3) 20% of the amount of our Pre-Incentive Fee Net Investment Income, if any, that exceeds 2.9167% in any calendar quarter. These calculations are pro-rated for any share issuances or repurchases during the relevant quarter, if applicable. For the three months ended December 31, 2024 and 2023, the Investment Adviser earned $7.5 million and $4.9 million, respectively, in incentive fees on net investment income from us.</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132" w:right="700" w:bottom="1440" w:gutter="0" w:footer="0" w:header="0"/>
        </w:sectPr>
      </w:pPr>
    </w:p>
    <w:bookmarkStart w:id="28" w:name="page29"/>
    <w:bookmarkEnd w:id="28"/>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73" w:lineRule="exact"/>
        <w:rPr>
          <w:sz w:val="20"/>
          <w:szCs w:val="20"/>
          <w:color w:val="auto"/>
        </w:rPr>
      </w:pPr>
    </w:p>
    <w:p>
      <w:pPr>
        <w:ind w:right="400" w:firstLine="420"/>
        <w:spacing w:after="0" w:line="262" w:lineRule="auto"/>
        <w:rPr>
          <w:sz w:val="20"/>
          <w:szCs w:val="20"/>
          <w:color w:val="auto"/>
        </w:rPr>
      </w:pPr>
      <w:r>
        <w:rPr>
          <w:rFonts w:ascii="Times New Roman" w:cs="Times New Roman" w:eastAsia="Times New Roman" w:hAnsi="Times New Roman"/>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three months ended December 31, 2024 and 2023, the Investment Adviser did not accrue an incentive fee on capital gains.</w:t>
      </w:r>
    </w:p>
    <w:p>
      <w:pPr>
        <w:spacing w:after="0" w:line="127" w:lineRule="exact"/>
        <w:rPr>
          <w:sz w:val="20"/>
          <w:szCs w:val="20"/>
          <w:color w:val="auto"/>
        </w:rPr>
      </w:pPr>
    </w:p>
    <w:p>
      <w:pPr>
        <w:ind w:right="100" w:firstLine="420"/>
        <w:spacing w:after="0" w:line="256" w:lineRule="auto"/>
        <w:rPr>
          <w:sz w:val="20"/>
          <w:szCs w:val="20"/>
          <w:color w:val="auto"/>
        </w:rPr>
      </w:pPr>
      <w:r>
        <w:rPr>
          <w:rFonts w:ascii="Times New Roman" w:cs="Times New Roman" w:eastAsia="Times New Roman" w:hAnsi="Times New Roman"/>
          <w:sz w:val="13"/>
          <w:szCs w:val="13"/>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The incentive fee accrued for, but not payable, under GAAP on our unrealized and realized capital gains for the three months ended December 31, 2024 and 2023, was zero, respectively.</w:t>
      </w:r>
    </w:p>
    <w:p>
      <w:pPr>
        <w:spacing w:after="0" w:line="1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b w:val="1"/>
          <w:bCs w:val="1"/>
          <w:i w:val="1"/>
          <w:iCs w:val="1"/>
          <w:color w:val="auto"/>
        </w:rPr>
        <w:t>(b)  Administration Agreement</w:t>
      </w:r>
    </w:p>
    <w:p>
      <w:pPr>
        <w:spacing w:after="0" w:line="167" w:lineRule="exact"/>
        <w:rPr>
          <w:sz w:val="20"/>
          <w:szCs w:val="20"/>
          <w:color w:val="auto"/>
        </w:rPr>
      </w:pPr>
    </w:p>
    <w:p>
      <w:pPr>
        <w:ind w:firstLine="420"/>
        <w:spacing w:after="0" w:line="255" w:lineRule="auto"/>
        <w:rPr>
          <w:sz w:val="20"/>
          <w:szCs w:val="20"/>
          <w:color w:val="auto"/>
        </w:rPr>
      </w:pPr>
      <w:r>
        <w:rPr>
          <w:rFonts w:ascii="Times New Roman" w:cs="Times New Roman" w:eastAsia="Times New Roman" w:hAnsi="Times New Roman"/>
          <w:sz w:val="13"/>
          <w:szCs w:val="13"/>
          <w:color w:val="auto"/>
        </w:rPr>
        <w:t>The Administration Agreement with the Administrator was reapproved by our board of directors, including a majority of the directors who are not interested persons of us, in May 2024. Under the Administration Agreement, the Administrator provides administrative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Financial Officer, Chief Compliance Officer, Corporate Counsel and their respective staffs. The amount billed by the Administrator may include credits related to its administrative agreement with PSSL.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months ended December 31, 2024 and 2023, we recorded administrative expenses of approximately $0.5 million and $0.6 million, including expenses the Administrator incurred for services described above, respectively.</w:t>
      </w:r>
    </w:p>
    <w:p>
      <w:pPr>
        <w:spacing w:after="0" w:line="293" w:lineRule="exact"/>
        <w:rPr>
          <w:sz w:val="20"/>
          <w:szCs w:val="20"/>
          <w:color w:val="auto"/>
        </w:rPr>
      </w:pPr>
    </w:p>
    <w:p>
      <w:pPr>
        <w:ind w:right="140" w:firstLine="420"/>
        <w:spacing w:after="0" w:line="262" w:lineRule="auto"/>
        <w:rPr>
          <w:sz w:val="20"/>
          <w:szCs w:val="20"/>
          <w:color w:val="auto"/>
        </w:rPr>
      </w:pPr>
      <w:r>
        <w:rPr>
          <w:rFonts w:ascii="Times New Roman" w:cs="Times New Roman" w:eastAsia="Times New Roman" w:hAnsi="Times New Roman"/>
          <w:sz w:val="13"/>
          <w:szCs w:val="13"/>
          <w:color w:val="auto"/>
        </w:rPr>
        <w:t>Under the Administration Agreement the Administrator may be reimbursed by the Company for the costs and expenses to be borne by the Company set forth above include the costs and expenses allocable with respect to the provision of in-house legal, tax, or other professional advice and/or services to the Company, including performing due diligence on its prospective portfolio companies as deemed appropriate by the Administrator, where such in-house personnel perform services that would be paid by the Company if outside service providers provided the same services, subject to the Board's oversight.</w:t>
      </w:r>
    </w:p>
    <w:p>
      <w:pPr>
        <w:spacing w:after="0" w:line="1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b w:val="1"/>
          <w:bCs w:val="1"/>
          <w:i w:val="1"/>
          <w:iCs w:val="1"/>
          <w:color w:val="auto"/>
        </w:rPr>
        <w:t>(c) Other Related Party Transactions</w:t>
      </w:r>
    </w:p>
    <w:p>
      <w:pPr>
        <w:spacing w:after="0" w:line="167" w:lineRule="exact"/>
        <w:rPr>
          <w:sz w:val="20"/>
          <w:szCs w:val="20"/>
          <w:color w:val="auto"/>
        </w:rPr>
      </w:pPr>
    </w:p>
    <w:p>
      <w:pPr>
        <w:ind w:right="180" w:firstLine="420"/>
        <w:spacing w:after="0" w:line="268" w:lineRule="auto"/>
        <w:rPr>
          <w:sz w:val="20"/>
          <w:szCs w:val="20"/>
          <w:color w:val="auto"/>
        </w:rPr>
      </w:pPr>
      <w:r>
        <w:rPr>
          <w:rFonts w:ascii="Times New Roman" w:cs="Times New Roman" w:eastAsia="Times New Roman" w:hAnsi="Times New Roman"/>
          <w:sz w:val="13"/>
          <w:szCs w:val="13"/>
          <w:color w:val="auto"/>
        </w:rPr>
        <w:t>The Company, the Investment Adviser and certain other affiliates have been granted an order for exemptive relief by the SEC for the Company to co- invest with other funds managed by the Investment Adviser. If we co-invest with other affiliated funds, our Investment Adviser would not receive compensation except to the extent permitted by the exemptive order and applicable law, including the limitations set forth in Section 57(k) of the 1940 Act.</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There were no transactions subject to Rule 17a-7 under the 1940 Act during each of the three months ended December 31, 2024 and 2023.</w:t>
      </w:r>
    </w:p>
    <w:p>
      <w:pPr>
        <w:spacing w:after="0" w:line="163" w:lineRule="exact"/>
        <w:rPr>
          <w:sz w:val="20"/>
          <w:szCs w:val="20"/>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For the three months ended December 31, 2024, we sold $187.7 million in investments to PSSL at fair value, respectively, and recognized $(0.1) million of net realized gain (losses). For the three months ended December 31, 2023, we sold $62.7 million in investments to PSSL at fair value, respectively, and recognized zero of net realized losses.</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For the three months ended December 31, 2024 and 2023, we sold no investments to PTSF.</w:t>
      </w:r>
    </w:p>
    <w:p>
      <w:pPr>
        <w:spacing w:after="0" w:line="163" w:lineRule="exact"/>
        <w:rPr>
          <w:sz w:val="20"/>
          <w:szCs w:val="20"/>
          <w:color w:val="auto"/>
        </w:rPr>
      </w:pPr>
    </w:p>
    <w:p>
      <w:pPr>
        <w:ind w:right="40" w:firstLine="420"/>
        <w:spacing w:after="0" w:line="286" w:lineRule="auto"/>
        <w:rPr>
          <w:sz w:val="20"/>
          <w:szCs w:val="20"/>
          <w:color w:val="auto"/>
        </w:rPr>
      </w:pPr>
      <w:r>
        <w:rPr>
          <w:rFonts w:ascii="Times New Roman" w:cs="Times New Roman" w:eastAsia="Times New Roman" w:hAnsi="Times New Roman"/>
          <w:sz w:val="13"/>
          <w:szCs w:val="13"/>
          <w:color w:val="auto"/>
        </w:rPr>
        <w:t>As of December 31, 2024 and September 30, 2024, PFLT had a receivable from the affiliates of $0.3 million and $0.3 million, respectively, presented as due from affiliate on the Consolidated Statements of Assets and Liabilities. This amount relates to cash owed to agency fees and collected on behalf of the Company and trades between the funds.</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2" w:right="660"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4. INVESTMENTS</w:t>
      </w:r>
    </w:p>
    <w:p>
      <w:pPr>
        <w:spacing w:after="0" w:line="165" w:lineRule="exact"/>
        <w:rPr>
          <w:sz w:val="20"/>
          <w:szCs w:val="20"/>
          <w:color w:val="auto"/>
        </w:rPr>
      </w:pPr>
    </w:p>
    <w:p>
      <w:pPr>
        <w:ind w:right="200" w:firstLine="420"/>
        <w:spacing w:after="0" w:line="286" w:lineRule="auto"/>
        <w:rPr>
          <w:sz w:val="20"/>
          <w:szCs w:val="20"/>
          <w:color w:val="auto"/>
        </w:rPr>
      </w:pPr>
      <w:r>
        <w:rPr>
          <w:rFonts w:ascii="Times New Roman" w:cs="Times New Roman" w:eastAsia="Times New Roman" w:hAnsi="Times New Roman"/>
          <w:sz w:val="13"/>
          <w:szCs w:val="13"/>
          <w:color w:val="auto"/>
        </w:rPr>
        <w:t>For the three months ended December 31, 2024 and 2023, purchases of investments, including PIK interest totaled $608.3 million and $303.5 million, respectively. Sales and repayments of investments for the three months ended December 31, 2024 and 2023 totaled $401.3 million and $103.8 million, respectively.</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Investments and cash and cash equivalents consisted of the following:</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320" w:type="dxa"/>
            <w:vAlign w:val="bottom"/>
          </w:tcPr>
          <w:p>
            <w:pPr>
              <w:spacing w:after="0"/>
              <w:rPr>
                <w:sz w:val="18"/>
                <w:szCs w:val="18"/>
                <w:color w:val="auto"/>
              </w:rPr>
            </w:pPr>
          </w:p>
        </w:tc>
        <w:tc>
          <w:tcPr>
            <w:tcW w:w="2880" w:type="dxa"/>
            <w:vAlign w:val="bottom"/>
            <w:gridSpan w:val="5"/>
          </w:tcPr>
          <w:p>
            <w:pPr>
              <w:jc w:val="right"/>
              <w:ind w:right="11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40" w:type="dxa"/>
            <w:vAlign w:val="bottom"/>
          </w:tcPr>
          <w:p>
            <w:pPr>
              <w:spacing w:after="0"/>
              <w:rPr>
                <w:sz w:val="18"/>
                <w:szCs w:val="18"/>
                <w:color w:val="auto"/>
              </w:rPr>
            </w:pPr>
          </w:p>
        </w:tc>
        <w:tc>
          <w:tcPr>
            <w:tcW w:w="224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September 30, 2024</w:t>
            </w:r>
          </w:p>
        </w:tc>
      </w:tr>
      <w:tr>
        <w:trPr>
          <w:trHeight w:val="170"/>
        </w:trPr>
        <w:tc>
          <w:tcPr>
            <w:tcW w:w="4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Classification</w:t>
            </w:r>
          </w:p>
        </w:tc>
        <w:tc>
          <w:tcPr>
            <w:tcW w:w="320" w:type="dxa"/>
            <w:vAlign w:val="bottom"/>
          </w:tcPr>
          <w:p>
            <w:pPr>
              <w:spacing w:after="0"/>
              <w:rPr>
                <w:sz w:val="14"/>
                <w:szCs w:val="14"/>
                <w:color w:val="auto"/>
              </w:rPr>
            </w:pPr>
          </w:p>
        </w:tc>
        <w:tc>
          <w:tcPr>
            <w:tcW w:w="1040" w:type="dxa"/>
            <w:vAlign w:val="bottom"/>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Cost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Cost</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56"/>
        </w:trPr>
        <w:tc>
          <w:tcPr>
            <w:tcW w:w="4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320" w:type="dxa"/>
            <w:vAlign w:val="bottom"/>
            <w:shd w:val="clear" w:color="auto" w:fill="CCECFF"/>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1,746,097</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1,726,126</w:t>
            </w:r>
          </w:p>
        </w:tc>
        <w:tc>
          <w:tcPr>
            <w:tcW w:w="240" w:type="dxa"/>
            <w:vAlign w:val="bottom"/>
            <w:shd w:val="clear" w:color="auto" w:fill="CCECFF"/>
          </w:tcPr>
          <w:p>
            <w:pPr>
              <w:spacing w:after="0"/>
              <w:rPr>
                <w:sz w:val="13"/>
                <w:szCs w:val="13"/>
                <w:color w:val="auto"/>
              </w:rPr>
            </w:pPr>
          </w:p>
        </w:tc>
        <w:tc>
          <w:tcPr>
            <w:tcW w:w="840" w:type="dxa"/>
            <w:vAlign w:val="bottom"/>
            <w:shd w:val="clear" w:color="auto" w:fill="CCECFF"/>
          </w:tcPr>
          <w:p>
            <w:pPr>
              <w:jc w:val="right"/>
              <w:ind w:right="721"/>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9"/>
              </w:rPr>
              <w:t>1,521,496</w:t>
            </w:r>
          </w:p>
        </w:tc>
        <w:tc>
          <w:tcPr>
            <w:tcW w:w="4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1,509,048</w:t>
            </w:r>
          </w:p>
        </w:tc>
        <w:tc>
          <w:tcPr>
            <w:tcW w:w="80" w:type="dxa"/>
            <w:vAlign w:val="bottom"/>
            <w:shd w:val="clear" w:color="auto" w:fill="CCECFF"/>
          </w:tcPr>
          <w:p>
            <w:pPr>
              <w:spacing w:after="0"/>
              <w:rPr>
                <w:sz w:val="13"/>
                <w:szCs w:val="13"/>
                <w:color w:val="auto"/>
              </w:rPr>
            </w:pPr>
          </w:p>
        </w:tc>
      </w:tr>
      <w:tr>
        <w:trPr>
          <w:trHeight w:val="156"/>
        </w:trPr>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 in PSSL</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237,650</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237,650</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237,650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237,650</w:t>
            </w:r>
          </w:p>
        </w:tc>
        <w:tc>
          <w:tcPr>
            <w:tcW w:w="80" w:type="dxa"/>
            <w:vAlign w:val="bottom"/>
          </w:tcPr>
          <w:p>
            <w:pPr>
              <w:spacing w:after="0"/>
              <w:rPr>
                <w:sz w:val="13"/>
                <w:szCs w:val="13"/>
                <w:color w:val="auto"/>
              </w:rPr>
            </w:pPr>
          </w:p>
        </w:tc>
      </w:tr>
      <w:tr>
        <w:trPr>
          <w:trHeight w:val="156"/>
        </w:trPr>
        <w:tc>
          <w:tcPr>
            <w:tcW w:w="4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Subordinate debt</w:t>
            </w:r>
          </w:p>
        </w:tc>
        <w:tc>
          <w:tcPr>
            <w:tcW w:w="32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3,144</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3,435</w:t>
            </w:r>
          </w:p>
        </w:tc>
        <w:tc>
          <w:tcPr>
            <w:tcW w:w="24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2,632</w:t>
            </w: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2,693</w:t>
            </w:r>
          </w:p>
        </w:tc>
        <w:tc>
          <w:tcPr>
            <w:tcW w:w="80" w:type="dxa"/>
            <w:vAlign w:val="bottom"/>
            <w:shd w:val="clear" w:color="auto" w:fill="CCECFF"/>
          </w:tcPr>
          <w:p>
            <w:pPr>
              <w:spacing w:after="0"/>
              <w:rPr>
                <w:sz w:val="13"/>
                <w:szCs w:val="13"/>
                <w:color w:val="auto"/>
              </w:rPr>
            </w:pPr>
          </w:p>
        </w:tc>
      </w:tr>
      <w:tr>
        <w:trPr>
          <w:trHeight w:val="156"/>
        </w:trPr>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145,552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177,788</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131,312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177,635</w:t>
            </w:r>
          </w:p>
        </w:tc>
        <w:tc>
          <w:tcPr>
            <w:tcW w:w="80" w:type="dxa"/>
            <w:vAlign w:val="bottom"/>
          </w:tcPr>
          <w:p>
            <w:pPr>
              <w:spacing w:after="0"/>
              <w:rPr>
                <w:sz w:val="13"/>
                <w:szCs w:val="13"/>
                <w:color w:val="auto"/>
              </w:rPr>
            </w:pPr>
          </w:p>
        </w:tc>
      </w:tr>
      <w:tr>
        <w:trPr>
          <w:trHeight w:val="156"/>
        </w:trPr>
        <w:tc>
          <w:tcPr>
            <w:tcW w:w="4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Equity interests in PSSL</w:t>
            </w:r>
          </w:p>
        </w:tc>
        <w:tc>
          <w:tcPr>
            <w:tcW w:w="32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101,850</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3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48,911</w:t>
            </w:r>
          </w:p>
        </w:tc>
        <w:tc>
          <w:tcPr>
            <w:tcW w:w="84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101,850</w:t>
            </w: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2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56,478</w:t>
            </w:r>
          </w:p>
        </w:tc>
      </w:tr>
      <w:tr>
        <w:trPr>
          <w:trHeight w:val="156"/>
        </w:trPr>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investments</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2,234,293</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2,193,910</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1,994,940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1,983,504</w:t>
            </w:r>
          </w:p>
        </w:tc>
        <w:tc>
          <w:tcPr>
            <w:tcW w:w="80" w:type="dxa"/>
            <w:vAlign w:val="bottom"/>
          </w:tcPr>
          <w:p>
            <w:pPr>
              <w:spacing w:after="0"/>
              <w:rPr>
                <w:sz w:val="13"/>
                <w:szCs w:val="13"/>
                <w:color w:val="auto"/>
              </w:rPr>
            </w:pPr>
          </w:p>
        </w:tc>
      </w:tr>
      <w:tr>
        <w:trPr>
          <w:trHeight w:val="156"/>
        </w:trPr>
        <w:tc>
          <w:tcPr>
            <w:tcW w:w="4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2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102,273</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102,262</w:t>
            </w:r>
          </w:p>
        </w:tc>
        <w:tc>
          <w:tcPr>
            <w:tcW w:w="24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112,046</w:t>
            </w: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112,050</w:t>
            </w:r>
          </w:p>
        </w:tc>
        <w:tc>
          <w:tcPr>
            <w:tcW w:w="80" w:type="dxa"/>
            <w:vAlign w:val="bottom"/>
            <w:shd w:val="clear" w:color="auto" w:fill="CCECFF"/>
          </w:tcPr>
          <w:p>
            <w:pPr>
              <w:spacing w:after="0"/>
              <w:rPr>
                <w:sz w:val="13"/>
                <w:szCs w:val="13"/>
                <w:color w:val="auto"/>
              </w:rPr>
            </w:pPr>
          </w:p>
        </w:tc>
      </w:tr>
      <w:tr>
        <w:trPr>
          <w:trHeight w:val="156"/>
        </w:trPr>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investments and cash and cash equivalents</w:t>
            </w: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2,336,566</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2,296,172</w:t>
            </w:r>
          </w:p>
        </w:tc>
        <w:tc>
          <w:tcPr>
            <w:tcW w:w="240" w:type="dxa"/>
            <w:vAlign w:val="bottom"/>
          </w:tcPr>
          <w:p>
            <w:pPr>
              <w:spacing w:after="0"/>
              <w:rPr>
                <w:sz w:val="13"/>
                <w:szCs w:val="13"/>
                <w:color w:val="auto"/>
              </w:rPr>
            </w:pPr>
          </w:p>
        </w:tc>
        <w:tc>
          <w:tcPr>
            <w:tcW w:w="840" w:type="dxa"/>
            <w:vAlign w:val="bottom"/>
          </w:tcPr>
          <w:p>
            <w:pPr>
              <w:jc w:val="right"/>
              <w:ind w:right="721"/>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2,106,986</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2,095,554</w:t>
            </w:r>
          </w:p>
        </w:tc>
        <w:tc>
          <w:tcPr>
            <w:tcW w:w="80" w:type="dxa"/>
            <w:vAlign w:val="bottom"/>
          </w:tcPr>
          <w:p>
            <w:pPr>
              <w:spacing w:after="0"/>
              <w:rPr>
                <w:sz w:val="13"/>
                <w:szCs w:val="13"/>
                <w:color w:val="auto"/>
              </w:rPr>
            </w:pPr>
          </w:p>
        </w:tc>
      </w:tr>
      <w:tr>
        <w:trPr>
          <w:trHeight w:val="20"/>
        </w:trPr>
        <w:tc>
          <w:tcPr>
            <w:tcW w:w="4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4" w:lineRule="exact"/>
        <w:rPr>
          <w:sz w:val="20"/>
          <w:szCs w:val="20"/>
          <w:color w:val="auto"/>
        </w:rPr>
      </w:pPr>
    </w:p>
    <w:p>
      <w:pPr>
        <w:ind w:right="460" w:firstLine="420"/>
        <w:spacing w:after="0" w:line="286" w:lineRule="auto"/>
        <w:rPr>
          <w:sz w:val="20"/>
          <w:szCs w:val="20"/>
          <w:color w:val="auto"/>
        </w:rPr>
      </w:pPr>
      <w:r>
        <w:rPr>
          <w:rFonts w:ascii="Times New Roman" w:cs="Times New Roman" w:eastAsia="Times New Roman" w:hAnsi="Times New Roman"/>
          <w:sz w:val="13"/>
          <w:szCs w:val="13"/>
          <w:color w:val="auto"/>
        </w:rPr>
        <w:t>The table below describes investments by industry classification and enumerates the percentage, by fair value, of the total portfolio assets (excluding cash and cash equivalents) in such industries: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Industry Classification</w:t>
            </w:r>
          </w:p>
        </w:tc>
        <w:tc>
          <w:tcPr>
            <w:tcW w:w="1960" w:type="dxa"/>
            <w:vAlign w:val="bottom"/>
            <w:gridSpan w:val="3"/>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 xml:space="preserve">December 31, 2024 </w:t>
            </w:r>
            <w:r>
              <w:rPr>
                <w:rFonts w:ascii="Times New Roman" w:cs="Times New Roman" w:eastAsia="Times New Roman" w:hAnsi="Times New Roman"/>
                <w:sz w:val="16"/>
                <w:szCs w:val="16"/>
                <w:b w:val="1"/>
                <w:bCs w:val="1"/>
                <w:color w:val="auto"/>
                <w:vertAlign w:val="superscript"/>
              </w:rPr>
              <w:t>(1)</w:t>
            </w:r>
          </w:p>
        </w:tc>
        <w:tc>
          <w:tcPr>
            <w:tcW w:w="176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 xml:space="preserve">September 30, 2024 </w:t>
            </w:r>
            <w:r>
              <w:rPr>
                <w:rFonts w:ascii="Times New Roman" w:cs="Times New Roman" w:eastAsia="Times New Roman" w:hAnsi="Times New Roman"/>
                <w:sz w:val="16"/>
                <w:szCs w:val="16"/>
                <w:b w:val="1"/>
                <w:bCs w:val="1"/>
                <w:color w:val="auto"/>
                <w:vertAlign w:val="superscript"/>
              </w:rPr>
              <w:t>(1)</w:t>
            </w:r>
          </w:p>
        </w:tc>
      </w:tr>
      <w:tr>
        <w:trPr>
          <w:trHeight w:val="156"/>
        </w:trPr>
        <w:tc>
          <w:tcPr>
            <w:tcW w:w="6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Aerospace and Defense</w:t>
            </w:r>
          </w:p>
        </w:tc>
        <w:tc>
          <w:tcPr>
            <w:tcW w:w="196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12%</w:t>
            </w:r>
          </w:p>
        </w:tc>
        <w:tc>
          <w:tcPr>
            <w:tcW w:w="1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20" w:type="dxa"/>
            <w:vAlign w:val="bottom"/>
          </w:tcPr>
          <w:p>
            <w:pPr>
              <w:spacing w:after="0"/>
              <w:rPr>
                <w:sz w:val="13"/>
                <w:szCs w:val="13"/>
                <w:color w:val="auto"/>
              </w:rPr>
            </w:pPr>
          </w:p>
        </w:tc>
      </w:tr>
      <w:tr>
        <w:trPr>
          <w:trHeight w:val="156"/>
        </w:trPr>
        <w:tc>
          <w:tcPr>
            <w:tcW w:w="6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Professional Services</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Healthcare Providers and Services</w:t>
            </w: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Personal Products</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Diversified Consumer Services</w:t>
            </w: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IT Services</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Distributors</w:t>
            </w: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Healthcare Technology</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Media: Diversified and Production</w:t>
            </w: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Construction &amp; Engineering</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Media</w:t>
            </w: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Leisure Products</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Business Services</w:t>
            </w: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High Tech Industries</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Commercial Services &amp; Supplies</w:t>
            </w: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Electronic Equipment, Instruments, and Components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Government Services</w:t>
            </w: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7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r>
      <w:tr>
        <w:trPr>
          <w:trHeight w:val="156"/>
        </w:trPr>
        <w:tc>
          <w:tcPr>
            <w:tcW w:w="6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 Components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Independent Power and Renewable Electricity Producers</w:t>
            </w: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7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r>
      <w:tr>
        <w:trPr>
          <w:trHeight w:val="156"/>
        </w:trPr>
        <w:tc>
          <w:tcPr>
            <w:tcW w:w="6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Healthcare, Education and Childcare</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Internet Software and Services</w:t>
            </w: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Software</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r>
      <w:tr>
        <w:trPr>
          <w:trHeight w:val="156"/>
        </w:trPr>
        <w:tc>
          <w:tcPr>
            <w:tcW w:w="6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Healthcare Equipment and Supplies</w:t>
            </w: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Equipment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Chemicals, Plastics and Rubber</w:t>
            </w: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Road and Rail</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r>
      <w:tr>
        <w:trPr>
          <w:trHeight w:val="156"/>
        </w:trPr>
        <w:tc>
          <w:tcPr>
            <w:tcW w:w="6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Building Products</w:t>
            </w: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Food Products</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Automobiles</w:t>
            </w: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Marketing Services</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Consumer Services</w:t>
            </w: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Event Services</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r>
      <w:tr>
        <w:trPr>
          <w:trHeight w:val="156"/>
        </w:trPr>
        <w:tc>
          <w:tcPr>
            <w:tcW w:w="6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Metals and Mining</w:t>
            </w: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All Other</w:t>
            </w:r>
          </w:p>
        </w:tc>
        <w:tc>
          <w:tcPr>
            <w:tcW w:w="196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6"/>
        </w:trPr>
        <w:tc>
          <w:tcPr>
            <w:tcW w:w="6860" w:type="dxa"/>
            <w:vAlign w:val="bottom"/>
            <w:shd w:val="clear" w:color="auto" w:fill="CCECFF"/>
          </w:tcPr>
          <w:p>
            <w:pPr>
              <w:ind w:left="20"/>
              <w:spacing w:after="0" w:line="136" w:lineRule="exact"/>
              <w:rPr>
                <w:sz w:val="20"/>
                <w:szCs w:val="20"/>
                <w:color w:val="auto"/>
              </w:rPr>
            </w:pPr>
            <w:r>
              <w:rPr>
                <w:rFonts w:ascii="Times New Roman" w:cs="Times New Roman" w:eastAsia="Times New Roman" w:hAnsi="Times New Roman"/>
                <w:sz w:val="13"/>
                <w:szCs w:val="13"/>
                <w:color w:val="auto"/>
              </w:rPr>
              <w:t>Total</w:t>
            </w:r>
          </w:p>
        </w:tc>
        <w:tc>
          <w:tcPr>
            <w:tcW w:w="1960" w:type="dxa"/>
            <w:vAlign w:val="bottom"/>
            <w:gridSpan w:val="3"/>
            <w:shd w:val="clear" w:color="auto" w:fill="CCECFF"/>
          </w:tcPr>
          <w:p>
            <w:pPr>
              <w:jc w:val="right"/>
              <w:ind w:right="140"/>
              <w:spacing w:after="0" w:line="136" w:lineRule="exact"/>
              <w:rPr>
                <w:sz w:val="20"/>
                <w:szCs w:val="20"/>
                <w:color w:val="auto"/>
              </w:rPr>
            </w:pPr>
            <w:r>
              <w:rPr>
                <w:rFonts w:ascii="Times New Roman" w:cs="Times New Roman" w:eastAsia="Times New Roman" w:hAnsi="Times New Roman"/>
                <w:sz w:val="9"/>
                <w:szCs w:val="9"/>
                <w:color w:val="auto"/>
              </w:rPr>
              <w:t xml:space="preserve">100 </w:t>
            </w:r>
            <w:r>
              <w:rPr>
                <w:rFonts w:ascii="Times New Roman" w:cs="Times New Roman" w:eastAsia="Times New Roman" w:hAnsi="Times New Roman"/>
                <w:sz w:val="15"/>
                <w:szCs w:val="15"/>
                <w:color w:val="auto"/>
                <w:vertAlign w:val="subscript"/>
              </w:rPr>
              <w:t>%</w:t>
            </w:r>
          </w:p>
        </w:tc>
        <w:tc>
          <w:tcPr>
            <w:tcW w:w="1740" w:type="dxa"/>
            <w:vAlign w:val="bottom"/>
            <w:gridSpan w:val="2"/>
            <w:shd w:val="clear" w:color="auto" w:fill="CCECFF"/>
          </w:tcPr>
          <w:p>
            <w:pPr>
              <w:jc w:val="right"/>
              <w:spacing w:after="0" w:line="136" w:lineRule="exact"/>
              <w:rPr>
                <w:sz w:val="20"/>
                <w:szCs w:val="20"/>
                <w:color w:val="auto"/>
              </w:rPr>
            </w:pPr>
            <w:r>
              <w:rPr>
                <w:rFonts w:ascii="Times New Roman" w:cs="Times New Roman" w:eastAsia="Times New Roman" w:hAnsi="Times New Roman"/>
                <w:sz w:val="9"/>
                <w:szCs w:val="9"/>
                <w:color w:val="auto"/>
              </w:rPr>
              <w:t xml:space="preserve">100 </w:t>
            </w:r>
            <w:r>
              <w:rPr>
                <w:rFonts w:ascii="Times New Roman" w:cs="Times New Roman" w:eastAsia="Times New Roman" w:hAnsi="Times New Roman"/>
                <w:sz w:val="15"/>
                <w:szCs w:val="15"/>
                <w:color w:val="auto"/>
                <w:vertAlign w:val="subscript"/>
              </w:rPr>
              <w:t>%</w:t>
            </w:r>
          </w:p>
        </w:tc>
        <w:tc>
          <w:tcPr>
            <w:tcW w:w="20" w:type="dxa"/>
            <w:vAlign w:val="bottom"/>
          </w:tcPr>
          <w:p>
            <w:pPr>
              <w:spacing w:after="0"/>
              <w:rPr>
                <w:sz w:val="15"/>
                <w:szCs w:val="15"/>
                <w:color w:val="auto"/>
              </w:rPr>
            </w:pPr>
          </w:p>
        </w:tc>
      </w:tr>
      <w:tr>
        <w:trPr>
          <w:trHeight w:val="20"/>
        </w:trPr>
        <w:tc>
          <w:tcPr>
            <w:tcW w:w="6860" w:type="dxa"/>
            <w:vAlign w:val="bottom"/>
            <w:tcBorders>
              <w:top w:val="single" w:sz="8" w:color="CCECFF"/>
            </w:tcBorders>
            <w:shd w:val="clear" w:color="auto" w:fill="CCECFF"/>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Excludes investments in PSSL.</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2" w:right="660"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PennantPark Senior Secured Loan Fund I LLC</w:t>
      </w:r>
    </w:p>
    <w:p>
      <w:pPr>
        <w:spacing w:after="0" w:line="165" w:lineRule="exact"/>
        <w:rPr>
          <w:sz w:val="20"/>
          <w:szCs w:val="20"/>
          <w:color w:val="auto"/>
        </w:rPr>
      </w:pPr>
    </w:p>
    <w:p>
      <w:pPr>
        <w:ind w:right="140" w:firstLine="420"/>
        <w:spacing w:after="0" w:line="259" w:lineRule="auto"/>
        <w:rPr>
          <w:sz w:val="20"/>
          <w:szCs w:val="20"/>
          <w:color w:val="auto"/>
        </w:rPr>
      </w:pPr>
      <w:r>
        <w:rPr>
          <w:rFonts w:ascii="Times New Roman" w:cs="Times New Roman" w:eastAsia="Times New Roman" w:hAnsi="Times New Roman"/>
          <w:sz w:val="13"/>
          <w:szCs w:val="13"/>
          <w:color w:val="auto"/>
        </w:rPr>
        <w:t>In May 2017, we and Kemper formed PSSL, an unconsolidated joint venture. PSSL invests primarily in middle-market and other corporate debt securities consistent with our strategy. PSSL was formed as a Delaware limited liability company. As of December 31, 2024 and September 30, 2024, PSSL had total assets of $1,110 million and $988.1 million, respectively, and its investment portfolio consisted of investments in 118 and 109 portfolio companies, respectively. As of December 31, 2024, at fair value, the largest investment in a single portfolio company in PSSL was $21.2 million and the five largest investments totaled $98.6 million. As of September 30, 2024, at fair value, the largest investment in a single portfolio company in PSSL was $21.3 million and the five largest investments totaled $97.3 million. PSSL invests in portfolio companies in the same industries in which we may directly invest.</w:t>
      </w:r>
    </w:p>
    <w:p>
      <w:pPr>
        <w:spacing w:after="0" w:line="130" w:lineRule="exact"/>
        <w:rPr>
          <w:sz w:val="20"/>
          <w:szCs w:val="20"/>
          <w:color w:val="auto"/>
        </w:rPr>
      </w:pPr>
    </w:p>
    <w:p>
      <w:pPr>
        <w:ind w:right="180" w:firstLine="420"/>
        <w:spacing w:after="0" w:line="262" w:lineRule="auto"/>
        <w:rPr>
          <w:sz w:val="20"/>
          <w:szCs w:val="20"/>
          <w:color w:val="auto"/>
        </w:rPr>
      </w:pPr>
      <w:r>
        <w:rPr>
          <w:rFonts w:ascii="Times New Roman" w:cs="Times New Roman" w:eastAsia="Times New Roman" w:hAnsi="Times New Roman"/>
          <w:sz w:val="13"/>
          <w:szCs w:val="13"/>
          <w:color w:val="auto"/>
        </w:rPr>
        <w:t>We and Kemper provide capital to PSSL in the form of first lien secured debt and equity interests. As of December 31, 2024 and September 30, 2024, we and Kemper owned 87.5% and 12.5%, respectively, of each of the outstanding first lien secured debt and equity interests. As of the same dates, our investment in PSSL consisted of first lien secured debt of $237.7 million (zero remaining unfunded) and $237.7 million (zero remaining unfunded), respectively, and equity interests of $101.9 million ($87.5 remaining unfunded) and $101.9 million (zero remaining unfunded), respectively.</w:t>
      </w:r>
    </w:p>
    <w:p>
      <w:pPr>
        <w:spacing w:after="0" w:line="127" w:lineRule="exact"/>
        <w:rPr>
          <w:sz w:val="20"/>
          <w:szCs w:val="20"/>
          <w:color w:val="auto"/>
        </w:rPr>
      </w:pPr>
    </w:p>
    <w:p>
      <w:pPr>
        <w:ind w:firstLine="420"/>
        <w:spacing w:after="0" w:line="258" w:lineRule="auto"/>
        <w:rPr>
          <w:sz w:val="20"/>
          <w:szCs w:val="20"/>
          <w:color w:val="auto"/>
        </w:rPr>
      </w:pPr>
      <w:r>
        <w:rPr>
          <w:rFonts w:ascii="Times New Roman" w:cs="Times New Roman" w:eastAsia="Times New Roman" w:hAnsi="Times New Roman"/>
          <w:sz w:val="13"/>
          <w:szCs w:val="13"/>
          <w:color w:val="auto"/>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289" w:lineRule="exact"/>
        <w:rPr>
          <w:sz w:val="20"/>
          <w:szCs w:val="20"/>
          <w:color w:val="auto"/>
        </w:rPr>
      </w:pPr>
    </w:p>
    <w:p>
      <w:pPr>
        <w:jc w:val="both"/>
        <w:ind w:right="20" w:firstLine="420"/>
        <w:spacing w:after="0" w:line="286" w:lineRule="auto"/>
        <w:rPr>
          <w:sz w:val="20"/>
          <w:szCs w:val="20"/>
          <w:color w:val="auto"/>
        </w:rPr>
      </w:pPr>
      <w:r>
        <w:rPr>
          <w:rFonts w:ascii="Times New Roman" w:cs="Times New Roman" w:eastAsia="Times New Roman" w:hAnsi="Times New Roman"/>
          <w:sz w:val="13"/>
          <w:szCs w:val="13"/>
          <w:color w:val="auto"/>
        </w:rPr>
        <w:t>In December 2024, PSSL entered into a $325.0 million (increased from $260.0 million) senior secured revolving credit facility which bears interest at SOFR plus 225 basis points (including a spread adjustment) with Ally Bank through its wholly-owned subsidiary, PennantPark Senior Secured Loan Facility LLC II, or PSSL Subsidiary II, subject to leverage and borrowing base restrictions.</w:t>
      </w:r>
    </w:p>
    <w:p>
      <w:pPr>
        <w:spacing w:after="0" w:line="112"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In January 2021, PSSL completed a $300.7 million debt securitization in the form of a collateralized loan obligation, or the “2032 Asset-Backed Debt”. The 2032 Asset-Backed Debt is secured by a diversified portfolio of PennantPark CLO II, Ltd., a wholly-owned and consolidated subsidiary of PSSL, consisting primarily of middle market loans and participation interests in middle market loans. The 2032 Asset-Backed Debt is scheduled to mature in January 2032. On the closing date of the transaction, in consideration of PSSL’s transfer to PennantPark CLO II, Ltd. of the initial closing date loan portfolio, which included loans distributed to PSSL by certain of its wholly owned subsidiaries and us, PennantPark CLO II, Ltd. transferred to PSSL 100% of the Preferred Shares of PennantPark CLO II, Ltd. and 100% of the Class E Notes issued by PennantPark CLO II, Ltd.</w:t>
      </w:r>
    </w:p>
    <w:p>
      <w:pPr>
        <w:spacing w:after="0" w:line="130"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In May 2024, PSSL completed the refinancing of the 2032 Asset-Backed Debt through a $300.7 million debt securitization in the form of a collateralized loan obligation, or the "2036 PSSL Asset -Backed Debt". The 2036 PSSL Asset-Backed Debt is secured by a diversified portfolio of PennantPark CLO II, Ltd., a wholly-owned subsidiary of PSSL, consisting primarily of middle market loans and participation interest in middle market loans. The 2036 PSSL Asset-Backed Debt is scheduled to mature in April 2036. PSSL retained the preferred shares and Class E-R Notes through a consolidated subsidiary.</w:t>
      </w:r>
    </w:p>
    <w:p>
      <w:pPr>
        <w:spacing w:after="0" w:line="127"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In April 2023, PSSL completed a $297.8 million debt securitization in the form of a collateralized loan obligation, or the “2035 Asset- Backed Debt”. The 2035 Asset -Backed Debt is secured by a diversified portfolio of PennantPark CLO VI, LLC, a wholly-owned and consolidated subsidiary of PSSL, consisting primarily of middle market loans and participation interests in middle market loans. The 2035 Asset-Backed Debt is scheduled to mature in April 2035. On the closing date of the transaction, in consideration of PSSL’s transfer to PennantPark CLO VI, LLC of the initial closing date loan portfolio, which included loans distributed to PSSL by certain of its wholly owned subsidiaries and us, PennantPark CLO VI, LLC transferred to PSSL 100% of the Preferred Shares of CLO VI, LLC.</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is a summary of PSSL’s portfolio at fair value:</w:t>
            </w:r>
          </w:p>
        </w:tc>
        <w:tc>
          <w:tcPr>
            <w:tcW w:w="2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2"/>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thousands)</w:t>
            </w:r>
          </w:p>
        </w:tc>
        <w:tc>
          <w:tcPr>
            <w:tcW w:w="2080" w:type="dxa"/>
            <w:vAlign w:val="bottom"/>
          </w:tcPr>
          <w:p>
            <w:pPr>
              <w:spacing w:after="0"/>
              <w:rPr>
                <w:sz w:val="24"/>
                <w:szCs w:val="24"/>
                <w:color w:val="auto"/>
              </w:rPr>
            </w:pPr>
          </w:p>
        </w:tc>
        <w:tc>
          <w:tcPr>
            <w:tcW w:w="154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00" w:type="dxa"/>
            <w:vAlign w:val="bottom"/>
          </w:tcPr>
          <w:p>
            <w:pPr>
              <w:spacing w:after="0"/>
              <w:rPr>
                <w:sz w:val="24"/>
                <w:szCs w:val="24"/>
                <w:color w:val="auto"/>
              </w:rPr>
            </w:pPr>
          </w:p>
        </w:tc>
        <w:tc>
          <w:tcPr>
            <w:tcW w:w="146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September 30, 2024</w:t>
            </w:r>
          </w:p>
        </w:tc>
      </w:tr>
      <w:tr>
        <w:trPr>
          <w:trHeight w:val="156"/>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investments</w:t>
            </w:r>
          </w:p>
        </w:tc>
        <w:tc>
          <w:tcPr>
            <w:tcW w:w="2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1,046,178</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913,281</w:t>
            </w:r>
          </w:p>
        </w:tc>
      </w:tr>
      <w:tr>
        <w:trPr>
          <w:trHeight w:val="252"/>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cost yield on income producing investments</w:t>
            </w:r>
          </w:p>
        </w:tc>
        <w:tc>
          <w:tcPr>
            <w:tcW w:w="2080" w:type="dxa"/>
            <w:vAlign w:val="bottom"/>
          </w:tcPr>
          <w:p>
            <w:pPr>
              <w:spacing w:after="0"/>
              <w:rPr>
                <w:sz w:val="21"/>
                <w:szCs w:val="21"/>
                <w:color w:val="auto"/>
              </w:rPr>
            </w:pPr>
          </w:p>
        </w:tc>
        <w:tc>
          <w:tcPr>
            <w:tcW w:w="1540" w:type="dxa"/>
            <w:vAlign w:val="bottom"/>
          </w:tcPr>
          <w:p>
            <w:pPr>
              <w:jc w:val="right"/>
              <w:ind w:right="34"/>
              <w:spacing w:after="0" w:line="252" w:lineRule="exact"/>
              <w:rPr>
                <w:sz w:val="20"/>
                <w:szCs w:val="20"/>
                <w:color w:val="auto"/>
              </w:rPr>
            </w:pPr>
            <w:r>
              <w:rPr>
                <w:rFonts w:ascii="Times New Roman" w:cs="Times New Roman" w:eastAsia="Times New Roman" w:hAnsi="Times New Roman"/>
                <w:sz w:val="13"/>
                <w:szCs w:val="13"/>
                <w:color w:val="auto"/>
              </w:rPr>
              <w:t xml:space="preserve">10.8 </w:t>
            </w:r>
            <w:r>
              <w:rPr>
                <w:rFonts w:ascii="Times New Roman" w:cs="Times New Roman" w:eastAsia="Times New Roman" w:hAnsi="Times New Roman"/>
                <w:sz w:val="26"/>
                <w:szCs w:val="26"/>
                <w:color w:val="auto"/>
                <w:vertAlign w:val="superscript"/>
              </w:rPr>
              <w:t>%</w:t>
            </w:r>
          </w:p>
        </w:tc>
        <w:tc>
          <w:tcPr>
            <w:tcW w:w="200" w:type="dxa"/>
            <w:vAlign w:val="bottom"/>
          </w:tcPr>
          <w:p>
            <w:pPr>
              <w:spacing w:after="0"/>
              <w:rPr>
                <w:sz w:val="21"/>
                <w:szCs w:val="21"/>
                <w:color w:val="auto"/>
              </w:rPr>
            </w:pPr>
          </w:p>
        </w:tc>
        <w:tc>
          <w:tcPr>
            <w:tcW w:w="1460" w:type="dxa"/>
            <w:vAlign w:val="bottom"/>
          </w:tcPr>
          <w:p>
            <w:pPr>
              <w:jc w:val="right"/>
              <w:spacing w:after="0" w:line="252" w:lineRule="exact"/>
              <w:rPr>
                <w:sz w:val="20"/>
                <w:szCs w:val="20"/>
                <w:color w:val="auto"/>
              </w:rPr>
            </w:pPr>
            <w:r>
              <w:rPr>
                <w:rFonts w:ascii="Times New Roman" w:cs="Times New Roman" w:eastAsia="Times New Roman" w:hAnsi="Times New Roman"/>
                <w:sz w:val="13"/>
                <w:szCs w:val="13"/>
                <w:color w:val="auto"/>
              </w:rPr>
              <w:t xml:space="preserve">11.4 </w:t>
            </w:r>
            <w:r>
              <w:rPr>
                <w:rFonts w:ascii="Times New Roman" w:cs="Times New Roman" w:eastAsia="Times New Roman" w:hAnsi="Times New Roman"/>
                <w:sz w:val="26"/>
                <w:szCs w:val="26"/>
                <w:color w:val="auto"/>
                <w:vertAlign w:val="superscript"/>
              </w:rPr>
              <w:t>%</w:t>
            </w:r>
          </w:p>
        </w:tc>
      </w:tr>
      <w:tr>
        <w:trPr>
          <w:trHeight w:val="156"/>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Number of portfolio companies in PSSL</w:t>
            </w:r>
          </w:p>
        </w:tc>
        <w:tc>
          <w:tcPr>
            <w:tcW w:w="2080" w:type="dxa"/>
            <w:vAlign w:val="bottom"/>
            <w:shd w:val="clear" w:color="auto" w:fill="CCECFF"/>
          </w:tcPr>
          <w:p>
            <w:pPr>
              <w:spacing w:after="0"/>
              <w:rPr>
                <w:sz w:val="13"/>
                <w:szCs w:val="13"/>
                <w:color w:val="auto"/>
              </w:rPr>
            </w:pPr>
          </w:p>
        </w:tc>
        <w:tc>
          <w:tcPr>
            <w:tcW w:w="1540" w:type="dxa"/>
            <w:vAlign w:val="bottom"/>
            <w:shd w:val="clear" w:color="auto" w:fill="CCECFF"/>
          </w:tcPr>
          <w:p>
            <w:pPr>
              <w:jc w:val="right"/>
              <w:ind w:right="174"/>
              <w:spacing w:after="0"/>
              <w:rPr>
                <w:sz w:val="20"/>
                <w:szCs w:val="20"/>
                <w:color w:val="auto"/>
              </w:rPr>
            </w:pPr>
            <w:r>
              <w:rPr>
                <w:rFonts w:ascii="Times New Roman" w:cs="Times New Roman" w:eastAsia="Times New Roman" w:hAnsi="Times New Roman"/>
                <w:sz w:val="13"/>
                <w:szCs w:val="13"/>
                <w:color w:val="auto"/>
              </w:rPr>
              <w:t>118</w:t>
            </w:r>
          </w:p>
        </w:tc>
        <w:tc>
          <w:tcPr>
            <w:tcW w:w="200" w:type="dxa"/>
            <w:vAlign w:val="bottom"/>
            <w:shd w:val="clear" w:color="auto" w:fill="CCECFF"/>
          </w:tcPr>
          <w:p>
            <w:pPr>
              <w:spacing w:after="0"/>
              <w:rPr>
                <w:sz w:val="13"/>
                <w:szCs w:val="13"/>
                <w:color w:val="auto"/>
              </w:rPr>
            </w:pPr>
          </w:p>
        </w:tc>
        <w:tc>
          <w:tcPr>
            <w:tcW w:w="146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109</w:t>
            </w:r>
          </w:p>
        </w:tc>
      </w:tr>
      <w:tr>
        <w:trPr>
          <w:trHeight w:val="156"/>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Largest portfolio company investment</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21,220</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21,274</w:t>
            </w:r>
          </w:p>
        </w:tc>
      </w:tr>
      <w:tr>
        <w:trPr>
          <w:trHeight w:val="156"/>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of five largest portfolio company investments</w:t>
            </w:r>
          </w:p>
        </w:tc>
        <w:tc>
          <w:tcPr>
            <w:tcW w:w="2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98,604</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97,292</w:t>
            </w: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Below is a listing of PSSL’s individual investments as of December 31, 2024 (Par and $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Spread Above</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Par or Number of</w:t>
            </w: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Issuer Name </w:t>
            </w:r>
            <w:r>
              <w:rPr>
                <w:rFonts w:ascii="Times New Roman" w:cs="Times New Roman" w:eastAsia="Times New Roman" w:hAnsi="Times New Roman"/>
                <w:sz w:val="12"/>
                <w:szCs w:val="12"/>
                <w:b w:val="1"/>
                <w:bCs w:val="1"/>
                <w:color w:val="auto"/>
                <w:vertAlign w:val="superscript"/>
              </w:rPr>
              <w:t>(6)</w:t>
            </w:r>
          </w:p>
        </w:tc>
        <w:tc>
          <w:tcPr>
            <w:tcW w:w="840" w:type="dxa"/>
            <w:vAlign w:val="bottom"/>
          </w:tcPr>
          <w:p>
            <w:pPr>
              <w:ind w:left="24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20" w:type="dxa"/>
            <w:vAlign w:val="bottom"/>
          </w:tcPr>
          <w:p>
            <w:pPr>
              <w:jc w:val="center"/>
              <w:spacing w:after="0" w:line="120"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(1)</w:t>
            </w:r>
          </w:p>
        </w:tc>
        <w:tc>
          <w:tcPr>
            <w:tcW w:w="96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40" w:type="dxa"/>
            <w:vAlign w:val="bottom"/>
          </w:tcPr>
          <w:p>
            <w:pPr>
              <w:spacing w:after="0"/>
              <w:rPr>
                <w:sz w:val="10"/>
                <w:szCs w:val="10"/>
                <w:color w:val="auto"/>
              </w:rPr>
            </w:pPr>
          </w:p>
        </w:tc>
        <w:tc>
          <w:tcPr>
            <w:tcW w:w="62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0"/>
                <w:szCs w:val="10"/>
                <w:color w:val="auto"/>
              </w:rPr>
            </w:pPr>
          </w:p>
        </w:tc>
        <w:tc>
          <w:tcPr>
            <w:tcW w:w="700" w:type="dxa"/>
            <w:vAlign w:val="bottom"/>
          </w:tcPr>
          <w:p>
            <w:pPr>
              <w:jc w:val="right"/>
              <w:ind w:right="132"/>
              <w:spacing w:after="0" w:line="120" w:lineRule="exact"/>
              <w:rPr>
                <w:sz w:val="20"/>
                <w:szCs w:val="20"/>
                <w:color w:val="auto"/>
              </w:rPr>
            </w:pPr>
            <w:r>
              <w:rPr>
                <w:rFonts w:ascii="Times New Roman" w:cs="Times New Roman" w:eastAsia="Times New Roman" w:hAnsi="Times New Roman"/>
                <w:sz w:val="10"/>
                <w:szCs w:val="10"/>
                <w:b w:val="1"/>
                <w:bCs w:val="1"/>
                <w:color w:val="auto"/>
                <w:w w:val="90"/>
              </w:rPr>
              <w:t>Fair Value</w:t>
            </w:r>
            <w:r>
              <w:rPr>
                <w:rFonts w:ascii="Times New Roman" w:cs="Times New Roman" w:eastAsia="Times New Roman" w:hAnsi="Times New Roman"/>
                <w:sz w:val="12"/>
                <w:szCs w:val="12"/>
                <w:b w:val="1"/>
                <w:bCs w:val="1"/>
                <w:color w:val="auto"/>
                <w:w w:val="90"/>
                <w:vertAlign w:val="superscript"/>
              </w:rPr>
              <w:t>(2)</w:t>
            </w:r>
          </w:p>
        </w:tc>
        <w:tc>
          <w:tcPr>
            <w:tcW w:w="0" w:type="dxa"/>
            <w:vAlign w:val="bottom"/>
          </w:tcPr>
          <w:p>
            <w:pPr>
              <w:spacing w:after="0"/>
              <w:rPr>
                <w:sz w:val="1"/>
                <w:szCs w:val="1"/>
                <w:color w:val="auto"/>
              </w:rPr>
            </w:pPr>
          </w:p>
        </w:tc>
      </w:tr>
      <w:tr>
        <w:trPr>
          <w:trHeight w:val="122"/>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- 1,863.8%</w:t>
            </w:r>
          </w:p>
        </w:tc>
        <w:tc>
          <w:tcPr>
            <w:tcW w:w="8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12/22/2028</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9.11 %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SOFR+475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2,895</w:t>
            </w:r>
          </w:p>
        </w:tc>
        <w:tc>
          <w:tcPr>
            <w:tcW w:w="2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2,850</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2,895</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Avenu Buyer,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10/2/2029</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9.84 %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9,900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9,750</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9,628</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ACP Falcon Buyer,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8/1/2029</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10.09 %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18,715</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18,400</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18,902</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5/7/2026</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10.59 %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SOFR+626</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8,685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8,641</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8,685</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11/30/2026</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Containers and Packaging</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10.65 %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SOFR+610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12,696</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12,488</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11,807</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820" w:type="dxa"/>
            <w:vAlign w:val="bottom"/>
            <w:shd w:val="clear" w:color="auto" w:fill="CCECFF"/>
          </w:tcPr>
          <w:p>
            <w:pPr>
              <w:spacing w:after="0"/>
              <w:rPr>
                <w:sz w:val="10"/>
                <w:szCs w:val="10"/>
                <w:color w:val="auto"/>
              </w:rPr>
            </w:pPr>
          </w:p>
        </w:tc>
        <w:tc>
          <w:tcPr>
            <w:tcW w:w="11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(PIK 8.65%)</w:t>
            </w:r>
          </w:p>
        </w:tc>
        <w:tc>
          <w:tcPr>
            <w:tcW w:w="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Media: Advertising, Printing &amp;</w:t>
            </w:r>
          </w:p>
        </w:tc>
        <w:tc>
          <w:tcPr>
            <w:tcW w:w="1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6/30/2026</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Publishing</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10.23 %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SOFR+590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4,647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4,555</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4,647</w:t>
            </w:r>
          </w:p>
        </w:tc>
        <w:tc>
          <w:tcPr>
            <w:tcW w:w="0" w:type="dxa"/>
            <w:vAlign w:val="bottom"/>
          </w:tcPr>
          <w:p>
            <w:pPr>
              <w:spacing w:after="0"/>
              <w:rPr>
                <w:sz w:val="1"/>
                <w:szCs w:val="1"/>
                <w:color w:val="auto"/>
              </w:rPr>
            </w:pPr>
          </w:p>
        </w:tc>
      </w:tr>
      <w:tr>
        <w:trPr>
          <w:trHeight w:val="121"/>
        </w:trPr>
        <w:tc>
          <w:tcPr>
            <w:tcW w:w="316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Media: Advertising, Printing &amp;</w:t>
            </w:r>
          </w:p>
        </w:tc>
        <w:tc>
          <w:tcPr>
            <w:tcW w:w="112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 - Incremental Term Loan</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6/30/2026</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Publishing</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10.23 %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SOFR+590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4,563</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4,523</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4,563</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10.23 %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SOFR+590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11,127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11,042</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10,989</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8/3/2029</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9.62 %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SOFR+500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6,000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5,988</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5,985</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Archer Lewis,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8/28/2029</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10.09 %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SOFR+590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9,975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9,881</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9,875</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ARGANO,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9/13/2029</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10.15 %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9,975</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9,879</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9,875</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Beacon Behavioral Services,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6/21/2029</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9.83 %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12,845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12,673</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12,652</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Best Practice Associates,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11/8/2029</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11.08 %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SOFR+675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10,000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9,916</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9,850</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7/1/2029</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10.08 %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4,888</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4,819</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4,753</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Big Top Holdings,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2/28/2030</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10.11 %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14,788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14,548</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14,788</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1/31/2028</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11.03 %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SOFR+650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8,865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8,778</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8,754</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9/17/2026</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9.73 %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SOFR+540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14,934</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14,752</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14,679</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BlueHalo Financing Holdings,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10.41 %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SOFR+600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8,666</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8,642</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8,622</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9/26/2029</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Automotive</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9.68 %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SOFR+535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441</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416</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391</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By Light Professional IT Services,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5/16/2025</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11.53 %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SOFR+698</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12,932</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12,917</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12,932</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C5MI Holdco,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7/31/2029</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IT Services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10.33 %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SOFR+600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14,963</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14,749</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14,738</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Carisk Buyer, Inc - Amendment No.1 Term Loan</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12/1/2029</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9.58 %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10,000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9,931</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9,850</w:t>
            </w:r>
          </w:p>
        </w:tc>
        <w:tc>
          <w:tcPr>
            <w:tcW w:w="0" w:type="dxa"/>
            <w:vAlign w:val="bottom"/>
          </w:tcPr>
          <w:p>
            <w:pPr>
              <w:spacing w:after="0"/>
              <w:rPr>
                <w:sz w:val="1"/>
                <w:szCs w:val="1"/>
                <w:color w:val="auto"/>
              </w:rPr>
            </w:pPr>
          </w:p>
        </w:tc>
      </w:tr>
      <w:tr>
        <w:trPr>
          <w:trHeight w:val="121"/>
        </w:trPr>
        <w:tc>
          <w:tcPr>
            <w:tcW w:w="316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Media: Advertising, Printing &amp;</w:t>
            </w:r>
          </w:p>
        </w:tc>
        <w:tc>
          <w:tcPr>
            <w:tcW w:w="112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Carnegie Dartlet,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2/7/2030</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Publishing</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9.86 %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15,205</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14,991</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14,977</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6/14/2028</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10.08 %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9,514</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9,415</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9,514</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Case Works,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10/1/2029</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9.58 %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15,000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14,876</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14,880</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8/20/2026</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10.69 %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SOFR+619</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6,533</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6,474</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6,435</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Confluent Health,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10/28/2028</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8.47 %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SOFR+400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6,690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6,498</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6,506</w:t>
            </w:r>
          </w:p>
        </w:tc>
        <w:tc>
          <w:tcPr>
            <w:tcW w:w="0" w:type="dxa"/>
            <w:vAlign w:val="bottom"/>
          </w:tcPr>
          <w:p>
            <w:pPr>
              <w:spacing w:after="0"/>
              <w:rPr>
                <w:sz w:val="1"/>
                <w:szCs w:val="1"/>
                <w:color w:val="auto"/>
              </w:rPr>
            </w:pPr>
          </w:p>
        </w:tc>
      </w:tr>
      <w:tr>
        <w:trPr>
          <w:trHeight w:val="124"/>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8"/>
              </w:rPr>
              <w:t>7/13/2027</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120" w:type="dxa"/>
            <w:vAlign w:val="bottom"/>
            <w:vMerge w:val="restart"/>
          </w:tcPr>
          <w:p>
            <w:pPr>
              <w:jc w:val="right"/>
              <w:ind w:right="112"/>
              <w:spacing w:after="0"/>
              <w:rPr>
                <w:sz w:val="20"/>
                <w:szCs w:val="20"/>
                <w:color w:val="auto"/>
              </w:rPr>
            </w:pPr>
            <w:r>
              <w:rPr>
                <w:rFonts w:ascii="Times New Roman" w:cs="Times New Roman" w:eastAsia="Times New Roman" w:hAnsi="Times New Roman"/>
                <w:sz w:val="10"/>
                <w:szCs w:val="10"/>
                <w:color w:val="auto"/>
              </w:rPr>
              <w:t>10.39 %</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auto"/>
              </w:rPr>
              <w:t>SOFR+561</w:t>
            </w:r>
          </w:p>
        </w:tc>
        <w:tc>
          <w:tcPr>
            <w:tcW w:w="9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3,765</w:t>
            </w:r>
          </w:p>
        </w:tc>
        <w:tc>
          <w:tcPr>
            <w:tcW w:w="240" w:type="dxa"/>
            <w:vAlign w:val="bottom"/>
          </w:tcPr>
          <w:p>
            <w:pPr>
              <w:spacing w:after="0"/>
              <w:rPr>
                <w:sz w:val="10"/>
                <w:szCs w:val="10"/>
                <w:color w:val="auto"/>
              </w:rPr>
            </w:pPr>
          </w:p>
        </w:tc>
        <w:tc>
          <w:tcPr>
            <w:tcW w:w="6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3,726</w:t>
            </w:r>
          </w:p>
        </w:tc>
        <w:tc>
          <w:tcPr>
            <w:tcW w:w="180" w:type="dxa"/>
            <w:vAlign w:val="bottom"/>
          </w:tcPr>
          <w:p>
            <w:pPr>
              <w:spacing w:after="0"/>
              <w:rPr>
                <w:sz w:val="10"/>
                <w:szCs w:val="10"/>
                <w:color w:val="auto"/>
              </w:rPr>
            </w:pPr>
          </w:p>
        </w:tc>
        <w:tc>
          <w:tcPr>
            <w:tcW w:w="7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3,765</w:t>
            </w:r>
          </w:p>
        </w:tc>
        <w:tc>
          <w:tcPr>
            <w:tcW w:w="0" w:type="dxa"/>
            <w:vAlign w:val="bottom"/>
          </w:tcPr>
          <w:p>
            <w:pPr>
              <w:spacing w:after="0"/>
              <w:rPr>
                <w:sz w:val="1"/>
                <w:szCs w:val="1"/>
                <w:color w:val="auto"/>
              </w:rPr>
            </w:pPr>
          </w:p>
        </w:tc>
      </w:tr>
      <w:tr>
        <w:trPr>
          <w:trHeight w:val="56"/>
        </w:trPr>
        <w:tc>
          <w:tcPr>
            <w:tcW w:w="316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82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8/16/2027</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10.22 %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SOFR+586</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2,062</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2,046</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2,047</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8/31/2027</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9.68 %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SOFR+535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14,525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14,378</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14,525</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12/21/2028</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9.71 %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SOFR+535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2,594</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2,423</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2,516</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11/3/2025</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Goods: Durable</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10.71 %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SOFR+635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13,694</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13,677</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13,640</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Duggal Acquisiton,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9/30/2030</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9.08 %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SOFR+475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4,988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4,940</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4,938</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Dynata, LLC - First Out Term Loan </w:t>
            </w:r>
            <w:r>
              <w:rPr>
                <w:rFonts w:ascii="Times New Roman" w:cs="Times New Roman" w:eastAsia="Times New Roman" w:hAnsi="Times New Roman"/>
                <w:sz w:val="12"/>
                <w:szCs w:val="12"/>
                <w:color w:val="auto"/>
                <w:vertAlign w:val="superscript"/>
              </w:rPr>
              <w:t>(5)</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7/15/2028</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9.79 %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SOFR+526</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1,357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1,266</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1,357</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Dynata, LLC - Last Out Term Loan</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10/15/2028</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10.29 %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SOFR+576</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8,418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8,418</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7,808</w:t>
            </w:r>
          </w:p>
        </w:tc>
        <w:tc>
          <w:tcPr>
            <w:tcW w:w="0" w:type="dxa"/>
            <w:vAlign w:val="bottom"/>
          </w:tcPr>
          <w:p>
            <w:pPr>
              <w:spacing w:after="0"/>
              <w:rPr>
                <w:sz w:val="1"/>
                <w:szCs w:val="1"/>
                <w:color w:val="auto"/>
              </w:rPr>
            </w:pPr>
          </w:p>
        </w:tc>
      </w:tr>
      <w:tr>
        <w:trPr>
          <w:trHeight w:val="121"/>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Electronic Equipment, Instruments,</w:t>
            </w:r>
          </w:p>
        </w:tc>
        <w:tc>
          <w:tcPr>
            <w:tcW w:w="1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1/10/2029</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and Components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10.08 %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8,843</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8,745</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8,776</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Emergency Care Partners,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10/18/2027</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10.13 %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5,985</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5,945</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5,940</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3/15/2027</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10.92 %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SOFR+635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12,514</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12,394</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12,514</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5/29/2029</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11.01 %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SOFR+650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12,218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12,011</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12,218</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Eval Home Solutions Intermediate,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5/10/2030</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10.11 %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9,245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9,112</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9,152</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Fairbanks More Defense</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6/17/2028</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9.33 %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SOFR+450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10,092</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10,051</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10,141</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GGG MIDCO,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9/27/2030</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9.41 %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SOFR+500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9,988</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9,893</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9,888</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3/16/2026</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9.98 %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SOFR+560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3,620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3,612</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3,475</w:t>
            </w:r>
          </w:p>
        </w:tc>
        <w:tc>
          <w:tcPr>
            <w:tcW w:w="0" w:type="dxa"/>
            <w:vAlign w:val="bottom"/>
          </w:tcPr>
          <w:p>
            <w:pPr>
              <w:spacing w:after="0"/>
              <w:rPr>
                <w:sz w:val="1"/>
                <w:szCs w:val="1"/>
                <w:color w:val="auto"/>
              </w:rPr>
            </w:pPr>
          </w:p>
        </w:tc>
      </w:tr>
      <w:tr>
        <w:trPr>
          <w:trHeight w:val="124"/>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8"/>
              </w:rPr>
              <w:t>8/10/2027</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1120" w:type="dxa"/>
            <w:vAlign w:val="bottom"/>
            <w:vMerge w:val="restart"/>
          </w:tcPr>
          <w:p>
            <w:pPr>
              <w:jc w:val="right"/>
              <w:ind w:right="112"/>
              <w:spacing w:after="0"/>
              <w:rPr>
                <w:sz w:val="20"/>
                <w:szCs w:val="20"/>
                <w:color w:val="auto"/>
              </w:rPr>
            </w:pPr>
            <w:r>
              <w:rPr>
                <w:rFonts w:ascii="Times New Roman" w:cs="Times New Roman" w:eastAsia="Times New Roman" w:hAnsi="Times New Roman"/>
                <w:sz w:val="10"/>
                <w:szCs w:val="10"/>
                <w:color w:val="auto"/>
              </w:rPr>
              <w:t>10.03 %</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auto"/>
              </w:rPr>
              <w:t>SOFR+560</w:t>
            </w:r>
          </w:p>
        </w:tc>
        <w:tc>
          <w:tcPr>
            <w:tcW w:w="9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3,713</w:t>
            </w:r>
          </w:p>
        </w:tc>
        <w:tc>
          <w:tcPr>
            <w:tcW w:w="240" w:type="dxa"/>
            <w:vAlign w:val="bottom"/>
          </w:tcPr>
          <w:p>
            <w:pPr>
              <w:spacing w:after="0"/>
              <w:rPr>
                <w:sz w:val="10"/>
                <w:szCs w:val="10"/>
                <w:color w:val="auto"/>
              </w:rPr>
            </w:pPr>
          </w:p>
        </w:tc>
        <w:tc>
          <w:tcPr>
            <w:tcW w:w="6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3,679</w:t>
            </w:r>
          </w:p>
        </w:tc>
        <w:tc>
          <w:tcPr>
            <w:tcW w:w="180" w:type="dxa"/>
            <w:vAlign w:val="bottom"/>
          </w:tcPr>
          <w:p>
            <w:pPr>
              <w:spacing w:after="0"/>
              <w:rPr>
                <w:sz w:val="10"/>
                <w:szCs w:val="10"/>
                <w:color w:val="auto"/>
              </w:rPr>
            </w:pPr>
          </w:p>
        </w:tc>
        <w:tc>
          <w:tcPr>
            <w:tcW w:w="7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3,657</w:t>
            </w:r>
          </w:p>
        </w:tc>
        <w:tc>
          <w:tcPr>
            <w:tcW w:w="0" w:type="dxa"/>
            <w:vAlign w:val="bottom"/>
          </w:tcPr>
          <w:p>
            <w:pPr>
              <w:spacing w:after="0"/>
              <w:rPr>
                <w:sz w:val="1"/>
                <w:szCs w:val="1"/>
                <w:color w:val="auto"/>
              </w:rPr>
            </w:pPr>
          </w:p>
        </w:tc>
      </w:tr>
      <w:tr>
        <w:trPr>
          <w:trHeight w:val="44"/>
        </w:trPr>
        <w:tc>
          <w:tcPr>
            <w:tcW w:w="316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8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12/31/2026</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9.93 %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SOFR+560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2,153</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2,133</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2,153</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Harris &amp; Co.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8/9/2030</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9.36 %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SOFR+500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19,950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19,785</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19,950</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HEC Purchaser Corp</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6/17/2029</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9.75 %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3,682</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3,641</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3,667</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Hills Distribution,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11/8/2029</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10.40 %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SOFR+600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8,935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8,813</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8,845</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5/10/2026</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10.23 %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SOFR+590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3,486</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3,458</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3,486</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11/15/2027</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9.59 %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SOFR+510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9,131</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9,005</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9,108</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12/28/2028</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9.83 %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6,014</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5,924</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6,014</w:t>
            </w:r>
          </w:p>
        </w:tc>
        <w:tc>
          <w:tcPr>
            <w:tcW w:w="0" w:type="dxa"/>
            <w:vAlign w:val="bottom"/>
          </w:tcPr>
          <w:p>
            <w:pPr>
              <w:spacing w:after="0"/>
              <w:rPr>
                <w:sz w:val="1"/>
                <w:szCs w:val="1"/>
                <w:color w:val="auto"/>
              </w:rPr>
            </w:pPr>
          </w:p>
        </w:tc>
      </w:tr>
      <w:tr>
        <w:trPr>
          <w:trHeight w:val="121"/>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Integrative Nutrition,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1/31/2025</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11.75 %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SOFR+715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11,250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11,236</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8,437</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(PIK 2.25%)</w:t>
            </w: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Inventus Power,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6/30/2025</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Goods: Durable</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11.97 %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SOFR+761</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8,143</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8,094</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8,143</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ITI Holdings,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3/3/2028</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IT Services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10.05 %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SOFR+565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3,890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3,849</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3,890</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11/10/2027</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10.48 %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SOFR+615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13,492</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13,301</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13,492</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2/18/2027</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12.28 %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SOFR+785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14,923</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14,750</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14,700</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820" w:type="dxa"/>
            <w:vAlign w:val="bottom"/>
            <w:shd w:val="clear" w:color="auto" w:fill="CCECFF"/>
          </w:tcPr>
          <w:p>
            <w:pPr>
              <w:spacing w:after="0"/>
              <w:rPr>
                <w:sz w:val="10"/>
                <w:szCs w:val="10"/>
                <w:color w:val="auto"/>
              </w:rPr>
            </w:pPr>
          </w:p>
        </w:tc>
        <w:tc>
          <w:tcPr>
            <w:tcW w:w="11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(PIK 5.10%)</w:t>
            </w:r>
          </w:p>
        </w:tc>
        <w:tc>
          <w:tcPr>
            <w:tcW w:w="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160" w:type="dxa"/>
            <w:vAlign w:val="bottom"/>
          </w:tcPr>
          <w:p>
            <w:pPr>
              <w:ind w:left="20"/>
              <w:spacing w:after="0" w:line="121" w:lineRule="exact"/>
              <w:rPr>
                <w:sz w:val="20"/>
                <w:szCs w:val="20"/>
                <w:color w:val="auto"/>
              </w:rPr>
            </w:pPr>
            <w:r>
              <w:rPr>
                <w:rFonts w:ascii="Times New Roman" w:cs="Times New Roman" w:eastAsia="Times New Roman" w:hAnsi="Times New Roman"/>
                <w:sz w:val="10"/>
                <w:szCs w:val="10"/>
                <w:color w:val="auto"/>
              </w:rPr>
              <w:t xml:space="preserve">LAV Gear Holdings, Inc. </w:t>
            </w:r>
            <w:r>
              <w:rPr>
                <w:rFonts w:ascii="Times New Roman" w:cs="Times New Roman" w:eastAsia="Times New Roman" w:hAnsi="Times New Roman"/>
                <w:sz w:val="12"/>
                <w:szCs w:val="12"/>
                <w:color w:val="auto"/>
                <w:vertAlign w:val="superscript"/>
              </w:rPr>
              <w:t>(5)</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10.87 %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SOFR+643</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15,352</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15,331</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14,600</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(PIK 10.87%)</w:t>
            </w: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2/3/2026</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10.00 %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SOFR+540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11,330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11,267</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11,216</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1/31/2030</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Environmental Industries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9.28 %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2,553</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2,511</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2,553</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5/31/2028</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10.33 %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SOFR+600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7,389</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7,277</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7,334</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Lucky Bucks, LLC - First-Out Term Loan </w:t>
            </w:r>
            <w:r>
              <w:rPr>
                <w:rFonts w:ascii="Times New Roman" w:cs="Times New Roman" w:eastAsia="Times New Roman" w:hAnsi="Times New Roman"/>
                <w:sz w:val="12"/>
                <w:szCs w:val="12"/>
                <w:color w:val="auto"/>
                <w:vertAlign w:val="superscript"/>
              </w:rPr>
              <w:t>(5)</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10/2/2028</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12.10 %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SOFR+765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258</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258</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258</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Lucky Bucks, LLC - Last-Out Term Loan</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10/2/2029</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12.10 %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SOFR+765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517</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517</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517</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4/1/2027</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9.93 %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SOFR+560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2,212</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2,143</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2,068</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 - First-Out Term Loan</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7/31/2028</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11.60 %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SOFR+701</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357</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357</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328</w:t>
            </w:r>
          </w:p>
        </w:tc>
        <w:tc>
          <w:tcPr>
            <w:tcW w:w="0" w:type="dxa"/>
            <w:vAlign w:val="bottom"/>
          </w:tcPr>
          <w:p>
            <w:pPr>
              <w:spacing w:after="0"/>
              <w:rPr>
                <w:sz w:val="1"/>
                <w:szCs w:val="1"/>
                <w:color w:val="auto"/>
              </w:rPr>
            </w:pPr>
          </w:p>
        </w:tc>
      </w:tr>
      <w:tr>
        <w:trPr>
          <w:trHeight w:val="121"/>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Magenta Buyer, LLC - Second-Out Term Loan</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7/31/2028</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12.60 %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SOFR+801</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458</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458</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270</w:t>
            </w:r>
          </w:p>
        </w:tc>
        <w:tc>
          <w:tcPr>
            <w:tcW w:w="0" w:type="dxa"/>
            <w:vAlign w:val="bottom"/>
          </w:tcPr>
          <w:p>
            <w:pPr>
              <w:spacing w:after="0"/>
              <w:rPr>
                <w:sz w:val="1"/>
                <w:szCs w:val="1"/>
                <w:color w:val="auto"/>
              </w:rPr>
            </w:pPr>
          </w:p>
        </w:tc>
      </w:tr>
      <w:tr>
        <w:trPr>
          <w:trHeight w:val="124"/>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(PIK 6.25%)</w:t>
            </w: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408940</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620" w:type="dxa"/>
            <w:vAlign w:val="bottom"/>
          </w:tcPr>
          <w:p>
            <w:pPr>
              <w:jc w:val="center"/>
              <w:ind w:left="152"/>
              <w:spacing w:after="0"/>
              <w:rPr>
                <w:sz w:val="20"/>
                <w:szCs w:val="20"/>
                <w:color w:val="auto"/>
              </w:rPr>
            </w:pPr>
            <w:r>
              <w:rPr>
                <w:rFonts w:ascii="Times New Roman" w:cs="Times New Roman" w:eastAsia="Times New Roman" w:hAnsi="Times New Roman"/>
                <w:sz w:val="10"/>
                <w:szCs w:val="10"/>
                <w:b w:val="1"/>
                <w:bCs w:val="1"/>
                <w:color w:val="auto"/>
                <w:w w:val="97"/>
              </w:rPr>
              <w:t>Current</w:t>
            </w:r>
          </w:p>
        </w:tc>
        <w:tc>
          <w:tcPr>
            <w:tcW w:w="50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Spread Above</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Par or Number of</w:t>
            </w: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3160" w:type="dxa"/>
            <w:vAlign w:val="bottom"/>
          </w:tcPr>
          <w:p>
            <w:pPr>
              <w:ind w:left="2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Issuer Name </w:t>
            </w:r>
            <w:r>
              <w:rPr>
                <w:rFonts w:ascii="Times New Roman" w:cs="Times New Roman" w:eastAsia="Times New Roman" w:hAnsi="Times New Roman"/>
                <w:sz w:val="12"/>
                <w:szCs w:val="12"/>
                <w:b w:val="1"/>
                <w:bCs w:val="1"/>
                <w:color w:val="auto"/>
                <w:vertAlign w:val="superscript"/>
              </w:rPr>
              <w:t>(6)</w:t>
            </w:r>
          </w:p>
        </w:tc>
        <w:tc>
          <w:tcPr>
            <w:tcW w:w="840" w:type="dxa"/>
            <w:vAlign w:val="bottom"/>
          </w:tcPr>
          <w:p>
            <w:pPr>
              <w:ind w:left="24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620" w:type="dxa"/>
            <w:vAlign w:val="bottom"/>
          </w:tcPr>
          <w:p>
            <w:pPr>
              <w:jc w:val="center"/>
              <w:ind w:left="172"/>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50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(1)</w:t>
            </w:r>
          </w:p>
        </w:tc>
        <w:tc>
          <w:tcPr>
            <w:tcW w:w="96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40" w:type="dxa"/>
            <w:vAlign w:val="bottom"/>
          </w:tcPr>
          <w:p>
            <w:pPr>
              <w:spacing w:after="0"/>
              <w:rPr>
                <w:sz w:val="10"/>
                <w:szCs w:val="10"/>
                <w:color w:val="auto"/>
              </w:rPr>
            </w:pPr>
          </w:p>
        </w:tc>
        <w:tc>
          <w:tcPr>
            <w:tcW w:w="62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0"/>
                <w:szCs w:val="10"/>
                <w:color w:val="auto"/>
              </w:rPr>
            </w:pPr>
          </w:p>
        </w:tc>
        <w:tc>
          <w:tcPr>
            <w:tcW w:w="700" w:type="dxa"/>
            <w:vAlign w:val="bottom"/>
          </w:tcPr>
          <w:p>
            <w:pPr>
              <w:jc w:val="right"/>
              <w:ind w:right="132"/>
              <w:spacing w:after="0" w:line="122" w:lineRule="exact"/>
              <w:rPr>
                <w:sz w:val="20"/>
                <w:szCs w:val="20"/>
                <w:color w:val="auto"/>
              </w:rPr>
            </w:pPr>
            <w:r>
              <w:rPr>
                <w:rFonts w:ascii="Times New Roman" w:cs="Times New Roman" w:eastAsia="Times New Roman" w:hAnsi="Times New Roman"/>
                <w:sz w:val="10"/>
                <w:szCs w:val="10"/>
                <w:b w:val="1"/>
                <w:bCs w:val="1"/>
                <w:color w:val="auto"/>
                <w:w w:val="90"/>
              </w:rPr>
              <w:t>Fair Value</w:t>
            </w:r>
            <w:r>
              <w:rPr>
                <w:rFonts w:ascii="Times New Roman" w:cs="Times New Roman" w:eastAsia="Times New Roman" w:hAnsi="Times New Roman"/>
                <w:sz w:val="12"/>
                <w:szCs w:val="12"/>
                <w:b w:val="1"/>
                <w:bCs w:val="1"/>
                <w:color w:val="auto"/>
                <w:w w:val="90"/>
                <w:vertAlign w:val="superscript"/>
              </w:rPr>
              <w:t>(2)</w:t>
            </w: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 - Third-Out Term Loan</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7/31/2028</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w w:val="95"/>
              </w:rPr>
              <w:t>11.85 %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SOFR+726</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1,695</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1,695</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570</w:t>
            </w:r>
          </w:p>
        </w:tc>
      </w:tr>
      <w:tr>
        <w:trPr>
          <w:trHeight w:val="120"/>
        </w:trPr>
        <w:tc>
          <w:tcPr>
            <w:tcW w:w="316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820" w:type="dxa"/>
            <w:vAlign w:val="bottom"/>
            <w:shd w:val="clear" w:color="auto" w:fill="CCECFF"/>
          </w:tcPr>
          <w:p>
            <w:pPr>
              <w:spacing w:after="0"/>
              <w:rPr>
                <w:sz w:val="10"/>
                <w:szCs w:val="10"/>
                <w:color w:val="auto"/>
              </w:rPr>
            </w:pPr>
          </w:p>
        </w:tc>
        <w:tc>
          <w:tcPr>
            <w:tcW w:w="1120" w:type="dxa"/>
            <w:vAlign w:val="bottom"/>
            <w:gridSpan w:val="2"/>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(PIK 5.50%)</w:t>
            </w:r>
          </w:p>
        </w:tc>
        <w:tc>
          <w:tcPr>
            <w:tcW w:w="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4/16/2027</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10.67 %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SOFR+585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8,309</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8,226</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8,317</w:t>
            </w: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MDI Buyer,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7/25/2028</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w w:val="95"/>
              </w:rPr>
              <w:t>10.08 %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6,300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6,213</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6,244</w:t>
            </w: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12/10/2027</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9.98 %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SOFR+590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2,342</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2,315</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2,283</w:t>
            </w: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Medina Health,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10/20/2028</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w w:val="95"/>
              </w:rPr>
              <w:t>10.58 %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SOFR+625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19,151</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18,878</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19,151</w:t>
            </w:r>
          </w:p>
        </w:tc>
      </w:tr>
      <w:tr>
        <w:trPr>
          <w:trHeight w:val="121"/>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Electronic Equipment, Instruments,</w:t>
            </w: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Megawatt Acquisitionco,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3/1/2030</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and Components</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9.83 %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15,632</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15,427</w:t>
            </w: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13,661</w:t>
            </w: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Mission Critical Electronics,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3/31/2025</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w w:val="95"/>
              </w:rPr>
              <w:t>10.23 %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SOFR+590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5,536</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5,536</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5,536</w:t>
            </w: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MOREGroup Holdings,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1/16/2030</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9.58 %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13,034</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12,865</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13,034</w:t>
            </w: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9/28/2027</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9.48 %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SOFR+515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3,386</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3,350</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3,386</w:t>
            </w: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8/19/2026</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&amp; Childcare</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10.38 %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SOFR+585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10,575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10,486</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10,575</w:t>
            </w: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NFS - CFP Holdings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9/13/2030</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9.08 %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SOFR+475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14,963</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14,859</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14,850</w:t>
            </w: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NORA Acquisition,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8/31/2029</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10.68 %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SOFR+635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21,220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20,883</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21,220</w:t>
            </w: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Omnia Exterior Solutions, LLC - Second Amendment Term Loan</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12/29/2029</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9.58 %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12,989</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12,881</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12,891</w:t>
            </w: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5/7/2027</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10.72 %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SOFR+636</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15,640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15,451</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15,640</w:t>
            </w: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ORL Acquisitions,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9/3/2027</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w w:val="95"/>
              </w:rPr>
              <w:t>13.73 %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SOFR+940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2,170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2,156</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1,888</w:t>
            </w:r>
          </w:p>
        </w:tc>
      </w:tr>
      <w:tr>
        <w:trPr>
          <w:trHeight w:val="120"/>
        </w:trPr>
        <w:tc>
          <w:tcPr>
            <w:tcW w:w="316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820" w:type="dxa"/>
            <w:vAlign w:val="bottom"/>
            <w:shd w:val="clear" w:color="auto" w:fill="CCECFF"/>
          </w:tcPr>
          <w:p>
            <w:pPr>
              <w:spacing w:after="0"/>
              <w:rPr>
                <w:sz w:val="10"/>
                <w:szCs w:val="10"/>
                <w:color w:val="auto"/>
              </w:rPr>
            </w:pPr>
          </w:p>
        </w:tc>
        <w:tc>
          <w:tcPr>
            <w:tcW w:w="1120" w:type="dxa"/>
            <w:vAlign w:val="bottom"/>
            <w:gridSpan w:val="2"/>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(PIK 7.50%)</w:t>
            </w:r>
          </w:p>
        </w:tc>
        <w:tc>
          <w:tcPr>
            <w:tcW w:w="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OSP Embedded Purchaser,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12/15/2029</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10.08 %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9,975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9,831</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9,815</w:t>
            </w: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Output Services Group, Inc - First-Out Term Loan</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11/30/2028</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w w:val="95"/>
              </w:rPr>
              <w:t>12.86 %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SOFR+800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821</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821</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821</w:t>
            </w: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Output Services Group, Inc - Last-Out Term Loan</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5/30/2028</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11.11 %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SOFR+625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1,667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1,667</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1,667</w:t>
            </w: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2/4/2028</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9.71 %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SOFR+535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3,893</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3,844</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3,844</w:t>
            </w: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Pacific Purchaser,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9/30/2028</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10.53 %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SOFR+625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11,908</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11,727</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11,801</w:t>
            </w: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PAR Excellence Holdings,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9/3/2030</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9.47 %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SOFR+475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5,000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4,954</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4,950</w:t>
            </w: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PCS Midco,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3/1/2030</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10.08 %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3,862</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3,812</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3,862</w:t>
            </w: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PH Beauty Holdings III,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9/29/2025</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Wholesale</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w w:val="95"/>
              </w:rPr>
              <w:t>10.17 %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SOFR+543</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9,366</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9,293</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9,281</w:t>
            </w:r>
          </w:p>
        </w:tc>
      </w:tr>
      <w:tr>
        <w:trPr>
          <w:trHeight w:val="121"/>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11/9/2027</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Textiles, Apparel and Luxury Goods</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11.99 %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SOFR+725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7,927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7,850</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5,787</w:t>
            </w:r>
          </w:p>
        </w:tc>
      </w:tr>
      <w:tr>
        <w:trPr>
          <w:trHeight w:val="120"/>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120" w:type="dxa"/>
            <w:vAlign w:val="bottom"/>
            <w:gridSpan w:val="2"/>
          </w:tcPr>
          <w:p>
            <w:pPr>
              <w:jc w:val="right"/>
              <w:ind w:right="192"/>
              <w:spacing w:after="0"/>
              <w:rPr>
                <w:sz w:val="20"/>
                <w:szCs w:val="20"/>
                <w:color w:val="auto"/>
              </w:rPr>
            </w:pPr>
            <w:r>
              <w:rPr>
                <w:rFonts w:ascii="Times New Roman" w:cs="Times New Roman" w:eastAsia="Times New Roman" w:hAnsi="Times New Roman"/>
                <w:sz w:val="10"/>
                <w:szCs w:val="10"/>
                <w:color w:val="auto"/>
              </w:rPr>
              <w:t>(PIK 4.00%)</w:t>
            </w: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Pragmatic Institute, LLC </w:t>
            </w:r>
            <w:r>
              <w:rPr>
                <w:rFonts w:ascii="Times New Roman" w:cs="Times New Roman" w:eastAsia="Times New Roman" w:hAnsi="Times New Roman"/>
                <w:sz w:val="12"/>
                <w:szCs w:val="12"/>
                <w:color w:val="auto"/>
                <w:vertAlign w:val="superscript"/>
              </w:rPr>
              <w:t>(4)</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7/6/2028</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0.00 %</w:t>
            </w:r>
          </w:p>
        </w:tc>
        <w:tc>
          <w:tcPr>
            <w:tcW w:w="92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11,953</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11,454</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5,020</w:t>
            </w: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11/19/2026</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10.43 %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SOFR+610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2,768</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2,752</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2,768</w:t>
            </w: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12/18/2025</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9.81 %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18,908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18,832</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18,767</w:t>
            </w: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1/29/2026</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11.48 %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SOFR+715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4,813</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4,788</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4,764</w:t>
            </w: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RRA Corporate,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8/15/2029</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9.33 %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SOFR+500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4,988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4,941</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4,963</w:t>
            </w: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RTIC Subsidiary Holdings,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5/3/2029</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Goods: Durable</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10.08 %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9,950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9,813</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9,776</w:t>
            </w: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6/15/2029</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w w:val="95"/>
              </w:rPr>
              <w:t>10.04 %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4,325</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4,259</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4,260</w:t>
            </w: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S101 Acquisition,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Government Services</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10.17 %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SOFR+565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5,671</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5,616</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5,643</w:t>
            </w: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Sabel Systems Technology Solutions,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10/31/2030</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w w:val="95"/>
              </w:rPr>
              <w:t>10.58 %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SOFR+625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6,000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5,944</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5,940</w:t>
            </w: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Safe Haven Defense US,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5/23/2029</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9.36 %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9,946</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9,809</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9,946</w:t>
            </w: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7/7/2026</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w w:val="95"/>
              </w:rPr>
              <w:t>10.53 %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SOFR+620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9,268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9,247</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9,268</w:t>
            </w:r>
          </w:p>
        </w:tc>
      </w:tr>
      <w:tr>
        <w:trPr>
          <w:trHeight w:val="121"/>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Schlesinger Global,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7/14/2025</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12.96 %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SOFR+835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12,574</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12,574</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11,976</w:t>
            </w:r>
          </w:p>
        </w:tc>
      </w:tr>
      <w:tr>
        <w:trPr>
          <w:trHeight w:val="120"/>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120" w:type="dxa"/>
            <w:vAlign w:val="bottom"/>
            <w:gridSpan w:val="2"/>
          </w:tcPr>
          <w:p>
            <w:pPr>
              <w:jc w:val="right"/>
              <w:ind w:right="192"/>
              <w:spacing w:after="0"/>
              <w:rPr>
                <w:sz w:val="20"/>
                <w:szCs w:val="20"/>
                <w:color w:val="auto"/>
              </w:rPr>
            </w:pPr>
            <w:r>
              <w:rPr>
                <w:rFonts w:ascii="Times New Roman" w:cs="Times New Roman" w:eastAsia="Times New Roman" w:hAnsi="Times New Roman"/>
                <w:sz w:val="10"/>
                <w:szCs w:val="10"/>
                <w:color w:val="auto"/>
              </w:rPr>
              <w:t>(PIK 0.50%)</w:t>
            </w: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6/13/2029</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w w:val="95"/>
              </w:rPr>
              <w:t>10.48 %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SOFR+615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4,888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4,833</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4,692</w:t>
            </w: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12/18/2027</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11.23 %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SOFR+690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18,537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18,310</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18,444</w:t>
            </w: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Smartronix,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11/23/2028</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w w:val="95"/>
              </w:rPr>
              <w:t>10.35 %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SOFR+610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4,850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4,791</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4,850</w:t>
            </w:r>
          </w:p>
        </w:tc>
      </w:tr>
      <w:tr>
        <w:trPr>
          <w:trHeight w:val="121"/>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Smile Brands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10/14/2025</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10.43 %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SOFR+600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11,922</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11,901</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10,551</w:t>
            </w:r>
          </w:p>
        </w:tc>
      </w:tr>
      <w:tr>
        <w:trPr>
          <w:trHeight w:val="120"/>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120" w:type="dxa"/>
            <w:vAlign w:val="bottom"/>
            <w:gridSpan w:val="2"/>
          </w:tcPr>
          <w:p>
            <w:pPr>
              <w:jc w:val="right"/>
              <w:ind w:right="192"/>
              <w:spacing w:after="0"/>
              <w:rPr>
                <w:sz w:val="20"/>
                <w:szCs w:val="20"/>
                <w:color w:val="auto"/>
              </w:rPr>
            </w:pPr>
            <w:r>
              <w:rPr>
                <w:rFonts w:ascii="Times New Roman" w:cs="Times New Roman" w:eastAsia="Times New Roman" w:hAnsi="Times New Roman"/>
                <w:sz w:val="10"/>
                <w:szCs w:val="10"/>
                <w:color w:val="auto"/>
              </w:rPr>
              <w:t>(PIK 1.50%)</w:t>
            </w: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7/17/2025</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w w:val="95"/>
              </w:rPr>
              <w:t>11.74 %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SOFR+715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4,582</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4,566</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4,582</w:t>
            </w: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3/1/2028</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9.48 %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SOFR+515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4,060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4,011</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4,060</w:t>
            </w: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11/24/2028</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8.76 %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SOFR+425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1,773</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1,700</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1,418</w:t>
            </w: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SV-Aero Holdings,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11/1/2030</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9.58 %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15,000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14,925</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14,850</w:t>
            </w: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w w:val="97"/>
              </w:rPr>
              <w:t>System Planning and Analysis, Inc. (f/k/a Management Consulting &amp; Research,</w:t>
            </w:r>
          </w:p>
        </w:tc>
        <w:tc>
          <w:tcPr>
            <w:tcW w:w="840" w:type="dxa"/>
            <w:vAlign w:val="bottom"/>
            <w:shd w:val="clear" w:color="auto" w:fill="CCECFF"/>
          </w:tcPr>
          <w:p>
            <w:pPr>
              <w:spacing w:after="0"/>
              <w:rPr>
                <w:sz w:val="10"/>
                <w:szCs w:val="10"/>
                <w:color w:val="auto"/>
              </w:rPr>
            </w:pPr>
          </w:p>
        </w:tc>
        <w:tc>
          <w:tcPr>
            <w:tcW w:w="18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8/16/2027</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9.28 %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SOFR+500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14,550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14,417</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14,565</w:t>
            </w:r>
          </w:p>
        </w:tc>
      </w:tr>
      <w:tr>
        <w:trPr>
          <w:trHeight w:val="121"/>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97"/>
              </w:rPr>
              <w:t>STG Distribution, LLC (fka Reception Purchaser) - First Out New Money Term</w:t>
            </w:r>
          </w:p>
        </w:tc>
        <w:tc>
          <w:tcPr>
            <w:tcW w:w="8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Loans</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10/3/2029</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12.87 %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SOFR+835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1,855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1,752</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1,836</w:t>
            </w:r>
          </w:p>
        </w:tc>
      </w:tr>
      <w:tr>
        <w:trPr>
          <w:trHeight w:val="120"/>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120" w:type="dxa"/>
            <w:vAlign w:val="bottom"/>
            <w:gridSpan w:val="2"/>
          </w:tcPr>
          <w:p>
            <w:pPr>
              <w:jc w:val="right"/>
              <w:ind w:right="192"/>
              <w:spacing w:after="0"/>
              <w:rPr>
                <w:sz w:val="20"/>
                <w:szCs w:val="20"/>
                <w:color w:val="auto"/>
              </w:rPr>
            </w:pPr>
            <w:r>
              <w:rPr>
                <w:rFonts w:ascii="Times New Roman" w:cs="Times New Roman" w:eastAsia="Times New Roman" w:hAnsi="Times New Roman"/>
                <w:sz w:val="10"/>
                <w:szCs w:val="10"/>
                <w:color w:val="auto"/>
              </w:rPr>
              <w:t>(PIK 7.25%)</w:t>
            </w: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STG Distribution, LLC (fka Reception Purchaser) - Second Out Term Loans</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10/3/2029</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w w:val="95"/>
              </w:rPr>
              <w:t>12.12 %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SOFR+760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4,314</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2,309</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2,243</w:t>
            </w:r>
          </w:p>
        </w:tc>
      </w:tr>
      <w:tr>
        <w:trPr>
          <w:trHeight w:val="120"/>
        </w:trPr>
        <w:tc>
          <w:tcPr>
            <w:tcW w:w="316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820" w:type="dxa"/>
            <w:vAlign w:val="bottom"/>
            <w:shd w:val="clear" w:color="auto" w:fill="CCECFF"/>
          </w:tcPr>
          <w:p>
            <w:pPr>
              <w:spacing w:after="0"/>
              <w:rPr>
                <w:sz w:val="10"/>
                <w:szCs w:val="10"/>
                <w:color w:val="auto"/>
              </w:rPr>
            </w:pPr>
          </w:p>
        </w:tc>
        <w:tc>
          <w:tcPr>
            <w:tcW w:w="1120" w:type="dxa"/>
            <w:vAlign w:val="bottom"/>
            <w:gridSpan w:val="2"/>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(PIK 6.50%)</w:t>
            </w:r>
          </w:p>
        </w:tc>
        <w:tc>
          <w:tcPr>
            <w:tcW w:w="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TCG 3.0 Jogger Acquisitionco</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1/23/2029</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10.83 %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SOFR+650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19,577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19,278</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19,381</w:t>
            </w: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11/24/2028</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9.46 %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SOFR+500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342</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332</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343</w:t>
            </w: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3/13/2031</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9.11 %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SOFR+475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5,459</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5,405</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5,501</w:t>
            </w: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7/27/2026</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w w:val="95"/>
              </w:rPr>
              <w:t>10.98 %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SOFR+665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8,504</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8,421</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8,504</w:t>
            </w: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8/31/2027</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Construction and Engineering</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10.50 %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SOFR+610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17,617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17,379</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17,370</w:t>
            </w: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TPC US Parent,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11/24/2025</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Consumer Goods: Non-Durable</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w w:val="95"/>
              </w:rPr>
              <w:t>10.44 %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SOFR+565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16,482</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16,379</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16,481</w:t>
            </w: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Transgo,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12/29/2028</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Automotive</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10.11 %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17,884</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17,647</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17,884</w:t>
            </w: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6/16/2025</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w w:val="95"/>
              </w:rPr>
              <w:t>10.80 %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SOFR+640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779</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780</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778</w:t>
            </w: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4/1/2028</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IT Services</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9.49 %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SOFR+490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14,670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14,587</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14,464</w:t>
            </w: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6/15/2026</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9.83 %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6,806</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6,739</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6,771</w:t>
            </w: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w:t>
            </w:r>
            <w:r>
              <w:rPr>
                <w:rFonts w:ascii="Times New Roman" w:cs="Times New Roman" w:eastAsia="Times New Roman" w:hAnsi="Times New Roman"/>
                <w:sz w:val="12"/>
                <w:szCs w:val="12"/>
                <w:color w:val="auto"/>
                <w:vertAlign w:val="superscript"/>
              </w:rPr>
              <w:t>(4)(5)</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3/1/2029</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Wholesale</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0.00 %</w:t>
            </w:r>
          </w:p>
        </w:tc>
        <w:tc>
          <w:tcPr>
            <w:tcW w:w="920" w:type="dxa"/>
            <w:vAlign w:val="bottom"/>
          </w:tcPr>
          <w:p>
            <w:pPr>
              <w:spacing w:after="0"/>
              <w:rPr>
                <w:sz w:val="10"/>
                <w:szCs w:val="10"/>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5,708</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5,028</w:t>
            </w:r>
          </w:p>
        </w:tc>
        <w:tc>
          <w:tcPr>
            <w:tcW w:w="18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1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w w:val="97"/>
              </w:rPr>
              <w:t xml:space="preserve">Walker Edison Furniture Company LLC - Junior Revolving Credit Facility </w:t>
            </w:r>
            <w:r>
              <w:rPr>
                <w:rFonts w:ascii="Times New Roman" w:cs="Times New Roman" w:eastAsia="Times New Roman" w:hAnsi="Times New Roman"/>
                <w:sz w:val="12"/>
                <w:szCs w:val="12"/>
                <w:color w:val="auto"/>
                <w:w w:val="97"/>
                <w:vertAlign w:val="superscript"/>
              </w:rPr>
              <w:t>(4)(5)</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3/1/2029</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Wholesale</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0.00 %</w:t>
            </w:r>
          </w:p>
        </w:tc>
        <w:tc>
          <w:tcPr>
            <w:tcW w:w="92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1,667</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1,667</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1,128</w:t>
            </w: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 DDTL - Unfunded </w:t>
            </w:r>
            <w:r>
              <w:rPr>
                <w:rFonts w:ascii="Times New Roman" w:cs="Times New Roman" w:eastAsia="Times New Roman" w:hAnsi="Times New Roman"/>
                <w:sz w:val="12"/>
                <w:szCs w:val="12"/>
                <w:color w:val="auto"/>
                <w:vertAlign w:val="superscript"/>
              </w:rPr>
              <w:t>(3)(4)(5)</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3/1/2029</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Wholesale</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0.00 %</w:t>
            </w:r>
          </w:p>
        </w:tc>
        <w:tc>
          <w:tcPr>
            <w:tcW w:w="920" w:type="dxa"/>
            <w:vAlign w:val="bottom"/>
          </w:tcPr>
          <w:p>
            <w:pPr>
              <w:spacing w:after="0"/>
              <w:rPr>
                <w:sz w:val="10"/>
                <w:szCs w:val="10"/>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(42 )</w:t>
            </w: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Watchtower Buyer,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12/3/2029</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w w:val="95"/>
              </w:rPr>
              <w:t>10.33 %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SOFR+600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12,158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11,988</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12,158</w:t>
            </w: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1/16/2025</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Automobiles</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12.46 %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SOFR+740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17,264</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17,262</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15,321</w:t>
            </w:r>
          </w:p>
        </w:tc>
      </w:tr>
      <w:tr>
        <w:trPr>
          <w:trHeight w:val="120"/>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120" w:type="dxa"/>
            <w:vAlign w:val="bottom"/>
            <w:gridSpan w:val="2"/>
          </w:tcPr>
          <w:p>
            <w:pPr>
              <w:jc w:val="right"/>
              <w:ind w:right="192"/>
              <w:spacing w:after="0"/>
              <w:rPr>
                <w:sz w:val="20"/>
                <w:szCs w:val="20"/>
                <w:color w:val="auto"/>
              </w:rPr>
            </w:pPr>
            <w:r>
              <w:rPr>
                <w:rFonts w:ascii="Times New Roman" w:cs="Times New Roman" w:eastAsia="Times New Roman" w:hAnsi="Times New Roman"/>
                <w:sz w:val="10"/>
                <w:szCs w:val="10"/>
                <w:color w:val="auto"/>
              </w:rPr>
              <w:t>(PIK 12.46%)</w:t>
            </w: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840" w:type="dxa"/>
            <w:vAlign w:val="bottom"/>
            <w:shd w:val="clear" w:color="auto" w:fill="CCECFF"/>
          </w:tcPr>
          <w:p>
            <w:pPr>
              <w:spacing w:after="0"/>
              <w:rPr>
                <w:sz w:val="10"/>
                <w:szCs w:val="10"/>
                <w:color w:val="auto"/>
              </w:rPr>
            </w:pPr>
          </w:p>
        </w:tc>
        <w:tc>
          <w:tcPr>
            <w:tcW w:w="18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1,064,272</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1,041,856</w:t>
            </w:r>
          </w:p>
        </w:tc>
      </w:tr>
    </w:tbl>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b w:val="1"/>
          <w:bCs w:val="1"/>
          <w:color w:val="auto"/>
        </w:rPr>
        <w:t>Equity Securities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6707505" cy="762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07505" cy="7620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408940</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7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27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680" w:type="dxa"/>
            <w:vAlign w:val="bottom"/>
          </w:tcPr>
          <w:p>
            <w:pPr>
              <w:jc w:val="center"/>
              <w:ind w:left="172"/>
              <w:spacing w:after="0"/>
              <w:rPr>
                <w:sz w:val="20"/>
                <w:szCs w:val="20"/>
                <w:color w:val="auto"/>
              </w:rPr>
            </w:pPr>
            <w:r>
              <w:rPr>
                <w:rFonts w:ascii="Times New Roman" w:cs="Times New Roman" w:eastAsia="Times New Roman" w:hAnsi="Times New Roman"/>
                <w:sz w:val="10"/>
                <w:szCs w:val="10"/>
                <w:b w:val="1"/>
                <w:bCs w:val="1"/>
                <w:color w:val="auto"/>
                <w:w w:val="97"/>
              </w:rPr>
              <w:t>Current</w:t>
            </w:r>
          </w:p>
        </w:tc>
        <w:tc>
          <w:tcPr>
            <w:tcW w:w="48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Spread Above</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6"/>
              </w:rPr>
              <w:t>Par or Number of</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2"/>
        </w:trPr>
        <w:tc>
          <w:tcPr>
            <w:tcW w:w="2780" w:type="dxa"/>
            <w:vAlign w:val="bottom"/>
          </w:tcPr>
          <w:p>
            <w:pPr>
              <w:ind w:left="2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Issuer Name </w:t>
            </w:r>
            <w:r>
              <w:rPr>
                <w:rFonts w:ascii="Times New Roman" w:cs="Times New Roman" w:eastAsia="Times New Roman" w:hAnsi="Times New Roman"/>
                <w:sz w:val="12"/>
                <w:szCs w:val="12"/>
                <w:b w:val="1"/>
                <w:bCs w:val="1"/>
                <w:color w:val="auto"/>
                <w:vertAlign w:val="superscript"/>
              </w:rPr>
              <w:t>(6)</w:t>
            </w:r>
          </w:p>
        </w:tc>
        <w:tc>
          <w:tcPr>
            <w:tcW w:w="1300" w:type="dxa"/>
            <w:vAlign w:val="bottom"/>
          </w:tcPr>
          <w:p>
            <w:pPr>
              <w:ind w:left="62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70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680" w:type="dxa"/>
            <w:vAlign w:val="bottom"/>
          </w:tcPr>
          <w:p>
            <w:pPr>
              <w:jc w:val="center"/>
              <w:ind w:left="192"/>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48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(1)</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89"/>
              </w:rPr>
              <w:t>Shares</w:t>
            </w:r>
          </w:p>
        </w:tc>
        <w:tc>
          <w:tcPr>
            <w:tcW w:w="52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0"/>
                <w:szCs w:val="10"/>
                <w:b w:val="1"/>
                <w:bCs w:val="1"/>
                <w:color w:val="auto"/>
                <w:w w:val="90"/>
              </w:rPr>
              <w:t>Fair Value</w:t>
            </w:r>
            <w:r>
              <w:rPr>
                <w:rFonts w:ascii="Times New Roman" w:cs="Times New Roman" w:eastAsia="Times New Roman" w:hAnsi="Times New Roman"/>
                <w:sz w:val="12"/>
                <w:szCs w:val="12"/>
                <w:b w:val="1"/>
                <w:bCs w:val="1"/>
                <w:color w:val="auto"/>
                <w:w w:val="90"/>
                <w:vertAlign w:val="superscript"/>
              </w:rPr>
              <w:t>(2)</w:t>
            </w: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48Forty Intermediate Holdings, Inc.- Common Equity</w:t>
            </w:r>
          </w:p>
        </w:tc>
        <w:tc>
          <w:tcPr>
            <w:tcW w:w="1300" w:type="dxa"/>
            <w:vAlign w:val="bottom"/>
          </w:tcPr>
          <w:p>
            <w:pPr>
              <w:ind w:left="1000"/>
              <w:spacing w:after="0"/>
              <w:rPr>
                <w:sz w:val="20"/>
                <w:szCs w:val="20"/>
                <w:color w:val="auto"/>
              </w:rPr>
            </w:pPr>
            <w:r>
              <w:rPr>
                <w:rFonts w:ascii="Times New Roman" w:cs="Times New Roman" w:eastAsia="Times New Roman" w:hAnsi="Times New Roman"/>
                <w:sz w:val="10"/>
                <w:szCs w:val="10"/>
                <w:color w:val="auto"/>
              </w:rPr>
              <w:t>—</w:t>
            </w:r>
          </w:p>
        </w:tc>
        <w:tc>
          <w:tcPr>
            <w:tcW w:w="170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Containers and Packaging</w:t>
            </w:r>
          </w:p>
        </w:tc>
        <w:tc>
          <w:tcPr>
            <w:tcW w:w="680" w:type="dxa"/>
            <w:vAlign w:val="bottom"/>
          </w:tcPr>
          <w:p>
            <w:pPr>
              <w:spacing w:after="0"/>
              <w:rPr>
                <w:sz w:val="10"/>
                <w:szCs w:val="10"/>
                <w:color w:val="auto"/>
              </w:rPr>
            </w:pPr>
          </w:p>
        </w:tc>
        <w:tc>
          <w:tcPr>
            <w:tcW w:w="4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New Insight Holdings, Inc.</w:t>
            </w:r>
          </w:p>
        </w:tc>
        <w:tc>
          <w:tcPr>
            <w:tcW w:w="1300" w:type="dxa"/>
            <w:vAlign w:val="bottom"/>
            <w:shd w:val="clear" w:color="auto" w:fill="CCECFF"/>
          </w:tcPr>
          <w:p>
            <w:pPr>
              <w:ind w:left="1000"/>
              <w:spacing w:after="0"/>
              <w:rPr>
                <w:sz w:val="20"/>
                <w:szCs w:val="20"/>
                <w:color w:val="auto"/>
              </w:rPr>
            </w:pPr>
            <w:r>
              <w:rPr>
                <w:rFonts w:ascii="Times New Roman" w:cs="Times New Roman" w:eastAsia="Times New Roman" w:hAnsi="Times New Roman"/>
                <w:sz w:val="10"/>
                <w:szCs w:val="10"/>
                <w:color w:val="auto"/>
              </w:rPr>
              <w:t>—</w:t>
            </w:r>
          </w:p>
        </w:tc>
        <w:tc>
          <w:tcPr>
            <w:tcW w:w="170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116</w:t>
            </w: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2,031</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2,225</w:t>
            </w:r>
          </w:p>
        </w:tc>
        <w:tc>
          <w:tcPr>
            <w:tcW w:w="80" w:type="dxa"/>
            <w:vAlign w:val="bottom"/>
            <w:shd w:val="clear" w:color="auto" w:fill="CCECFF"/>
          </w:tcPr>
          <w:p>
            <w:pPr>
              <w:spacing w:after="0"/>
              <w:rPr>
                <w:sz w:val="10"/>
                <w:szCs w:val="10"/>
                <w:color w:val="auto"/>
              </w:rPr>
            </w:pP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Lucky Bucks, LLC</w:t>
            </w:r>
          </w:p>
        </w:tc>
        <w:tc>
          <w:tcPr>
            <w:tcW w:w="1300" w:type="dxa"/>
            <w:vAlign w:val="bottom"/>
          </w:tcPr>
          <w:p>
            <w:pPr>
              <w:ind w:left="1000"/>
              <w:spacing w:after="0"/>
              <w:rPr>
                <w:sz w:val="20"/>
                <w:szCs w:val="20"/>
                <w:color w:val="auto"/>
              </w:rPr>
            </w:pPr>
            <w:r>
              <w:rPr>
                <w:rFonts w:ascii="Times New Roman" w:cs="Times New Roman" w:eastAsia="Times New Roman" w:hAnsi="Times New Roman"/>
                <w:sz w:val="10"/>
                <w:szCs w:val="10"/>
                <w:color w:val="auto"/>
              </w:rPr>
              <w:t>—</w:t>
            </w:r>
          </w:p>
        </w:tc>
        <w:tc>
          <w:tcPr>
            <w:tcW w:w="170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680" w:type="dxa"/>
            <w:vAlign w:val="bottom"/>
          </w:tcPr>
          <w:p>
            <w:pPr>
              <w:spacing w:after="0"/>
              <w:rPr>
                <w:sz w:val="10"/>
                <w:szCs w:val="10"/>
                <w:color w:val="auto"/>
              </w:rPr>
            </w:pPr>
          </w:p>
        </w:tc>
        <w:tc>
          <w:tcPr>
            <w:tcW w:w="4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74</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2,062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781</w:t>
            </w:r>
          </w:p>
        </w:tc>
        <w:tc>
          <w:tcPr>
            <w:tcW w:w="80" w:type="dxa"/>
            <w:vAlign w:val="bottom"/>
          </w:tcPr>
          <w:p>
            <w:pPr>
              <w:spacing w:after="0"/>
              <w:rPr>
                <w:sz w:val="10"/>
                <w:szCs w:val="10"/>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Output Services Group, Inc</w:t>
            </w:r>
          </w:p>
        </w:tc>
        <w:tc>
          <w:tcPr>
            <w:tcW w:w="1300" w:type="dxa"/>
            <w:vAlign w:val="bottom"/>
            <w:shd w:val="clear" w:color="auto" w:fill="CCECFF"/>
          </w:tcPr>
          <w:p>
            <w:pPr>
              <w:ind w:left="1000"/>
              <w:spacing w:after="0"/>
              <w:rPr>
                <w:sz w:val="20"/>
                <w:szCs w:val="20"/>
                <w:color w:val="auto"/>
              </w:rPr>
            </w:pPr>
            <w:r>
              <w:rPr>
                <w:rFonts w:ascii="Times New Roman" w:cs="Times New Roman" w:eastAsia="Times New Roman" w:hAnsi="Times New Roman"/>
                <w:sz w:val="10"/>
                <w:szCs w:val="10"/>
                <w:color w:val="auto"/>
              </w:rPr>
              <w:t>—</w:t>
            </w:r>
          </w:p>
        </w:tc>
        <w:tc>
          <w:tcPr>
            <w:tcW w:w="17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126</w:t>
            </w: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1,012</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1,316</w:t>
            </w:r>
          </w:p>
        </w:tc>
        <w:tc>
          <w:tcPr>
            <w:tcW w:w="80" w:type="dxa"/>
            <w:vAlign w:val="bottom"/>
            <w:shd w:val="clear" w:color="auto" w:fill="CCECFF"/>
          </w:tcPr>
          <w:p>
            <w:pPr>
              <w:spacing w:after="0"/>
              <w:rPr>
                <w:sz w:val="10"/>
                <w:szCs w:val="10"/>
                <w:color w:val="auto"/>
              </w:rPr>
            </w:pP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Walker Edison Furniture - Common Equity</w:t>
            </w:r>
          </w:p>
        </w:tc>
        <w:tc>
          <w:tcPr>
            <w:tcW w:w="1300" w:type="dxa"/>
            <w:vAlign w:val="bottom"/>
          </w:tcPr>
          <w:p>
            <w:pPr>
              <w:ind w:left="1000"/>
              <w:spacing w:after="0"/>
              <w:rPr>
                <w:sz w:val="20"/>
                <w:szCs w:val="20"/>
                <w:color w:val="auto"/>
              </w:rPr>
            </w:pPr>
            <w:r>
              <w:rPr>
                <w:rFonts w:ascii="Times New Roman" w:cs="Times New Roman" w:eastAsia="Times New Roman" w:hAnsi="Times New Roman"/>
                <w:sz w:val="10"/>
                <w:szCs w:val="10"/>
                <w:color w:val="auto"/>
              </w:rPr>
              <w:t>—</w:t>
            </w:r>
          </w:p>
        </w:tc>
        <w:tc>
          <w:tcPr>
            <w:tcW w:w="170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4"/>
              </w:rPr>
              <w:t>Wholesale</w:t>
            </w:r>
          </w:p>
        </w:tc>
        <w:tc>
          <w:tcPr>
            <w:tcW w:w="680" w:type="dxa"/>
            <w:vAlign w:val="bottom"/>
          </w:tcPr>
          <w:p>
            <w:pPr>
              <w:spacing w:after="0"/>
              <w:rPr>
                <w:sz w:val="10"/>
                <w:szCs w:val="10"/>
                <w:color w:val="auto"/>
              </w:rPr>
            </w:pPr>
          </w:p>
        </w:tc>
        <w:tc>
          <w:tcPr>
            <w:tcW w:w="4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36</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3,393</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Equity Securities</w:t>
            </w:r>
          </w:p>
        </w:tc>
        <w:tc>
          <w:tcPr>
            <w:tcW w:w="1300" w:type="dxa"/>
            <w:vAlign w:val="bottom"/>
            <w:shd w:val="clear" w:color="auto" w:fill="CCECFF"/>
          </w:tcPr>
          <w:p>
            <w:pPr>
              <w:spacing w:after="0"/>
              <w:rPr>
                <w:sz w:val="10"/>
                <w:szCs w:val="10"/>
                <w:color w:val="auto"/>
              </w:rPr>
            </w:pPr>
          </w:p>
        </w:tc>
        <w:tc>
          <w:tcPr>
            <w:tcW w:w="170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8,498</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4,322</w:t>
            </w:r>
          </w:p>
        </w:tc>
        <w:tc>
          <w:tcPr>
            <w:tcW w:w="80" w:type="dxa"/>
            <w:vAlign w:val="bottom"/>
            <w:shd w:val="clear" w:color="auto" w:fill="CCECFF"/>
          </w:tcPr>
          <w:p>
            <w:pPr>
              <w:spacing w:after="0"/>
              <w:rPr>
                <w:sz w:val="10"/>
                <w:szCs w:val="10"/>
                <w:color w:val="auto"/>
              </w:rPr>
            </w:pPr>
          </w:p>
        </w:tc>
      </w:tr>
      <w:tr>
        <w:trPr>
          <w:trHeight w:val="132"/>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- 1,871.60%</w:t>
            </w:r>
          </w:p>
        </w:tc>
        <w:tc>
          <w:tcPr>
            <w:tcW w:w="13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1,072,770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1,046,178</w:t>
            </w:r>
          </w:p>
        </w:tc>
        <w:tc>
          <w:tcPr>
            <w:tcW w:w="80" w:type="dxa"/>
            <w:vAlign w:val="bottom"/>
          </w:tcPr>
          <w:p>
            <w:pPr>
              <w:spacing w:after="0"/>
              <w:rPr>
                <w:sz w:val="11"/>
                <w:szCs w:val="11"/>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- 95.9%</w:t>
            </w:r>
          </w:p>
        </w:tc>
        <w:tc>
          <w:tcPr>
            <w:tcW w:w="1300" w:type="dxa"/>
            <w:vAlign w:val="bottom"/>
            <w:shd w:val="clear" w:color="auto" w:fill="CCECFF"/>
          </w:tcPr>
          <w:p>
            <w:pPr>
              <w:spacing w:after="0"/>
              <w:rPr>
                <w:sz w:val="10"/>
                <w:szCs w:val="10"/>
                <w:color w:val="auto"/>
              </w:rPr>
            </w:pPr>
          </w:p>
        </w:tc>
        <w:tc>
          <w:tcPr>
            <w:tcW w:w="170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13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4.43 %</w:t>
            </w:r>
          </w:p>
        </w:tc>
        <w:tc>
          <w:tcPr>
            <w:tcW w:w="9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53,629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53,629</w:t>
            </w:r>
          </w:p>
        </w:tc>
        <w:tc>
          <w:tcPr>
            <w:tcW w:w="80" w:type="dxa"/>
            <w:vAlign w:val="bottom"/>
          </w:tcPr>
          <w:p>
            <w:pPr>
              <w:spacing w:after="0"/>
              <w:rPr>
                <w:sz w:val="10"/>
                <w:szCs w:val="10"/>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1300" w:type="dxa"/>
            <w:vAlign w:val="bottom"/>
            <w:shd w:val="clear" w:color="auto" w:fill="CCECFF"/>
          </w:tcPr>
          <w:p>
            <w:pPr>
              <w:spacing w:after="0"/>
              <w:rPr>
                <w:sz w:val="10"/>
                <w:szCs w:val="10"/>
                <w:color w:val="auto"/>
              </w:rPr>
            </w:pPr>
          </w:p>
        </w:tc>
        <w:tc>
          <w:tcPr>
            <w:tcW w:w="170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53,629</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53,629</w:t>
            </w:r>
          </w:p>
        </w:tc>
        <w:tc>
          <w:tcPr>
            <w:tcW w:w="80" w:type="dxa"/>
            <w:vAlign w:val="bottom"/>
            <w:shd w:val="clear" w:color="auto" w:fill="CCECFF"/>
          </w:tcPr>
          <w:p>
            <w:pPr>
              <w:spacing w:after="0"/>
              <w:rPr>
                <w:sz w:val="10"/>
                <w:szCs w:val="10"/>
                <w:color w:val="auto"/>
              </w:rPr>
            </w:pPr>
          </w:p>
        </w:tc>
      </w:tr>
      <w:tr>
        <w:trPr>
          <w:trHeight w:val="120"/>
        </w:trPr>
        <w:tc>
          <w:tcPr>
            <w:tcW w:w="2780" w:type="dxa"/>
            <w:vAlign w:val="bottom"/>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Total Investments and Cash Equivalents —1,971.0%</w:t>
            </w:r>
          </w:p>
        </w:tc>
        <w:tc>
          <w:tcPr>
            <w:tcW w:w="13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1,126,399</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1,099,807</w:t>
            </w:r>
          </w:p>
        </w:tc>
        <w:tc>
          <w:tcPr>
            <w:tcW w:w="80" w:type="dxa"/>
            <w:vAlign w:val="bottom"/>
          </w:tcPr>
          <w:p>
            <w:pPr>
              <w:spacing w:after="0"/>
              <w:rPr>
                <w:sz w:val="10"/>
                <w:szCs w:val="10"/>
                <w:color w:val="auto"/>
              </w:rPr>
            </w:pPr>
          </w:p>
        </w:tc>
      </w:tr>
      <w:tr>
        <w:trPr>
          <w:trHeight w:val="20"/>
        </w:trPr>
        <w:tc>
          <w:tcPr>
            <w:tcW w:w="2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6"/>
        </w:trPr>
        <w:tc>
          <w:tcPr>
            <w:tcW w:w="2780" w:type="dxa"/>
            <w:vAlign w:val="bottom"/>
            <w:shd w:val="clear" w:color="auto" w:fill="CCECFF"/>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Liabilities in Excess of Other Assets — (1,871.0)%</w:t>
            </w:r>
          </w:p>
        </w:tc>
        <w:tc>
          <w:tcPr>
            <w:tcW w:w="1300" w:type="dxa"/>
            <w:vAlign w:val="bottom"/>
            <w:shd w:val="clear" w:color="auto" w:fill="CCECFF"/>
          </w:tcPr>
          <w:p>
            <w:pPr>
              <w:spacing w:after="0"/>
              <w:rPr>
                <w:sz w:val="8"/>
                <w:szCs w:val="8"/>
                <w:color w:val="auto"/>
              </w:rPr>
            </w:pPr>
          </w:p>
        </w:tc>
        <w:tc>
          <w:tcPr>
            <w:tcW w:w="17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480" w:type="dxa"/>
            <w:vAlign w:val="bottom"/>
            <w:shd w:val="clear" w:color="auto" w:fill="CCECFF"/>
          </w:tcPr>
          <w:p>
            <w:pPr>
              <w:spacing w:after="0"/>
              <w:rPr>
                <w:sz w:val="8"/>
                <w:szCs w:val="8"/>
                <w:color w:val="auto"/>
              </w:rPr>
            </w:pPr>
          </w:p>
        </w:tc>
        <w:tc>
          <w:tcPr>
            <w:tcW w:w="920" w:type="dxa"/>
            <w:vAlign w:val="bottom"/>
            <w:shd w:val="clear" w:color="auto" w:fill="CCECFF"/>
          </w:tcPr>
          <w:p>
            <w:pPr>
              <w:spacing w:after="0"/>
              <w:rPr>
                <w:sz w:val="8"/>
                <w:szCs w:val="8"/>
                <w:color w:val="auto"/>
              </w:rPr>
            </w:pPr>
          </w:p>
        </w:tc>
        <w:tc>
          <w:tcPr>
            <w:tcW w:w="106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700" w:type="dxa"/>
            <w:vAlign w:val="bottom"/>
            <w:gridSpan w:val="2"/>
            <w:shd w:val="clear" w:color="auto" w:fill="CCECFF"/>
          </w:tcPr>
          <w:p>
            <w:pPr>
              <w:jc w:val="right"/>
              <w:ind w:right="40"/>
              <w:spacing w:after="0" w:line="96" w:lineRule="exact"/>
              <w:rPr>
                <w:sz w:val="20"/>
                <w:szCs w:val="20"/>
                <w:color w:val="auto"/>
              </w:rPr>
            </w:pPr>
            <w:r>
              <w:rPr>
                <w:rFonts w:ascii="Times New Roman" w:cs="Times New Roman" w:eastAsia="Times New Roman" w:hAnsi="Times New Roman"/>
                <w:sz w:val="10"/>
                <w:szCs w:val="10"/>
                <w:color w:val="auto"/>
              </w:rPr>
              <w:t>(1,043,908 )</w:t>
            </w:r>
          </w:p>
        </w:tc>
      </w:tr>
      <w:tr>
        <w:trPr>
          <w:trHeight w:val="120"/>
        </w:trPr>
        <w:tc>
          <w:tcPr>
            <w:tcW w:w="2780" w:type="dxa"/>
            <w:vAlign w:val="bottom"/>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Members' Equity—100.0%</w:t>
            </w:r>
          </w:p>
        </w:tc>
        <w:tc>
          <w:tcPr>
            <w:tcW w:w="13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55,899</w:t>
            </w:r>
          </w:p>
        </w:tc>
        <w:tc>
          <w:tcPr>
            <w:tcW w:w="80" w:type="dxa"/>
            <w:vAlign w:val="bottom"/>
          </w:tcPr>
          <w:p>
            <w:pPr>
              <w:spacing w:after="0"/>
              <w:rPr>
                <w:sz w:val="10"/>
                <w:szCs w:val="10"/>
                <w:color w:val="auto"/>
              </w:rPr>
            </w:pPr>
          </w:p>
        </w:tc>
      </w:tr>
      <w:tr>
        <w:trPr>
          <w:trHeight w:val="20"/>
        </w:trPr>
        <w:tc>
          <w:tcPr>
            <w:tcW w:w="2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Represents floating rate instruments that accrue interest at a predetermined spread relative to an index, typically the applicable Secured Overnight Financing Rate or "SOFR". The spread may change based on the type of rate used. The terms in the Consolidated Schedule of Investments disclose the actual interest rate in effect as of the reporting period. All securities are subject to a SOFR floor where a spread is provided, unless noted. The spread provided includes PIK interest and other fee rates, if any.</w:t>
      </w:r>
    </w:p>
    <w:p>
      <w:pPr>
        <w:spacing w:after="0" w:line="218" w:lineRule="auto"/>
        <w:rPr>
          <w:sz w:val="20"/>
          <w:szCs w:val="20"/>
          <w:color w:val="auto"/>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0"/>
          <w:szCs w:val="10"/>
          <w:color w:val="auto"/>
        </w:rPr>
        <w:t>Valued based on PSSL’s accounting policy.</w:t>
      </w:r>
    </w:p>
    <w:p>
      <w:pPr>
        <w:spacing w:after="0" w:line="211" w:lineRule="auto"/>
        <w:rPr>
          <w:sz w:val="20"/>
          <w:szCs w:val="20"/>
          <w:color w:val="auto"/>
        </w:rPr>
      </w:pP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0"/>
          <w:szCs w:val="10"/>
          <w:color w:val="auto"/>
        </w:rPr>
        <w:t>Represents the purchase of a security with a delayed settlement or a revolving line of credit that is currently an unfunded investment. This security does not earn a basis point spread above an index while it is unfunded.</w:t>
      </w:r>
    </w:p>
    <w:p>
      <w:pPr>
        <w:spacing w:after="0" w:line="211" w:lineRule="auto"/>
        <w:rPr>
          <w:sz w:val="20"/>
          <w:szCs w:val="20"/>
          <w:color w:val="auto"/>
        </w:rPr>
      </w:pPr>
      <w:r>
        <w:rPr>
          <w:rFonts w:ascii="Times New Roman" w:cs="Times New Roman" w:eastAsia="Times New Roman" w:hAnsi="Times New Roman"/>
          <w:sz w:val="19"/>
          <w:szCs w:val="19"/>
          <w:color w:val="auto"/>
          <w:vertAlign w:val="superscript"/>
        </w:rPr>
        <w:t>(4)</w:t>
      </w:r>
      <w:r>
        <w:rPr>
          <w:rFonts w:ascii="Times New Roman" w:cs="Times New Roman" w:eastAsia="Times New Roman" w:hAnsi="Times New Roman"/>
          <w:sz w:val="10"/>
          <w:szCs w:val="10"/>
          <w:color w:val="auto"/>
        </w:rPr>
        <w:t>Non-accrual security.</w:t>
      </w:r>
    </w:p>
    <w:p>
      <w:pPr>
        <w:ind w:right="280"/>
        <w:spacing w:after="0" w:line="219" w:lineRule="auto"/>
        <w:rPr>
          <w:sz w:val="20"/>
          <w:szCs w:val="20"/>
          <w:color w:val="auto"/>
        </w:rPr>
      </w:pPr>
      <w:r>
        <w:rPr>
          <w:rFonts w:ascii="Times New Roman" w:cs="Times New Roman" w:eastAsia="Times New Roman" w:hAnsi="Times New Roman"/>
          <w:sz w:val="19"/>
          <w:szCs w:val="19"/>
          <w:color w:val="auto"/>
          <w:vertAlign w:val="superscript"/>
        </w:rPr>
        <w:t>(5)</w:t>
      </w:r>
      <w:r>
        <w:rPr>
          <w:rFonts w:ascii="Times New Roman" w:cs="Times New Roman" w:eastAsia="Times New Roman" w:hAnsi="Times New Roman"/>
          <w:sz w:val="10"/>
          <w:szCs w:val="10"/>
          <w:color w:val="auto"/>
        </w:rPr>
        <w:t>The securities, or a portion thereof, are not 1) pledged as collateral under the Credit Facility and held through Funding I; or, 2) securing the 2035 Asset-Backed Debt and held through PennantPark CLO VI, LLC, or, 3) securing the 2036 Asset-Backed Debt and held through PennantPark CLO II, Ltd.</w:t>
      </w:r>
    </w:p>
    <w:p>
      <w:pPr>
        <w:spacing w:after="0" w:line="213" w:lineRule="auto"/>
        <w:rPr>
          <w:sz w:val="20"/>
          <w:szCs w:val="20"/>
          <w:color w:val="auto"/>
        </w:rPr>
      </w:pP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0"/>
          <w:szCs w:val="10"/>
          <w:color w:val="auto"/>
        </w:rPr>
        <w:t>All investments are in US Companies unless noted otherwise.</w:t>
      </w: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Below is a listing of PSSL’s individual investments as of September 30, 2024 (Par and $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Par or Number</w:t>
            </w: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Issuer Name </w:t>
            </w:r>
            <w:r>
              <w:rPr>
                <w:rFonts w:ascii="Times New Roman" w:cs="Times New Roman" w:eastAsia="Times New Roman" w:hAnsi="Times New Roman"/>
                <w:sz w:val="12"/>
                <w:szCs w:val="12"/>
                <w:b w:val="1"/>
                <w:bCs w:val="1"/>
                <w:color w:val="auto"/>
                <w:vertAlign w:val="superscript"/>
              </w:rPr>
              <w:t>(7)</w:t>
            </w:r>
          </w:p>
        </w:tc>
        <w:tc>
          <w:tcPr>
            <w:tcW w:w="82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20" w:type="dxa"/>
            <w:vAlign w:val="bottom"/>
          </w:tcPr>
          <w:p>
            <w:pPr>
              <w:jc w:val="center"/>
              <w:ind w:right="52"/>
              <w:spacing w:after="0" w:line="120"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(1)</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of Shares</w:t>
            </w:r>
          </w:p>
        </w:tc>
        <w:tc>
          <w:tcPr>
            <w:tcW w:w="240" w:type="dxa"/>
            <w:vAlign w:val="bottom"/>
          </w:tcPr>
          <w:p>
            <w:pPr>
              <w:spacing w:after="0"/>
              <w:rPr>
                <w:sz w:val="10"/>
                <w:szCs w:val="10"/>
                <w:color w:val="auto"/>
              </w:rPr>
            </w:pPr>
          </w:p>
        </w:tc>
        <w:tc>
          <w:tcPr>
            <w:tcW w:w="62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0"/>
                <w:szCs w:val="10"/>
                <w:color w:val="auto"/>
              </w:rPr>
            </w:pPr>
          </w:p>
        </w:tc>
        <w:tc>
          <w:tcPr>
            <w:tcW w:w="720" w:type="dxa"/>
            <w:vAlign w:val="bottom"/>
          </w:tcPr>
          <w:p>
            <w:pPr>
              <w:jc w:val="right"/>
              <w:ind w:right="132"/>
              <w:spacing w:after="0" w:line="120" w:lineRule="exact"/>
              <w:rPr>
                <w:sz w:val="20"/>
                <w:szCs w:val="20"/>
                <w:color w:val="auto"/>
              </w:rPr>
            </w:pPr>
            <w:r>
              <w:rPr>
                <w:rFonts w:ascii="Times New Roman" w:cs="Times New Roman" w:eastAsia="Times New Roman" w:hAnsi="Times New Roman"/>
                <w:sz w:val="10"/>
                <w:szCs w:val="10"/>
                <w:b w:val="1"/>
                <w:bCs w:val="1"/>
                <w:color w:val="auto"/>
                <w:w w:val="94"/>
              </w:rPr>
              <w:t>Fair Value</w:t>
            </w:r>
            <w:r>
              <w:rPr>
                <w:rFonts w:ascii="Times New Roman" w:cs="Times New Roman" w:eastAsia="Times New Roman" w:hAnsi="Times New Roman"/>
                <w:sz w:val="12"/>
                <w:szCs w:val="12"/>
                <w:b w:val="1"/>
                <w:bCs w:val="1"/>
                <w:color w:val="auto"/>
                <w:w w:val="94"/>
                <w:vertAlign w:val="superscript"/>
              </w:rPr>
              <w:t>(2)</w:t>
            </w:r>
          </w:p>
        </w:tc>
        <w:tc>
          <w:tcPr>
            <w:tcW w:w="0" w:type="dxa"/>
            <w:vAlign w:val="bottom"/>
          </w:tcPr>
          <w:p>
            <w:pPr>
              <w:spacing w:after="0"/>
              <w:rPr>
                <w:sz w:val="1"/>
                <w:szCs w:val="1"/>
                <w:color w:val="auto"/>
              </w:rPr>
            </w:pPr>
          </w:p>
        </w:tc>
      </w:tr>
      <w:tr>
        <w:trPr>
          <w:trHeight w:val="122"/>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- 1,404.5%</w:t>
            </w:r>
          </w:p>
        </w:tc>
        <w:tc>
          <w:tcPr>
            <w:tcW w:w="8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12/22/2028</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10.95 %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SOFR+610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2,903</w:t>
            </w:r>
          </w:p>
        </w:tc>
        <w:tc>
          <w:tcPr>
            <w:tcW w:w="2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2,855</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2,903</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Avenu Buyer,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10/2/2029</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10.58 %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9,925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9,771</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9,602</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ACP Falcon Buyer,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8/1/2029</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10.83 %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SOFR+550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18,762</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18,434</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18,837</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5/7/2026</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11.28 %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SOFR+626</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8,708</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8,658</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8,708</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Aeronix,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12/18/2028</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9.85 %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SOFR+525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15,880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15,665</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15,880</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11/30/2026</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Containers and Packaging</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11.30 %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SOFR+610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12,722</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12,481</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12,213</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6/30/2026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Media: Advertising, Printing &amp; Publishing</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10.50 %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SOFR+590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4,717</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4,613</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4,717</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 - Incremental Term Loan</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6/30/2026</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Media: Advertising, Printing &amp; Publishing</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10.50 %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SOFR+590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4,625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4,584</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4,625</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10.50 %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SOFR+590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11,155</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11,058</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10,988</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8/3/2029</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11.56 %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11,115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10,967</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11,059</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Beacon Behavioral Services,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6/21/2029</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9.85 %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SOFR+525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9,975</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9,836</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9,825</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7/1/2029</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10.35 %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4,900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4,828</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4,753</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Big Top Holdings,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2/28/2030</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11.18 %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SOFR+625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15,423</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15,167</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15,423</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1/31/2028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11.70 %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SOFR+650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8,888</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8,797</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8,776</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9/17/2026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11.00 %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SOFR+640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14,974</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14,779</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14,718</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BlueHalo Financing Holdings,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10.60 %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SOFR+600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5,546</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5,523</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5,435</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12/4/2025</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10.97 %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SOFR+611</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2,274</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2,274</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2,274</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9/26/2029</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Automotive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10.20 %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SOFR+535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442</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417</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416</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By Light Professional IT Services,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5/16/2025</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12.18 %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SOFR+698</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13,084</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13,059</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13,084</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Carnegie Dartlet,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2/7/2030</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Media: Advertising, Printing &amp; Publishing</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10.60 %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SOFR+550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15,243</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15,025</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15,015</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6/14/2028</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10.35 %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9,539</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9,431</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9,539</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8/20/2026</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11.21 %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SOFR+619</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6,751</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6,682</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6,649</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Confluent Health,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10/28/2028</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8.96 %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SOFR+400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6,708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6,506</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6,540</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7/13/2027</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10.53 %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SOFR+561</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3,775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3,734</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3,775</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8/16/2027</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10.71 %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SOFR+586</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2,068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2,051</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2,052</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8/31/2027</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9.95 %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SOFR+535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14,562</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14,398</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14,562</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12/21/2028</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10.20 %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SOFR+535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2,600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2,420</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2,509</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11/3/2025</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Goods: Durable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11.20 %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SOFR+635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13,805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13,788</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13,694</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Dynata, LLC - First Out Term Loan </w:t>
            </w:r>
            <w:r>
              <w:rPr>
                <w:rFonts w:ascii="Times New Roman" w:cs="Times New Roman" w:eastAsia="Times New Roman" w:hAnsi="Times New Roman"/>
                <w:sz w:val="12"/>
                <w:szCs w:val="12"/>
                <w:color w:val="auto"/>
                <w:vertAlign w:val="superscript"/>
              </w:rPr>
              <w:t>(6)</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7/15/2028</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10.38 %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SOFR+526</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1,360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1,264</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1,358</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Dynata, LLC - Last Out Term Loan</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10/15/2028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10.88 %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SOFR+576</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8,439</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8,439</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7,769</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ECL Entertainment,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8/31/2030</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8.85 %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SOFR+400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4,963</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4,894</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4,973</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1/10/2029</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 Components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10.35 %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8,865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8,763</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8,732</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3/15/2027</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11.20 %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SOFR+635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12,546</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12,418</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12,484</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5/29/2029</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11.56 %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SOFR+650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12,249</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12,032</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12,249</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Eval Home Solutions Intermediate,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5/10/2030</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10.60 %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9,268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9,132</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9,176</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Fairbanks More Defense</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6/17/2028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9.65 %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SOFR+450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10,117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10,071</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10,128</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3/16/2026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11.43 %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SOFR+615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3,696</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3,689</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3,511</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8/10/2027</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10.45 %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SOFR+560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3,723</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3,686</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3,685</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12/31/2026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10.20 %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SOFR+560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2,153</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2,131</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2,110</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HEC Purchaser Corp</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6/17/2029</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9.75 %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SOFR+550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3,691</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3,648</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3,665</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Hills Distribution,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11/8/2029</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11.11 %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SOFR+600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8,957</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8,835</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8,868</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5/10/2026</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11.18 %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SOFR+590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3,486</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3,475</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3,486</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11/15/2027</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10.20 %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SOFR+510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9,154</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9,018</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9,108</w:t>
            </w:r>
          </w:p>
        </w:tc>
        <w:tc>
          <w:tcPr>
            <w:tcW w:w="0" w:type="dxa"/>
            <w:vAlign w:val="bottom"/>
          </w:tcPr>
          <w:p>
            <w:pPr>
              <w:spacing w:after="0"/>
              <w:rPr>
                <w:sz w:val="1"/>
                <w:szCs w:val="1"/>
                <w:color w:val="auto"/>
              </w:rPr>
            </w:pPr>
          </w:p>
        </w:tc>
      </w:tr>
      <w:tr>
        <w:trPr>
          <w:trHeight w:val="168"/>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12/28/2028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20" w:type="dxa"/>
            <w:vAlign w:val="bottom"/>
          </w:tcPr>
          <w:p>
            <w:pPr>
              <w:jc w:val="right"/>
              <w:ind w:right="32"/>
              <w:spacing w:after="0" w:line="168" w:lineRule="exact"/>
              <w:rPr>
                <w:sz w:val="20"/>
                <w:szCs w:val="20"/>
                <w:color w:val="auto"/>
              </w:rPr>
            </w:pPr>
            <w:r>
              <w:rPr>
                <w:rFonts w:ascii="Times New Roman" w:cs="Times New Roman" w:eastAsia="Times New Roman" w:hAnsi="Times New Roman"/>
                <w:sz w:val="10"/>
                <w:szCs w:val="10"/>
                <w:color w:val="auto"/>
              </w:rPr>
              <w:t xml:space="preserve">11.45 </w:t>
            </w:r>
            <w:r>
              <w:rPr>
                <w:rFonts w:ascii="Times New Roman" w:cs="Times New Roman" w:eastAsia="Times New Roman" w:hAnsi="Times New Roman"/>
                <w:sz w:val="19"/>
                <w:szCs w:val="19"/>
                <w:color w:val="auto"/>
                <w:vertAlign w:val="superscript"/>
              </w:rPr>
              <w:t>%</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SOFR+685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6,029</w:t>
            </w:r>
          </w:p>
        </w:tc>
        <w:tc>
          <w:tcPr>
            <w:tcW w:w="240" w:type="dxa"/>
            <w:vAlign w:val="bottom"/>
          </w:tcPr>
          <w:p>
            <w:pPr>
              <w:spacing w:after="0"/>
              <w:rPr>
                <w:sz w:val="14"/>
                <w:szCs w:val="14"/>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5,932</w:t>
            </w:r>
          </w:p>
        </w:tc>
        <w:tc>
          <w:tcPr>
            <w:tcW w:w="160" w:type="dxa"/>
            <w:vAlign w:val="bottom"/>
          </w:tcPr>
          <w:p>
            <w:pPr>
              <w:spacing w:after="0"/>
              <w:rPr>
                <w:sz w:val="14"/>
                <w:szCs w:val="14"/>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6,089</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Integrative Nutrition,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1/31/2025</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11.75 %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SOFR+715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11,287</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11,274</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9,707</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9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2.25%)</w:t>
            </w:r>
          </w:p>
        </w:tc>
        <w:tc>
          <w:tcPr>
            <w:tcW w:w="8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Inventus Power,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6/30/2025</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Goods: Durable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12.46 %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SOFR+761</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8,164</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8,094</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8,041</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ITI Holdings,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3/3/2028</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10.58 %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SOFR+565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3,900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3,855</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3,900</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11/10/2027</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10.75 %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SOFR+615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13,492</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13,289</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13,492</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2/18/2027</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12.94 %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SOFR+785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14,731</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14,539</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14,584</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9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5.10%)</w:t>
            </w:r>
          </w:p>
        </w:tc>
        <w:tc>
          <w:tcPr>
            <w:tcW w:w="8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LAV Gear Holdings, Inc. </w:t>
            </w:r>
            <w:r>
              <w:rPr>
                <w:rFonts w:ascii="Times New Roman" w:cs="Times New Roman" w:eastAsia="Times New Roman" w:hAnsi="Times New Roman"/>
                <w:sz w:val="12"/>
                <w:szCs w:val="12"/>
                <w:color w:val="auto"/>
                <w:vertAlign w:val="superscript"/>
              </w:rPr>
              <w:t>(6)</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11.42 %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SOFR+643</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12,125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12,102</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11,907</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LAV Gear Holdings, Inc. - Term Loan Incremental</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11.64 %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SOFR+640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2,861</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2,856</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2,810</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2/3/2026</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10.15 %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SOFR+535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11,330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11,258</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11,330</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1/31/2030</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Environmental Industries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10.48 %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SOFR+525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2,559</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2,516</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2,559</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5/31/2028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11.10 %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SOFR+650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7,407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7,288</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7,296</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Lucky Bucks, LLC - First-Out Term Loan </w:t>
            </w:r>
            <w:r>
              <w:rPr>
                <w:rFonts w:ascii="Times New Roman" w:cs="Times New Roman" w:eastAsia="Times New Roman" w:hAnsi="Times New Roman"/>
                <w:sz w:val="12"/>
                <w:szCs w:val="12"/>
                <w:color w:val="auto"/>
                <w:vertAlign w:val="superscript"/>
              </w:rPr>
              <w:t>(6)</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10/2/2028</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12.77 %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SOFR+765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259</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259</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259</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Lucky Bucks, LLC - Last-Out Term Loan</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10/2/2029</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12.77 %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SOFR+765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518</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518</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518</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4/1/2027</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10.20 %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SOFR+550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2,218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2,143</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2,085</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Magenta Buyer, LLC - First-Out Term Loan</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7/31/2028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12.13 %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SOFR+701</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357</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337</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 - Second-Out Term Loan</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7/31/2028</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12.38 %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SOFR+801</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452</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452</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310</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Magenta Buyer, LLC - Third-Out Term Loan</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7/31/2028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11.63 %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SOFR+726</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1,675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1,675</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490</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Marketplace Events, LLC - Super Priority First Lien Term Loan </w:t>
            </w:r>
            <w:r>
              <w:rPr>
                <w:rFonts w:ascii="Times New Roman" w:cs="Times New Roman" w:eastAsia="Times New Roman" w:hAnsi="Times New Roman"/>
                <w:sz w:val="12"/>
                <w:szCs w:val="12"/>
                <w:color w:val="auto"/>
                <w:vertAlign w:val="superscript"/>
              </w:rPr>
              <w:t>(6)</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9/30/2025</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10.38 %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SOFR+540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1,845</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1,845</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1,845</w:t>
            </w:r>
          </w:p>
        </w:tc>
        <w:tc>
          <w:tcPr>
            <w:tcW w:w="0" w:type="dxa"/>
            <w:vAlign w:val="bottom"/>
          </w:tcPr>
          <w:p>
            <w:pPr>
              <w:spacing w:after="0"/>
              <w:rPr>
                <w:sz w:val="1"/>
                <w:szCs w:val="1"/>
                <w:color w:val="auto"/>
              </w:rPr>
            </w:pPr>
          </w:p>
        </w:tc>
      </w:tr>
      <w:tr>
        <w:trPr>
          <w:trHeight w:val="96"/>
        </w:trPr>
        <w:tc>
          <w:tcPr>
            <w:tcW w:w="2940" w:type="dxa"/>
            <w:vAlign w:val="bottom"/>
          </w:tcPr>
          <w:p>
            <w:pPr>
              <w:ind w:left="20"/>
              <w:spacing w:after="0" w:line="96" w:lineRule="exact"/>
              <w:rPr>
                <w:sz w:val="20"/>
                <w:szCs w:val="20"/>
                <w:color w:val="auto"/>
              </w:rPr>
            </w:pPr>
            <w:r>
              <w:rPr>
                <w:rFonts w:ascii="Times New Roman" w:cs="Times New Roman" w:eastAsia="Times New Roman" w:hAnsi="Times New Roman"/>
                <w:sz w:val="10"/>
                <w:szCs w:val="10"/>
                <w:color w:val="auto"/>
                <w:w w:val="96"/>
              </w:rPr>
              <w:t>Marketplace Events, LLC - Super Priority First Lien Unfunded Term Loan</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3"/>
              </w:rPr>
              <w:t>9/30/2025</w:t>
            </w: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92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0.00 %</w:t>
            </w:r>
          </w:p>
        </w:tc>
        <w:tc>
          <w:tcPr>
            <w:tcW w:w="820" w:type="dxa"/>
            <w:vAlign w:val="bottom"/>
          </w:tcPr>
          <w:p>
            <w:pPr>
              <w:spacing w:after="0"/>
              <w:rPr>
                <w:sz w:val="8"/>
                <w:szCs w:val="8"/>
                <w:color w:val="auto"/>
              </w:rPr>
            </w:pPr>
          </w:p>
        </w:tc>
        <w:tc>
          <w:tcPr>
            <w:tcW w:w="88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564</w:t>
            </w:r>
          </w:p>
        </w:tc>
        <w:tc>
          <w:tcPr>
            <w:tcW w:w="240" w:type="dxa"/>
            <w:vAlign w:val="bottom"/>
          </w:tcPr>
          <w:p>
            <w:pPr>
              <w:spacing w:after="0"/>
              <w:rPr>
                <w:sz w:val="8"/>
                <w:szCs w:val="8"/>
                <w:color w:val="auto"/>
              </w:rPr>
            </w:pPr>
          </w:p>
        </w:tc>
        <w:tc>
          <w:tcPr>
            <w:tcW w:w="62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7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77"/>
        </w:trPr>
        <w:tc>
          <w:tcPr>
            <w:tcW w:w="2940" w:type="dxa"/>
            <w:vAlign w:val="bottom"/>
          </w:tcPr>
          <w:p>
            <w:pPr>
              <w:ind w:left="20"/>
              <w:spacing w:after="0"/>
              <w:rPr>
                <w:sz w:val="20"/>
                <w:szCs w:val="20"/>
                <w:color w:val="auto"/>
              </w:rPr>
            </w:pPr>
            <w:r>
              <w:rPr>
                <w:rFonts w:ascii="Times New Roman" w:cs="Times New Roman" w:eastAsia="Times New Roman" w:hAnsi="Times New Roman"/>
                <w:sz w:val="6"/>
                <w:szCs w:val="6"/>
                <w:color w:val="auto"/>
              </w:rPr>
              <w:t>(3)(6)</w:t>
            </w:r>
          </w:p>
        </w:tc>
        <w:tc>
          <w:tcPr>
            <w:tcW w:w="820" w:type="dxa"/>
            <w:vAlign w:val="bottom"/>
            <w:vMerge w:val="continue"/>
          </w:tcPr>
          <w:p>
            <w:pPr>
              <w:spacing w:after="0"/>
              <w:rPr>
                <w:sz w:val="6"/>
                <w:szCs w:val="6"/>
                <w:color w:val="auto"/>
              </w:rPr>
            </w:pPr>
          </w:p>
        </w:tc>
        <w:tc>
          <w:tcPr>
            <w:tcW w:w="24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94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244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9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Marketplace Events, LLC </w:t>
            </w:r>
            <w:r>
              <w:rPr>
                <w:rFonts w:ascii="Times New Roman" w:cs="Times New Roman" w:eastAsia="Times New Roman" w:hAnsi="Times New Roman"/>
                <w:sz w:val="12"/>
                <w:szCs w:val="12"/>
                <w:color w:val="auto"/>
                <w:vertAlign w:val="superscript"/>
              </w:rPr>
              <w:t>(6)</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9/30/2026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10.53 %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SOFR+525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4,837</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4,068</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4,837</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4/16/2027</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10.59 %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SOFR+585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7,256</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7,183</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7,256</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 (New Issue) - Incremental</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4/16/2027</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11.34 %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SOFR+660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523</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514</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528</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MBS Holdings, Inc. (New Issue) - Second Incremental</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4/16/2027</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11.09 %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SOFR+635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551</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543</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554</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MDI Buyer,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7/25/2028</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10.60 %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4,900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4,829</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4,851</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MDI Buyer, Inc. - Incremental</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7/25/2028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11.25 %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SOFR+600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1,416</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1,395</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1,409</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12/10/2027</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10.50 %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SOFR+590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2,348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2,319</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2,289</w:t>
            </w:r>
          </w:p>
        </w:tc>
        <w:tc>
          <w:tcPr>
            <w:tcW w:w="0" w:type="dxa"/>
            <w:vAlign w:val="bottom"/>
          </w:tcPr>
          <w:p>
            <w:pPr>
              <w:spacing w:after="0"/>
              <w:rPr>
                <w:sz w:val="1"/>
                <w:szCs w:val="1"/>
                <w:color w:val="auto"/>
              </w:rPr>
            </w:pPr>
          </w:p>
        </w:tc>
      </w:tr>
      <w:tr>
        <w:trPr>
          <w:trHeight w:val="132"/>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Medina Health,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10/20/2028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10.85 %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19,199</w:t>
            </w:r>
          </w:p>
        </w:tc>
        <w:tc>
          <w:tcPr>
            <w:tcW w:w="240" w:type="dxa"/>
            <w:vAlign w:val="bottom"/>
          </w:tcPr>
          <w:p>
            <w:pPr>
              <w:spacing w:after="0"/>
              <w:rPr>
                <w:sz w:val="11"/>
                <w:szCs w:val="11"/>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18,911</w:t>
            </w:r>
          </w:p>
        </w:tc>
        <w:tc>
          <w:tcPr>
            <w:tcW w:w="160" w:type="dxa"/>
            <w:vAlign w:val="bottom"/>
          </w:tcPr>
          <w:p>
            <w:pPr>
              <w:spacing w:after="0"/>
              <w:rPr>
                <w:sz w:val="11"/>
                <w:szCs w:val="11"/>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19,199</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Megawatt Acquisitionco,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3/1/2030</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 Components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9.85 %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SOFR+525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15,671</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15,453</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14,794</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Mission Critical Electronics,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3/31/2025</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10.50 %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SOFR+590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5,551</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5,551</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5,551</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MOREGroup Holdings,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1/16/2030</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10.35 %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13,067</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12,891</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12,871</w:t>
            </w:r>
          </w:p>
        </w:tc>
        <w:tc>
          <w:tcPr>
            <w:tcW w:w="0" w:type="dxa"/>
            <w:vAlign w:val="bottom"/>
          </w:tcPr>
          <w:p>
            <w:pPr>
              <w:spacing w:after="0"/>
              <w:rPr>
                <w:sz w:val="1"/>
                <w:szCs w:val="1"/>
                <w:color w:val="auto"/>
              </w:rPr>
            </w:pPr>
          </w:p>
        </w:tc>
      </w:tr>
      <w:tr>
        <w:trPr>
          <w:trHeight w:val="124"/>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9/28/2027</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9.75 %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SOFR+515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3,395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3,355</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3,395</w:t>
            </w: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408940</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9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0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2"/>
              </w:rPr>
              <w:t>Spread Above</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Par or Number</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40" w:type="dxa"/>
            <w:vAlign w:val="bottom"/>
          </w:tcPr>
          <w:p>
            <w:pPr>
              <w:ind w:left="2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Issuer Name </w:t>
            </w:r>
            <w:r>
              <w:rPr>
                <w:rFonts w:ascii="Times New Roman" w:cs="Times New Roman" w:eastAsia="Times New Roman" w:hAnsi="Times New Roman"/>
                <w:sz w:val="12"/>
                <w:szCs w:val="12"/>
                <w:b w:val="1"/>
                <w:bCs w:val="1"/>
                <w:color w:val="auto"/>
                <w:vertAlign w:val="superscript"/>
              </w:rPr>
              <w:t>(7)</w:t>
            </w:r>
          </w:p>
        </w:tc>
        <w:tc>
          <w:tcPr>
            <w:tcW w:w="84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00" w:type="dxa"/>
            <w:vAlign w:val="bottom"/>
          </w:tcPr>
          <w:p>
            <w:pPr>
              <w:jc w:val="center"/>
              <w:ind w:right="32"/>
              <w:spacing w:after="0" w:line="122"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(1)</w:t>
            </w:r>
          </w:p>
        </w:tc>
        <w:tc>
          <w:tcPr>
            <w:tcW w:w="96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of Shares</w:t>
            </w:r>
          </w:p>
        </w:tc>
        <w:tc>
          <w:tcPr>
            <w:tcW w:w="160" w:type="dxa"/>
            <w:vAlign w:val="bottom"/>
          </w:tcPr>
          <w:p>
            <w:pPr>
              <w:spacing w:after="0"/>
              <w:rPr>
                <w:sz w:val="10"/>
                <w:szCs w:val="10"/>
                <w:color w:val="auto"/>
              </w:rPr>
            </w:pPr>
          </w:p>
        </w:tc>
        <w:tc>
          <w:tcPr>
            <w:tcW w:w="52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0"/>
                <w:szCs w:val="10"/>
                <w:b w:val="1"/>
                <w:bCs w:val="1"/>
                <w:color w:val="auto"/>
                <w:w w:val="94"/>
              </w:rPr>
              <w:t>Fair Value</w:t>
            </w:r>
            <w:r>
              <w:rPr>
                <w:rFonts w:ascii="Times New Roman" w:cs="Times New Roman" w:eastAsia="Times New Roman" w:hAnsi="Times New Roman"/>
                <w:sz w:val="12"/>
                <w:szCs w:val="12"/>
                <w:b w:val="1"/>
                <w:bCs w:val="1"/>
                <w:color w:val="auto"/>
                <w:w w:val="94"/>
                <w:vertAlign w:val="superscript"/>
              </w:rPr>
              <w:t>(2)</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8/19/2026</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&amp; Childcare</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11.05 %</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SOFR+585</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10,602</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10,504</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10,284</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NORA Acquisition, LLC</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8/31/2029</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10.95 %</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SOFR+635</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21,274</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20,913</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21,274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5/7/2027</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11.21 %</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SOFR+636</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15,682</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15,480</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15,682</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ORL Acquisitions, Inc.</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9/3/2027</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14.00 %</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SOFR+940</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2,140</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2,124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1,819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(PIK 7.50%)</w:t>
            </w: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Output Services Group, Inc - First-Out Term Loan</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11/30/2028</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13.75 %</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SOFR+843</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821</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821</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821</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Output Services Group, Inc - Last-Out Term Loan</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5/30/2028</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12.00 %</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SOFR+668</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1,667</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2/4/2028</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10.20 %</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SOFR+535</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3,893</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3,842</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3,825</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Ox Two, LLC</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5/18/2026</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Construction and Building</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11.12 %</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SOFR+651</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4,307</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4,282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4,307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Pacific Purchaser, LLC</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9/30/2028</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11.51 %</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SOFR+625</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11,938</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11,745</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11,914</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PCS Midco, Inc</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3/1/2030</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10.81 %</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3,871</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3,818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3,871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PH Beauty Holdings III, Inc.</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9/29/2025</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10.17 %</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SOFR+543</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9,391</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9,289</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9,302</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11/9/2027</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Textiles, Apparel and Luxury Goods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11.99 %</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SOFR+725</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7,816</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7,733</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6,253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(PIK 4.00%)</w:t>
            </w: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Pragmatic Institute, LLC </w:t>
            </w:r>
            <w:r>
              <w:rPr>
                <w:rFonts w:ascii="Times New Roman" w:cs="Times New Roman" w:eastAsia="Times New Roman" w:hAnsi="Times New Roman"/>
                <w:sz w:val="12"/>
                <w:szCs w:val="12"/>
                <w:color w:val="auto"/>
                <w:vertAlign w:val="superscript"/>
              </w:rPr>
              <w:t>(5)</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7/6/2028</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12.35 %</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SOFR+750</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11,855</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11,480</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7,261</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9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12.35%)</w:t>
            </w:r>
          </w:p>
        </w:tc>
        <w:tc>
          <w:tcPr>
            <w:tcW w:w="80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11/19/2026</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10.95 %</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SOFR+635</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2,775</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2,758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2,761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12/18/2025</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10.85 %</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SOFR+560</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1,016</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1,016</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1,016</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2/28/2028</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10.75 %</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SOFR+615</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4,875</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4,828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3,656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1/29/2026</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11.75 %</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SOFR+715</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4,825</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4,796</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4,777</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RTIC Subsidiary Holdings, LLC</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5/3/2029</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Goods: Durable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10.35 %</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9,975</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9,830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9,776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6/15/2029</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10.35 %</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4,336</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4,266</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4,282</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Safe Haven Defense US, LLC</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5/23/2029</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Construction and Building</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9.85 %</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9,973</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9,830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9,873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1/3/2025</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10.80 %</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SOFR+620</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9,268</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9,260</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9,268</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12/20/2024</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12.45 %</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SOFR+760</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4,916</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4,906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4,916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9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1.00%)</w:t>
            </w:r>
          </w:p>
        </w:tc>
        <w:tc>
          <w:tcPr>
            <w:tcW w:w="80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Schlesinger Global, Inc.</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7/14/2025</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13.20 %</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SOFR+835</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12,388</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12,387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12,078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(PIK 0.50%)</w:t>
            </w: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6/13/2029</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10.75 %</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SOFR+615</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4,900</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4,842</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4,729</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12/18/2027</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11.50 %</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SOFR+690</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18,620</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18,370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18,434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Simplicity Financial Marketing Group Holdings, Inc</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12/2/2026</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11.00 %</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SOFR+640</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11,359</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11,206</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11,472</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5/17/2028</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9.46 %</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SOFR+461</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1,290</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Smartronix,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11/23/2028</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10.35 %</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SOFR+610</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4,863</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4,800</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4,863</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Smile Brands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10/14/2025</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10.20 %</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11,887</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11,860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9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1.50%)</w:t>
            </w:r>
          </w:p>
        </w:tc>
        <w:tc>
          <w:tcPr>
            <w:tcW w:w="80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7/17/2025</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12.40 %</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SOFR+715</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4,582</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4,560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4,582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94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840" w:type="dxa"/>
            <w:vAlign w:val="bottom"/>
            <w:shd w:val="clear" w:color="auto" w:fill="CCECFF"/>
          </w:tcPr>
          <w:p>
            <w:pPr>
              <w:jc w:val="center"/>
              <w:ind w:right="12"/>
              <w:spacing w:after="0" w:line="97" w:lineRule="exact"/>
              <w:rPr>
                <w:sz w:val="20"/>
                <w:szCs w:val="20"/>
                <w:color w:val="auto"/>
              </w:rPr>
            </w:pPr>
            <w:r>
              <w:rPr>
                <w:rFonts w:ascii="Times New Roman" w:cs="Times New Roman" w:eastAsia="Times New Roman" w:hAnsi="Times New Roman"/>
                <w:sz w:val="10"/>
                <w:szCs w:val="10"/>
                <w:color w:val="auto"/>
                <w:w w:val="95"/>
              </w:rPr>
              <w:t>3/1/2028</w:t>
            </w:r>
          </w:p>
        </w:tc>
        <w:tc>
          <w:tcPr>
            <w:tcW w:w="242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Healthcare Technology</w:t>
            </w:r>
          </w:p>
        </w:tc>
        <w:tc>
          <w:tcPr>
            <w:tcW w:w="920" w:type="dxa"/>
            <w:vAlign w:val="bottom"/>
            <w:shd w:val="clear" w:color="auto" w:fill="CCECFF"/>
          </w:tcPr>
          <w:p>
            <w:pPr>
              <w:jc w:val="right"/>
              <w:ind w:right="132"/>
              <w:spacing w:after="0" w:line="97" w:lineRule="exact"/>
              <w:rPr>
                <w:sz w:val="20"/>
                <w:szCs w:val="20"/>
                <w:color w:val="auto"/>
              </w:rPr>
            </w:pPr>
            <w:r>
              <w:rPr>
                <w:rFonts w:ascii="Times New Roman" w:cs="Times New Roman" w:eastAsia="Times New Roman" w:hAnsi="Times New Roman"/>
                <w:sz w:val="10"/>
                <w:szCs w:val="10"/>
                <w:color w:val="auto"/>
              </w:rPr>
              <w:t>10.25</w:t>
            </w:r>
          </w:p>
        </w:tc>
        <w:tc>
          <w:tcPr>
            <w:tcW w:w="80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SOFR+565</w:t>
            </w:r>
          </w:p>
        </w:tc>
        <w:tc>
          <w:tcPr>
            <w:tcW w:w="960" w:type="dxa"/>
            <w:vAlign w:val="bottom"/>
            <w:vMerge w:val="restart"/>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4,070</w:t>
            </w:r>
          </w:p>
        </w:tc>
        <w:tc>
          <w:tcPr>
            <w:tcW w:w="160" w:type="dxa"/>
            <w:vAlign w:val="bottom"/>
            <w:shd w:val="clear" w:color="auto" w:fill="CCECFF"/>
          </w:tcPr>
          <w:p>
            <w:pPr>
              <w:spacing w:after="0"/>
              <w:rPr>
                <w:sz w:val="8"/>
                <w:szCs w:val="8"/>
                <w:color w:val="auto"/>
              </w:rPr>
            </w:pPr>
          </w:p>
        </w:tc>
        <w:tc>
          <w:tcPr>
            <w:tcW w:w="5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4,017</w:t>
            </w:r>
          </w:p>
        </w:tc>
        <w:tc>
          <w:tcPr>
            <w:tcW w:w="20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6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4,070</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940" w:type="dxa"/>
            <w:vAlign w:val="bottom"/>
            <w:vMerge w:val="continue"/>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420" w:type="dxa"/>
            <w:vAlign w:val="bottom"/>
            <w:vMerge w:val="continue"/>
            <w:shd w:val="clear" w:color="auto" w:fill="CCECFF"/>
          </w:tcPr>
          <w:p>
            <w:pPr>
              <w:spacing w:after="0"/>
              <w:rPr>
                <w:sz w:val="10"/>
                <w:szCs w:val="10"/>
                <w:color w:val="auto"/>
              </w:rPr>
            </w:pP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vMerge w:val="continue"/>
            <w:shd w:val="clear" w:color="auto" w:fill="CCECFF"/>
          </w:tcPr>
          <w:p>
            <w:pPr>
              <w:spacing w:after="0"/>
              <w:rPr>
                <w:sz w:val="10"/>
                <w:szCs w:val="10"/>
                <w:color w:val="auto"/>
              </w:rPr>
            </w:pPr>
          </w:p>
        </w:tc>
        <w:tc>
          <w:tcPr>
            <w:tcW w:w="960" w:type="dxa"/>
            <w:vAlign w:val="bottom"/>
            <w:vMerge w:val="continue"/>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vMerge w:val="continue"/>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vMerge w:val="continue"/>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11/24/2028</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9.31 %</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SOFR+425</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1,777</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1,700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1,653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w:t>
            </w:r>
          </w:p>
        </w:tc>
        <w:tc>
          <w:tcPr>
            <w:tcW w:w="84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Research, LLC)</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8/16/2027</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10.26 %</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SOFR+500</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14,588</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14,445</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14,558</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TCG 3.0 Jogger Acquisitionco</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1/23/2029</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11.10 %</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SOFR+650</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19,626</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19,312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19,430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11/24/2028</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9.95 %</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SOFR+500</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343</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332</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338</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3/13/2031</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9.60 %</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SOFR+475</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5,473</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5,418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5,490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07/27/26</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11.25 %</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SOFR+665</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8,521</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8,427</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8,521</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08/31/27</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Construction and Engineering</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10.95 %</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SOFR+610</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7,636</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7,538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7,639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TPC Canada Parent, Inc. and TPC US Parent, LLC</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11/24/25</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Consumer Goods: Non-Durable</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10.84 %</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SOFR+565</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16,524</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16,394</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16,524</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Transgo, LLC</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12/29/28</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Automotive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10.60 %</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18,552</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18,293</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18,552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06/16/25</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11.33 %</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SOFR+640</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943</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943</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943</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04/01/28</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10.23 %</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SOFR+490</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14,670</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14,585</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14,376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06/15/26</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10.76 %</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6,823</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6,742</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6,755</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w:t>
            </w:r>
            <w:r>
              <w:rPr>
                <w:rFonts w:ascii="Times New Roman" w:cs="Times New Roman" w:eastAsia="Times New Roman" w:hAnsi="Times New Roman"/>
                <w:sz w:val="12"/>
                <w:szCs w:val="12"/>
                <w:color w:val="auto"/>
                <w:vertAlign w:val="superscript"/>
              </w:rPr>
              <w:t>(4)(6)</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03/01/29</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0.00 %</w:t>
            </w:r>
          </w:p>
        </w:tc>
        <w:tc>
          <w:tcPr>
            <w:tcW w:w="800" w:type="dxa"/>
            <w:vAlign w:val="bottom"/>
          </w:tcPr>
          <w:p>
            <w:pPr>
              <w:spacing w:after="0"/>
              <w:rPr>
                <w:sz w:val="10"/>
                <w:szCs w:val="10"/>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5,441</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4,986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Walker Edison Furniture Company LLC - Junior Revolving Credit</w:t>
            </w:r>
          </w:p>
        </w:tc>
        <w:tc>
          <w:tcPr>
            <w:tcW w:w="84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Facility </w:t>
            </w:r>
            <w:r>
              <w:rPr>
                <w:rFonts w:ascii="Times New Roman" w:cs="Times New Roman" w:eastAsia="Times New Roman" w:hAnsi="Times New Roman"/>
                <w:sz w:val="12"/>
                <w:szCs w:val="12"/>
                <w:color w:val="auto"/>
                <w:vertAlign w:val="superscript"/>
              </w:rPr>
              <w:t>(4)(6)</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03/01/29</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0.00 %</w:t>
            </w:r>
          </w:p>
        </w:tc>
        <w:tc>
          <w:tcPr>
            <w:tcW w:w="80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1,667</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Walker Edison Furniture Company LLC - DDTL - Unfunded </w:t>
            </w:r>
            <w:r>
              <w:rPr>
                <w:rFonts w:ascii="Times New Roman" w:cs="Times New Roman" w:eastAsia="Times New Roman" w:hAnsi="Times New Roman"/>
                <w:sz w:val="12"/>
                <w:szCs w:val="12"/>
                <w:color w:val="auto"/>
                <w:vertAlign w:val="superscript"/>
              </w:rPr>
              <w:t>(3)(4)(6)</w:t>
            </w:r>
          </w:p>
        </w:tc>
        <w:tc>
          <w:tcPr>
            <w:tcW w:w="840" w:type="dxa"/>
            <w:vAlign w:val="bottom"/>
            <w:vMerge w:val="restart"/>
          </w:tcPr>
          <w:p>
            <w:pPr>
              <w:jc w:val="center"/>
              <w:ind w:right="12"/>
              <w:spacing w:after="0"/>
              <w:rPr>
                <w:sz w:val="20"/>
                <w:szCs w:val="20"/>
                <w:color w:val="auto"/>
              </w:rPr>
            </w:pPr>
            <w:r>
              <w:rPr>
                <w:rFonts w:ascii="Times New Roman" w:cs="Times New Roman" w:eastAsia="Times New Roman" w:hAnsi="Times New Roman"/>
                <w:sz w:val="10"/>
                <w:szCs w:val="10"/>
                <w:color w:val="auto"/>
                <w:w w:val="95"/>
              </w:rPr>
              <w:t>03/01/29</w:t>
            </w:r>
          </w:p>
        </w:tc>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2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0.00 %</w:t>
            </w:r>
          </w:p>
        </w:tc>
        <w:tc>
          <w:tcPr>
            <w:tcW w:w="800" w:type="dxa"/>
            <w:vAlign w:val="bottom"/>
          </w:tcPr>
          <w:p>
            <w:pPr>
              <w:spacing w:after="0"/>
              <w:rPr>
                <w:sz w:val="13"/>
                <w:szCs w:val="13"/>
                <w:color w:val="auto"/>
              </w:rPr>
            </w:pPr>
          </w:p>
        </w:tc>
        <w:tc>
          <w:tcPr>
            <w:tcW w:w="960" w:type="dxa"/>
            <w:vAlign w:val="bottom"/>
            <w:vMerge w:val="restart"/>
          </w:tcPr>
          <w:p>
            <w:pPr>
              <w:jc w:val="right"/>
              <w:ind w:right="132"/>
              <w:spacing w:after="0"/>
              <w:rPr>
                <w:sz w:val="20"/>
                <w:szCs w:val="20"/>
                <w:color w:val="auto"/>
              </w:rPr>
            </w:pPr>
            <w:r>
              <w:rPr>
                <w:rFonts w:ascii="Times New Roman" w:cs="Times New Roman" w:eastAsia="Times New Roman" w:hAnsi="Times New Roman"/>
                <w:sz w:val="10"/>
                <w:szCs w:val="10"/>
                <w:color w:val="auto"/>
              </w:rPr>
              <w:t>83</w:t>
            </w:r>
          </w:p>
        </w:tc>
        <w:tc>
          <w:tcPr>
            <w:tcW w:w="16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(76 )</w:t>
            </w:r>
          </w:p>
        </w:tc>
        <w:tc>
          <w:tcPr>
            <w:tcW w:w="0" w:type="dxa"/>
            <w:vAlign w:val="bottom"/>
          </w:tcPr>
          <w:p>
            <w:pPr>
              <w:spacing w:after="0"/>
              <w:rPr>
                <w:sz w:val="1"/>
                <w:szCs w:val="1"/>
                <w:color w:val="auto"/>
              </w:rPr>
            </w:pPr>
          </w:p>
        </w:tc>
      </w:tr>
      <w:tr>
        <w:trPr>
          <w:trHeight w:val="34"/>
        </w:trPr>
        <w:tc>
          <w:tcPr>
            <w:tcW w:w="294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242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Watchtower Buyer, LLC</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12/03/29</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10.60 %</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SOFR+600</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12,189</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12,007</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12,067</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02/27/27</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 Components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10.60 %</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16,014</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15,916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16,014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12/31/24</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Automobiles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12.46 %</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SOFR+740</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16,736</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16,722</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15,983</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9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1.50%)</w:t>
            </w:r>
          </w:p>
        </w:tc>
        <w:tc>
          <w:tcPr>
            <w:tcW w:w="80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8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920,485</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906,532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Equity Securities - 10.5%</w:t>
            </w:r>
          </w:p>
        </w:tc>
        <w:tc>
          <w:tcPr>
            <w:tcW w:w="8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New Insight Holdings, Inc.</w:t>
            </w:r>
          </w:p>
        </w:tc>
        <w:tc>
          <w:tcPr>
            <w:tcW w:w="84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116</w:t>
            </w:r>
          </w:p>
        </w:tc>
        <w:tc>
          <w:tcPr>
            <w:tcW w:w="1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2,031</w:t>
            </w:r>
          </w:p>
        </w:tc>
        <w:tc>
          <w:tcPr>
            <w:tcW w:w="2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2,031</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Lucky Bucks, LLC</w:t>
            </w:r>
          </w:p>
        </w:tc>
        <w:tc>
          <w:tcPr>
            <w:tcW w:w="84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74</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2,062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New MPE Holdings, LLC</w:t>
            </w:r>
          </w:p>
        </w:tc>
        <w:tc>
          <w:tcPr>
            <w:tcW w:w="84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9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2,710</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Output Services Group, Inc</w:t>
            </w:r>
          </w:p>
        </w:tc>
        <w:tc>
          <w:tcPr>
            <w:tcW w:w="84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126</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Walker Edison Furniture - Common Equity</w:t>
            </w:r>
          </w:p>
        </w:tc>
        <w:tc>
          <w:tcPr>
            <w:tcW w:w="84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36</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3,393</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Equity Securities</w:t>
            </w:r>
          </w:p>
        </w:tc>
        <w:tc>
          <w:tcPr>
            <w:tcW w:w="8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8,498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6,749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- 1,415.0%</w:t>
            </w:r>
          </w:p>
        </w:tc>
        <w:tc>
          <w:tcPr>
            <w:tcW w:w="84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928,983</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913,281</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- 106.0%</w:t>
            </w:r>
          </w:p>
        </w:tc>
        <w:tc>
          <w:tcPr>
            <w:tcW w:w="8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84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5.03 %</w:t>
            </w:r>
          </w:p>
        </w:tc>
        <w:tc>
          <w:tcPr>
            <w:tcW w:w="80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68,429</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68,429</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8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68,429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68,429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940" w:type="dxa"/>
            <w:vAlign w:val="bottom"/>
            <w:tcBorders>
              <w:bottom w:val="single" w:sz="8" w:color="CCECFF"/>
            </w:tcBorders>
            <w:shd w:val="clear" w:color="auto" w:fill="CCEC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Total Investments and Cash Equivalents —1,521.0%</w:t>
            </w:r>
          </w:p>
        </w:tc>
        <w:tc>
          <w:tcPr>
            <w:tcW w:w="840" w:type="dxa"/>
            <w:vAlign w:val="bottom"/>
            <w:tcBorders>
              <w:bottom w:val="single" w:sz="8" w:color="CCECFF"/>
            </w:tcBorders>
            <w:shd w:val="clear" w:color="auto" w:fill="CCECFF"/>
          </w:tcPr>
          <w:p>
            <w:pPr>
              <w:spacing w:after="0"/>
              <w:rPr>
                <w:sz w:val="13"/>
                <w:szCs w:val="13"/>
                <w:color w:val="auto"/>
              </w:rPr>
            </w:pPr>
          </w:p>
        </w:tc>
        <w:tc>
          <w:tcPr>
            <w:tcW w:w="2420" w:type="dxa"/>
            <w:vAlign w:val="bottom"/>
            <w:tcBorders>
              <w:bottom w:val="single" w:sz="8" w:color="CCECFF"/>
            </w:tcBorders>
            <w:shd w:val="clear" w:color="auto" w:fill="CCECFF"/>
          </w:tcPr>
          <w:p>
            <w:pPr>
              <w:spacing w:after="0"/>
              <w:rPr>
                <w:sz w:val="13"/>
                <w:szCs w:val="13"/>
                <w:color w:val="auto"/>
              </w:rPr>
            </w:pPr>
          </w:p>
        </w:tc>
        <w:tc>
          <w:tcPr>
            <w:tcW w:w="920" w:type="dxa"/>
            <w:vAlign w:val="bottom"/>
            <w:tcBorders>
              <w:bottom w:val="single" w:sz="8" w:color="CCECFF"/>
            </w:tcBorders>
            <w:shd w:val="clear" w:color="auto" w:fill="CCECFF"/>
          </w:tcPr>
          <w:p>
            <w:pPr>
              <w:spacing w:after="0"/>
              <w:rPr>
                <w:sz w:val="13"/>
                <w:szCs w:val="13"/>
                <w:color w:val="auto"/>
              </w:rPr>
            </w:pPr>
          </w:p>
        </w:tc>
        <w:tc>
          <w:tcPr>
            <w:tcW w:w="800" w:type="dxa"/>
            <w:vAlign w:val="bottom"/>
            <w:tcBorders>
              <w:bottom w:val="single" w:sz="8" w:color="CCECFF"/>
            </w:tcBorders>
            <w:shd w:val="clear" w:color="auto" w:fill="CCECFF"/>
          </w:tcPr>
          <w:p>
            <w:pPr>
              <w:spacing w:after="0"/>
              <w:rPr>
                <w:sz w:val="13"/>
                <w:szCs w:val="13"/>
                <w:color w:val="auto"/>
              </w:rPr>
            </w:pPr>
          </w:p>
        </w:tc>
        <w:tc>
          <w:tcPr>
            <w:tcW w:w="96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997,412</w:t>
            </w:r>
          </w:p>
        </w:tc>
        <w:tc>
          <w:tcPr>
            <w:tcW w:w="20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981,710</w:t>
            </w:r>
          </w:p>
        </w:tc>
        <w:tc>
          <w:tcPr>
            <w:tcW w:w="8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2940" w:type="dxa"/>
            <w:vAlign w:val="bottom"/>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Liabilities in Excess of Other Assets — (1,421.0)%</w:t>
            </w:r>
          </w:p>
        </w:tc>
        <w:tc>
          <w:tcPr>
            <w:tcW w:w="8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40"/>
              <w:spacing w:after="0" w:line="96" w:lineRule="exact"/>
              <w:rPr>
                <w:sz w:val="20"/>
                <w:szCs w:val="20"/>
                <w:color w:val="auto"/>
              </w:rPr>
            </w:pPr>
            <w:r>
              <w:rPr>
                <w:rFonts w:ascii="Times New Roman" w:cs="Times New Roman" w:eastAsia="Times New Roman" w:hAnsi="Times New Roman"/>
                <w:sz w:val="10"/>
                <w:szCs w:val="10"/>
                <w:color w:val="auto"/>
              </w:rPr>
              <w:t>(917,163 )</w:t>
            </w:r>
          </w:p>
        </w:tc>
        <w:tc>
          <w:tcPr>
            <w:tcW w:w="0" w:type="dxa"/>
            <w:vAlign w:val="bottom"/>
          </w:tcPr>
          <w:p>
            <w:pPr>
              <w:spacing w:after="0"/>
              <w:rPr>
                <w:sz w:val="1"/>
                <w:szCs w:val="1"/>
                <w:color w:val="auto"/>
              </w:rPr>
            </w:pPr>
          </w:p>
        </w:tc>
      </w:tr>
      <w:tr>
        <w:trPr>
          <w:trHeight w:val="160"/>
        </w:trPr>
        <w:tc>
          <w:tcPr>
            <w:tcW w:w="2940" w:type="dxa"/>
            <w:vAlign w:val="bottom"/>
            <w:tcBorders>
              <w:bottom w:val="single" w:sz="8" w:color="CCECFF"/>
            </w:tcBorders>
            <w:shd w:val="clear" w:color="auto" w:fill="CCEC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Members' Equity—100.0%</w:t>
            </w:r>
          </w:p>
        </w:tc>
        <w:tc>
          <w:tcPr>
            <w:tcW w:w="840" w:type="dxa"/>
            <w:vAlign w:val="bottom"/>
            <w:tcBorders>
              <w:bottom w:val="single" w:sz="8" w:color="CCECFF"/>
            </w:tcBorders>
            <w:shd w:val="clear" w:color="auto" w:fill="CCECFF"/>
          </w:tcPr>
          <w:p>
            <w:pPr>
              <w:spacing w:after="0"/>
              <w:rPr>
                <w:sz w:val="13"/>
                <w:szCs w:val="13"/>
                <w:color w:val="auto"/>
              </w:rPr>
            </w:pPr>
          </w:p>
        </w:tc>
        <w:tc>
          <w:tcPr>
            <w:tcW w:w="2420" w:type="dxa"/>
            <w:vAlign w:val="bottom"/>
            <w:tcBorders>
              <w:bottom w:val="single" w:sz="8" w:color="CCECFF"/>
            </w:tcBorders>
            <w:shd w:val="clear" w:color="auto" w:fill="CCECFF"/>
          </w:tcPr>
          <w:p>
            <w:pPr>
              <w:spacing w:after="0"/>
              <w:rPr>
                <w:sz w:val="13"/>
                <w:szCs w:val="13"/>
                <w:color w:val="auto"/>
              </w:rPr>
            </w:pPr>
          </w:p>
        </w:tc>
        <w:tc>
          <w:tcPr>
            <w:tcW w:w="920" w:type="dxa"/>
            <w:vAlign w:val="bottom"/>
            <w:tcBorders>
              <w:bottom w:val="single" w:sz="8" w:color="CCECFF"/>
            </w:tcBorders>
            <w:shd w:val="clear" w:color="auto" w:fill="CCECFF"/>
          </w:tcPr>
          <w:p>
            <w:pPr>
              <w:spacing w:after="0"/>
              <w:rPr>
                <w:sz w:val="13"/>
                <w:szCs w:val="13"/>
                <w:color w:val="auto"/>
              </w:rPr>
            </w:pPr>
          </w:p>
        </w:tc>
        <w:tc>
          <w:tcPr>
            <w:tcW w:w="800" w:type="dxa"/>
            <w:vAlign w:val="bottom"/>
            <w:tcBorders>
              <w:bottom w:val="single" w:sz="8" w:color="CCECFF"/>
            </w:tcBorders>
            <w:shd w:val="clear" w:color="auto" w:fill="CCECFF"/>
          </w:tcPr>
          <w:p>
            <w:pPr>
              <w:spacing w:after="0"/>
              <w:rPr>
                <w:sz w:val="13"/>
                <w:szCs w:val="13"/>
                <w:color w:val="auto"/>
              </w:rPr>
            </w:pPr>
          </w:p>
        </w:tc>
        <w:tc>
          <w:tcPr>
            <w:tcW w:w="96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52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64,547</w:t>
            </w:r>
          </w:p>
        </w:tc>
        <w:tc>
          <w:tcPr>
            <w:tcW w:w="8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Represents floating rate instruments that accrue interest at a predetermined spread relative to an index, typically the applicable Secured Overnight Financing Rate or "SOFR". The spread may change based on the type of rate used. The terms in the Consolidated Schedule of Investments disclose the actual interest rate in effect as of the reporting period. All securities are subject to a SOFR floor where a spread is provided, unless noted. The spread provided includes PIK interest and other fee rates, if any.</w:t>
      </w:r>
    </w:p>
    <w:p>
      <w:pPr>
        <w:spacing w:after="0"/>
        <w:rPr>
          <w:sz w:val="20"/>
          <w:szCs w:val="20"/>
          <w:color w:val="auto"/>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0"/>
          <w:szCs w:val="10"/>
          <w:color w:val="auto"/>
        </w:rPr>
        <w:t>Valued based on PSSL’s accounting policy.</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36" w:name="page37"/>
    <w:bookmarkEnd w:id="36"/>
    <w:p>
      <w:pPr>
        <w:jc w:val="center"/>
        <w:ind w:right="-29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0"/>
          <w:szCs w:val="10"/>
          <w:color w:val="auto"/>
        </w:rPr>
        <w:t>Represents the purchase of a security with a delayed settlement or a revolving line of credit that is currently an unfunded investment. This security does not earn a basis point spread above an index while it is unfunded.</w:t>
      </w:r>
    </w:p>
    <w:p>
      <w:pPr>
        <w:spacing w:after="0" w:line="180" w:lineRule="auto"/>
        <w:rPr>
          <w:sz w:val="20"/>
          <w:szCs w:val="20"/>
          <w:color w:val="auto"/>
        </w:rPr>
      </w:pP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9"/>
          <w:szCs w:val="9"/>
          <w:color w:val="auto"/>
        </w:rPr>
        <w:t>Non-accrual security.</w:t>
      </w:r>
    </w:p>
    <w:p>
      <w:pPr>
        <w:spacing w:after="0" w:line="181" w:lineRule="auto"/>
        <w:rPr>
          <w:sz w:val="20"/>
          <w:szCs w:val="20"/>
          <w:color w:val="auto"/>
        </w:rPr>
      </w:pP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9"/>
          <w:szCs w:val="9"/>
          <w:color w:val="auto"/>
        </w:rPr>
        <w:t>Partial PIK non-accrual security.</w:t>
      </w:r>
    </w:p>
    <w:p>
      <w:pPr>
        <w:spacing w:after="0" w:line="1" w:lineRule="exact"/>
        <w:rPr>
          <w:sz w:val="20"/>
          <w:szCs w:val="20"/>
          <w:color w:val="auto"/>
        </w:rPr>
      </w:pPr>
    </w:p>
    <w:p>
      <w:pPr>
        <w:spacing w:after="0" w:line="194" w:lineRule="auto"/>
        <w:rPr>
          <w:sz w:val="20"/>
          <w:szCs w:val="20"/>
          <w:color w:val="auto"/>
        </w:rPr>
      </w:pP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0"/>
          <w:szCs w:val="10"/>
          <w:color w:val="auto"/>
        </w:rPr>
        <w:t>The securities, or a portion thereof, are not 1) pledged as collateral under the Credit Facility and held through Funding I; or, 2) securing the 2035 Asset-Backed Debt and held through PennantPark CLO VI, LLC, or, 3) securing the 2036 Asset-Backed Debt and held through PennantPark CLO II, Ltd.</w:t>
      </w:r>
    </w:p>
    <w:p>
      <w:pPr>
        <w:spacing w:after="0"/>
        <w:rPr>
          <w:sz w:val="20"/>
          <w:szCs w:val="20"/>
          <w:color w:val="auto"/>
        </w:rPr>
      </w:pPr>
      <w:r>
        <w:rPr>
          <w:rFonts w:ascii="Times New Roman" w:cs="Times New Roman" w:eastAsia="Times New Roman" w:hAnsi="Times New Roman"/>
          <w:sz w:val="19"/>
          <w:szCs w:val="19"/>
          <w:color w:val="auto"/>
          <w:vertAlign w:val="superscript"/>
        </w:rPr>
        <w:t>(7)</w:t>
      </w:r>
      <w:r>
        <w:rPr>
          <w:rFonts w:ascii="Times New Roman" w:cs="Times New Roman" w:eastAsia="Times New Roman" w:hAnsi="Times New Roman"/>
          <w:sz w:val="10"/>
          <w:szCs w:val="10"/>
          <w:color w:val="auto"/>
        </w:rPr>
        <w:t>All investments are in US Companies unless noted otherwise.</w:t>
      </w:r>
    </w:p>
    <w:p>
      <w:pPr>
        <w:spacing w:after="0" w:line="1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80"/>
          </w:cols>
          <w:pgMar w:left="660" w:top="1132" w:right="960"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are the Consolidated Statements of Assets and Liabilities for PSSL ($ in thousands):</w:t>
            </w: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18"/>
        </w:trPr>
        <w:tc>
          <w:tcPr>
            <w:tcW w:w="6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6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gridSpan w:val="2"/>
          </w:tcPr>
          <w:p>
            <w:pPr>
              <w:jc w:val="right"/>
              <w:ind w:right="880"/>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380" w:type="dxa"/>
            <w:vAlign w:val="bottom"/>
          </w:tcPr>
          <w:p>
            <w:pPr>
              <w:spacing w:after="0"/>
              <w:rPr>
                <w:sz w:val="14"/>
                <w:szCs w:val="14"/>
                <w:color w:val="auto"/>
              </w:rPr>
            </w:pP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September 30, 2024</w:t>
            </w:r>
          </w:p>
        </w:tc>
      </w:tr>
      <w:tr>
        <w:trPr>
          <w:trHeight w:val="156"/>
        </w:trPr>
        <w:tc>
          <w:tcPr>
            <w:tcW w:w="6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340" w:type="dxa"/>
            <w:vAlign w:val="bottom"/>
            <w:shd w:val="clear" w:color="auto" w:fill="CCECFF"/>
          </w:tcPr>
          <w:p>
            <w:pPr>
              <w:spacing w:after="0"/>
              <w:rPr>
                <w:sz w:val="13"/>
                <w:szCs w:val="13"/>
                <w:color w:val="auto"/>
              </w:rPr>
            </w:pPr>
          </w:p>
        </w:tc>
        <w:tc>
          <w:tcPr>
            <w:tcW w:w="16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16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6"/>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 at fair value (amortized cost—$1,072,770 and $928,983, respectively)</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1,046,178</w:t>
            </w:r>
          </w:p>
        </w:tc>
        <w:tc>
          <w:tcPr>
            <w:tcW w:w="280" w:type="dxa"/>
            <w:vAlign w:val="bottom"/>
          </w:tcPr>
          <w:p>
            <w:pPr>
              <w:spacing w:after="0"/>
              <w:rPr>
                <w:sz w:val="13"/>
                <w:szCs w:val="13"/>
                <w:color w:val="auto"/>
              </w:rPr>
            </w:pPr>
          </w:p>
        </w:tc>
        <w:tc>
          <w:tcPr>
            <w:tcW w:w="3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913,281</w:t>
            </w:r>
          </w:p>
        </w:tc>
        <w:tc>
          <w:tcPr>
            <w:tcW w:w="100" w:type="dxa"/>
            <w:vAlign w:val="bottom"/>
          </w:tcPr>
          <w:p>
            <w:pPr>
              <w:spacing w:after="0"/>
              <w:rPr>
                <w:sz w:val="13"/>
                <w:szCs w:val="13"/>
                <w:color w:val="auto"/>
              </w:rPr>
            </w:pPr>
          </w:p>
        </w:tc>
      </w:tr>
      <w:tr>
        <w:trPr>
          <w:trHeight w:val="156"/>
        </w:trPr>
        <w:tc>
          <w:tcPr>
            <w:tcW w:w="6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Receivable for investments sold</w:t>
            </w:r>
          </w:p>
        </w:tc>
        <w:tc>
          <w:tcPr>
            <w:tcW w:w="34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1,297</w:t>
            </w:r>
          </w:p>
        </w:tc>
        <w:tc>
          <w:tcPr>
            <w:tcW w:w="28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17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(cost—$53,629 and $68,429, respectively)</w:t>
            </w:r>
          </w:p>
        </w:tc>
        <w:tc>
          <w:tcPr>
            <w:tcW w:w="340" w:type="dxa"/>
            <w:vAlign w:val="bottom"/>
          </w:tcPr>
          <w:p>
            <w:pPr>
              <w:spacing w:after="0"/>
              <w:rPr>
                <w:sz w:val="13"/>
                <w:szCs w:val="13"/>
                <w:color w:val="auto"/>
              </w:rPr>
            </w:pPr>
          </w:p>
        </w:tc>
        <w:tc>
          <w:tcPr>
            <w:tcW w:w="19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53,629</w:t>
            </w:r>
          </w:p>
        </w:tc>
        <w:tc>
          <w:tcPr>
            <w:tcW w:w="380" w:type="dxa"/>
            <w:vAlign w:val="bottom"/>
          </w:tcPr>
          <w:p>
            <w:pPr>
              <w:spacing w:after="0"/>
              <w:rPr>
                <w:sz w:val="13"/>
                <w:szCs w:val="13"/>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68,429</w:t>
            </w:r>
          </w:p>
        </w:tc>
      </w:tr>
      <w:tr>
        <w:trPr>
          <w:trHeight w:val="156"/>
        </w:trPr>
        <w:tc>
          <w:tcPr>
            <w:tcW w:w="6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receivable</w:t>
            </w:r>
          </w:p>
        </w:tc>
        <w:tc>
          <w:tcPr>
            <w:tcW w:w="34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5,080</w:t>
            </w:r>
          </w:p>
        </w:tc>
        <w:tc>
          <w:tcPr>
            <w:tcW w:w="28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4,722</w:t>
            </w:r>
          </w:p>
        </w:tc>
        <w:tc>
          <w:tcPr>
            <w:tcW w:w="100" w:type="dxa"/>
            <w:vAlign w:val="bottom"/>
            <w:shd w:val="clear" w:color="auto" w:fill="CCECFF"/>
          </w:tcPr>
          <w:p>
            <w:pPr>
              <w:spacing w:after="0"/>
              <w:rPr>
                <w:sz w:val="13"/>
                <w:szCs w:val="13"/>
                <w:color w:val="auto"/>
              </w:rPr>
            </w:pPr>
          </w:p>
        </w:tc>
      </w:tr>
      <w:tr>
        <w:trPr>
          <w:trHeight w:val="156"/>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from affiliate</w:t>
            </w:r>
          </w:p>
        </w:tc>
        <w:tc>
          <w:tcPr>
            <w:tcW w:w="3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3"/>
                <w:szCs w:val="13"/>
                <w:color w:val="auto"/>
              </w:rPr>
            </w:pPr>
          </w:p>
        </w:tc>
      </w:tr>
      <w:tr>
        <w:trPr>
          <w:trHeight w:val="156"/>
        </w:trPr>
        <w:tc>
          <w:tcPr>
            <w:tcW w:w="6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34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3,367</w:t>
            </w:r>
          </w:p>
        </w:tc>
        <w:tc>
          <w:tcPr>
            <w:tcW w:w="28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1,642</w:t>
            </w:r>
          </w:p>
        </w:tc>
        <w:tc>
          <w:tcPr>
            <w:tcW w:w="100" w:type="dxa"/>
            <w:vAlign w:val="bottom"/>
            <w:shd w:val="clear" w:color="auto" w:fill="CCECFF"/>
          </w:tcPr>
          <w:p>
            <w:pPr>
              <w:spacing w:after="0"/>
              <w:rPr>
                <w:sz w:val="13"/>
                <w:szCs w:val="13"/>
                <w:color w:val="auto"/>
              </w:rPr>
            </w:pPr>
          </w:p>
        </w:tc>
      </w:tr>
      <w:tr>
        <w:trPr>
          <w:trHeight w:val="156"/>
        </w:trPr>
        <w:tc>
          <w:tcPr>
            <w:tcW w:w="610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3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1,109,630</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988,122</w:t>
            </w:r>
          </w:p>
        </w:tc>
        <w:tc>
          <w:tcPr>
            <w:tcW w:w="100" w:type="dxa"/>
            <w:vAlign w:val="bottom"/>
          </w:tcPr>
          <w:p>
            <w:pPr>
              <w:spacing w:after="0"/>
              <w:rPr>
                <w:sz w:val="13"/>
                <w:szCs w:val="13"/>
                <w:color w:val="auto"/>
              </w:rPr>
            </w:pPr>
          </w:p>
        </w:tc>
      </w:tr>
      <w:tr>
        <w:trPr>
          <w:trHeight w:val="156"/>
        </w:trPr>
        <w:tc>
          <w:tcPr>
            <w:tcW w:w="6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340" w:type="dxa"/>
            <w:vAlign w:val="bottom"/>
            <w:shd w:val="clear" w:color="auto" w:fill="CCECFF"/>
          </w:tcPr>
          <w:p>
            <w:pPr>
              <w:spacing w:after="0"/>
              <w:rPr>
                <w:sz w:val="13"/>
                <w:szCs w:val="13"/>
                <w:color w:val="auto"/>
              </w:rPr>
            </w:pPr>
          </w:p>
        </w:tc>
        <w:tc>
          <w:tcPr>
            <w:tcW w:w="16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16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6"/>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Credit facility payable</w:t>
            </w:r>
          </w:p>
        </w:tc>
        <w:tc>
          <w:tcPr>
            <w:tcW w:w="3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259,100</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146,100</w:t>
            </w:r>
          </w:p>
        </w:tc>
        <w:tc>
          <w:tcPr>
            <w:tcW w:w="100" w:type="dxa"/>
            <w:vAlign w:val="bottom"/>
          </w:tcPr>
          <w:p>
            <w:pPr>
              <w:spacing w:after="0"/>
              <w:rPr>
                <w:sz w:val="13"/>
                <w:szCs w:val="13"/>
                <w:color w:val="auto"/>
              </w:rPr>
            </w:pPr>
          </w:p>
        </w:tc>
      </w:tr>
      <w:tr>
        <w:trPr>
          <w:trHeight w:val="156"/>
        </w:trPr>
        <w:tc>
          <w:tcPr>
            <w:tcW w:w="6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2035 Asset-backed debt, net (par—$246,000 and $246,000, respectively)</w:t>
            </w:r>
          </w:p>
        </w:tc>
        <w:tc>
          <w:tcPr>
            <w:tcW w:w="34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244,046</w:t>
            </w:r>
          </w:p>
        </w:tc>
        <w:tc>
          <w:tcPr>
            <w:tcW w:w="28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243,934</w:t>
            </w:r>
          </w:p>
        </w:tc>
        <w:tc>
          <w:tcPr>
            <w:tcW w:w="100" w:type="dxa"/>
            <w:vAlign w:val="bottom"/>
            <w:shd w:val="clear" w:color="auto" w:fill="CCECFF"/>
          </w:tcPr>
          <w:p>
            <w:pPr>
              <w:spacing w:after="0"/>
              <w:rPr>
                <w:sz w:val="13"/>
                <w:szCs w:val="13"/>
                <w:color w:val="auto"/>
              </w:rPr>
            </w:pP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2036 Asset-backed debt, net (par—$246,000 and $246,000, respectively)</w:t>
            </w:r>
          </w:p>
        </w:tc>
        <w:tc>
          <w:tcPr>
            <w:tcW w:w="3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244,444</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244,372</w:t>
            </w:r>
          </w:p>
        </w:tc>
        <w:tc>
          <w:tcPr>
            <w:tcW w:w="100" w:type="dxa"/>
            <w:vAlign w:val="bottom"/>
          </w:tcPr>
          <w:p>
            <w:pPr>
              <w:spacing w:after="0"/>
              <w:rPr>
                <w:sz w:val="14"/>
                <w:szCs w:val="14"/>
                <w:color w:val="auto"/>
              </w:rPr>
            </w:pPr>
          </w:p>
        </w:tc>
      </w:tr>
      <w:tr>
        <w:trPr>
          <w:trHeight w:val="156"/>
        </w:trPr>
        <w:tc>
          <w:tcPr>
            <w:tcW w:w="6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Notes payable to members</w:t>
            </w:r>
          </w:p>
        </w:tc>
        <w:tc>
          <w:tcPr>
            <w:tcW w:w="34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271,600</w:t>
            </w:r>
          </w:p>
        </w:tc>
        <w:tc>
          <w:tcPr>
            <w:tcW w:w="28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271,600</w:t>
            </w:r>
          </w:p>
        </w:tc>
        <w:tc>
          <w:tcPr>
            <w:tcW w:w="100" w:type="dxa"/>
            <w:vAlign w:val="bottom"/>
            <w:shd w:val="clear" w:color="auto" w:fill="CCECFF"/>
          </w:tcPr>
          <w:p>
            <w:pPr>
              <w:spacing w:after="0"/>
              <w:rPr>
                <w:sz w:val="13"/>
                <w:szCs w:val="13"/>
                <w:color w:val="auto"/>
              </w:rPr>
            </w:pPr>
          </w:p>
        </w:tc>
      </w:tr>
      <w:tr>
        <w:trPr>
          <w:trHeight w:val="156"/>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payable on credit facility and asset backed debt</w:t>
            </w:r>
          </w:p>
        </w:tc>
        <w:tc>
          <w:tcPr>
            <w:tcW w:w="3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9,127</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9,281</w:t>
            </w:r>
          </w:p>
        </w:tc>
        <w:tc>
          <w:tcPr>
            <w:tcW w:w="100" w:type="dxa"/>
            <w:vAlign w:val="bottom"/>
          </w:tcPr>
          <w:p>
            <w:pPr>
              <w:spacing w:after="0"/>
              <w:rPr>
                <w:sz w:val="13"/>
                <w:szCs w:val="13"/>
                <w:color w:val="auto"/>
              </w:rPr>
            </w:pPr>
          </w:p>
        </w:tc>
      </w:tr>
      <w:tr>
        <w:trPr>
          <w:trHeight w:val="156"/>
        </w:trPr>
        <w:tc>
          <w:tcPr>
            <w:tcW w:w="6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340" w:type="dxa"/>
            <w:vAlign w:val="bottom"/>
            <w:shd w:val="clear" w:color="auto" w:fill="CCECFF"/>
          </w:tcPr>
          <w:p>
            <w:pPr>
              <w:spacing w:after="0"/>
              <w:rPr>
                <w:sz w:val="13"/>
                <w:szCs w:val="13"/>
                <w:color w:val="auto"/>
              </w:rPr>
            </w:pPr>
          </w:p>
        </w:tc>
        <w:tc>
          <w:tcPr>
            <w:tcW w:w="1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3"/>
                <w:szCs w:val="13"/>
                <w:color w:val="auto"/>
              </w:rPr>
              <w:t>17,521</w:t>
            </w:r>
          </w:p>
        </w:tc>
        <w:tc>
          <w:tcPr>
            <w:tcW w:w="38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shd w:val="clear" w:color="auto" w:fill="CCECFF"/>
          </w:tcPr>
          <w:p>
            <w:pPr>
              <w:spacing w:after="0"/>
              <w:rPr>
                <w:sz w:val="13"/>
                <w:szCs w:val="13"/>
                <w:color w:val="auto"/>
              </w:rPr>
            </w:pPr>
          </w:p>
        </w:tc>
      </w:tr>
      <w:tr>
        <w:trPr>
          <w:trHeight w:val="156"/>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payable on notes to members</w:t>
            </w:r>
          </w:p>
        </w:tc>
        <w:tc>
          <w:tcPr>
            <w:tcW w:w="3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6,949</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7,315</w:t>
            </w:r>
          </w:p>
        </w:tc>
        <w:tc>
          <w:tcPr>
            <w:tcW w:w="100" w:type="dxa"/>
            <w:vAlign w:val="bottom"/>
          </w:tcPr>
          <w:p>
            <w:pPr>
              <w:spacing w:after="0"/>
              <w:rPr>
                <w:sz w:val="13"/>
                <w:szCs w:val="13"/>
                <w:color w:val="auto"/>
              </w:rPr>
            </w:pPr>
          </w:p>
        </w:tc>
      </w:tr>
      <w:tr>
        <w:trPr>
          <w:trHeight w:val="156"/>
        </w:trPr>
        <w:tc>
          <w:tcPr>
            <w:tcW w:w="6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Accrued expenses</w:t>
            </w:r>
          </w:p>
        </w:tc>
        <w:tc>
          <w:tcPr>
            <w:tcW w:w="34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882</w:t>
            </w:r>
          </w:p>
        </w:tc>
        <w:tc>
          <w:tcPr>
            <w:tcW w:w="28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822</w:t>
            </w:r>
          </w:p>
        </w:tc>
        <w:tc>
          <w:tcPr>
            <w:tcW w:w="100" w:type="dxa"/>
            <w:vAlign w:val="bottom"/>
            <w:shd w:val="clear" w:color="auto" w:fill="CCECFF"/>
          </w:tcPr>
          <w:p>
            <w:pPr>
              <w:spacing w:after="0"/>
              <w:rPr>
                <w:sz w:val="13"/>
                <w:szCs w:val="13"/>
                <w:color w:val="auto"/>
              </w:rPr>
            </w:pPr>
          </w:p>
        </w:tc>
      </w:tr>
      <w:tr>
        <w:trPr>
          <w:trHeight w:val="156"/>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to affiliate</w:t>
            </w:r>
          </w:p>
        </w:tc>
        <w:tc>
          <w:tcPr>
            <w:tcW w:w="3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3"/>
                <w:szCs w:val="13"/>
                <w:color w:val="auto"/>
              </w:rPr>
            </w:pPr>
          </w:p>
        </w:tc>
      </w:tr>
      <w:tr>
        <w:trPr>
          <w:trHeight w:val="156"/>
        </w:trPr>
        <w:tc>
          <w:tcPr>
            <w:tcW w:w="610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34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1,053,731</w:t>
            </w:r>
          </w:p>
        </w:tc>
        <w:tc>
          <w:tcPr>
            <w:tcW w:w="28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923,575</w:t>
            </w:r>
          </w:p>
        </w:tc>
        <w:tc>
          <w:tcPr>
            <w:tcW w:w="100" w:type="dxa"/>
            <w:vAlign w:val="bottom"/>
            <w:shd w:val="clear" w:color="auto" w:fill="CCECFF"/>
          </w:tcPr>
          <w:p>
            <w:pPr>
              <w:spacing w:after="0"/>
              <w:rPr>
                <w:sz w:val="13"/>
                <w:szCs w:val="13"/>
                <w:color w:val="auto"/>
              </w:rPr>
            </w:pPr>
          </w:p>
        </w:tc>
      </w:tr>
      <w:tr>
        <w:trPr>
          <w:trHeight w:val="156"/>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w:t>
            </w:r>
          </w:p>
        </w:tc>
        <w:tc>
          <w:tcPr>
            <w:tcW w:w="3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610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340" w:type="dxa"/>
            <w:vAlign w:val="bottom"/>
            <w:shd w:val="clear" w:color="auto" w:fill="CCECFF"/>
          </w:tcPr>
          <w:p>
            <w:pPr>
              <w:spacing w:after="0"/>
              <w:rPr>
                <w:sz w:val="13"/>
                <w:szCs w:val="13"/>
                <w:color w:val="auto"/>
              </w:rPr>
            </w:pPr>
          </w:p>
        </w:tc>
        <w:tc>
          <w:tcPr>
            <w:tcW w:w="1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3"/>
                <w:szCs w:val="13"/>
                <w:color w:val="auto"/>
              </w:rPr>
              <w:t>55,899</w:t>
            </w:r>
          </w:p>
        </w:tc>
        <w:tc>
          <w:tcPr>
            <w:tcW w:w="380" w:type="dxa"/>
            <w:vAlign w:val="bottom"/>
            <w:shd w:val="clear" w:color="auto" w:fill="CCECFF"/>
          </w:tcPr>
          <w:p>
            <w:pPr>
              <w:spacing w:after="0"/>
              <w:rPr>
                <w:sz w:val="13"/>
                <w:szCs w:val="13"/>
                <w:color w:val="auto"/>
              </w:rPr>
            </w:pPr>
          </w:p>
        </w:tc>
        <w:tc>
          <w:tcPr>
            <w:tcW w:w="17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64,547</w:t>
            </w:r>
          </w:p>
        </w:tc>
      </w:tr>
      <w:tr>
        <w:trPr>
          <w:trHeight w:val="156"/>
        </w:trPr>
        <w:tc>
          <w:tcPr>
            <w:tcW w:w="610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1,109,630</w:t>
            </w:r>
          </w:p>
        </w:tc>
        <w:tc>
          <w:tcPr>
            <w:tcW w:w="280" w:type="dxa"/>
            <w:vAlign w:val="bottom"/>
          </w:tcPr>
          <w:p>
            <w:pPr>
              <w:spacing w:after="0"/>
              <w:rPr>
                <w:sz w:val="13"/>
                <w:szCs w:val="13"/>
                <w:color w:val="auto"/>
              </w:rPr>
            </w:pPr>
          </w:p>
        </w:tc>
        <w:tc>
          <w:tcPr>
            <w:tcW w:w="3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988,122</w:t>
            </w:r>
          </w:p>
        </w:tc>
        <w:tc>
          <w:tcPr>
            <w:tcW w:w="100" w:type="dxa"/>
            <w:vAlign w:val="bottom"/>
          </w:tcPr>
          <w:p>
            <w:pPr>
              <w:spacing w:after="0"/>
              <w:rPr>
                <w:sz w:val="13"/>
                <w:szCs w:val="13"/>
                <w:color w:val="auto"/>
              </w:rPr>
            </w:pPr>
          </w:p>
        </w:tc>
      </w:tr>
      <w:tr>
        <w:trPr>
          <w:trHeight w:val="20"/>
        </w:trPr>
        <w:tc>
          <w:tcPr>
            <w:tcW w:w="6100" w:type="dxa"/>
            <w:vAlign w:val="bottom"/>
          </w:tcPr>
          <w:p>
            <w:pPr>
              <w:spacing w:after="0" w:line="20" w:lineRule="exact"/>
              <w:rPr>
                <w:sz w:val="1"/>
                <w:szCs w:val="1"/>
                <w:color w:val="auto"/>
              </w:rPr>
            </w:pPr>
          </w:p>
        </w:tc>
        <w:tc>
          <w:tcPr>
            <w:tcW w:w="20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2"/>
        </w:trPr>
        <w:tc>
          <w:tcPr>
            <w:tcW w:w="8400" w:type="dxa"/>
            <w:vAlign w:val="bottom"/>
            <w:gridSpan w:val="4"/>
          </w:tcPr>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As of December 31, 2024 and September 30, 2024, PSSL had unfunded commitments to fund investments of less than $0.1 million and $0.6 million, respectively.</w:t>
            </w: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61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are the Consolidated Statements of Operations for PSSL ($ in thousands):</w:t>
            </w: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360" w:type="dxa"/>
            <w:vAlign w:val="bottom"/>
          </w:tcPr>
          <w:p>
            <w:pPr>
              <w:spacing w:after="0"/>
              <w:rPr>
                <w:sz w:val="13"/>
                <w:szCs w:val="13"/>
                <w:color w:val="auto"/>
              </w:rPr>
            </w:pPr>
          </w:p>
        </w:tc>
        <w:tc>
          <w:tcPr>
            <w:tcW w:w="2660" w:type="dxa"/>
            <w:vAlign w:val="bottom"/>
            <w:gridSpan w:val="4"/>
          </w:tcPr>
          <w:p>
            <w:pPr>
              <w:ind w:left="58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92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736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920" w:type="dxa"/>
            <w:vAlign w:val="bottom"/>
            <w:shd w:val="clear" w:color="auto" w:fill="CCECFF"/>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3"/>
                <w:szCs w:val="13"/>
                <w:color w:val="auto"/>
              </w:rPr>
              <w:t>29,425</w:t>
            </w:r>
          </w:p>
        </w:tc>
        <w:tc>
          <w:tcPr>
            <w:tcW w:w="940" w:type="dxa"/>
            <w:vAlign w:val="bottom"/>
            <w:shd w:val="clear" w:color="auto" w:fill="CCECFF"/>
          </w:tcPr>
          <w:p>
            <w:pPr>
              <w:jc w:val="right"/>
              <w:ind w:right="794"/>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26,048</w:t>
            </w:r>
          </w:p>
        </w:tc>
        <w:tc>
          <w:tcPr>
            <w:tcW w:w="0" w:type="dxa"/>
            <w:vAlign w:val="bottom"/>
          </w:tcPr>
          <w:p>
            <w:pPr>
              <w:spacing w:after="0"/>
              <w:rPr>
                <w:sz w:val="1"/>
                <w:szCs w:val="1"/>
                <w:color w:val="auto"/>
              </w:rPr>
            </w:pPr>
          </w:p>
        </w:tc>
      </w:tr>
      <w:tr>
        <w:trPr>
          <w:trHeight w:val="156"/>
        </w:trPr>
        <w:tc>
          <w:tcPr>
            <w:tcW w:w="7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9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920" w:type="dxa"/>
            <w:vAlign w:val="bottom"/>
            <w:shd w:val="clear" w:color="auto" w:fill="CCECFF"/>
          </w:tcPr>
          <w:p>
            <w:pPr>
              <w:spacing w:after="0"/>
              <w:rPr>
                <w:sz w:val="13"/>
                <w:szCs w:val="13"/>
                <w:color w:val="auto"/>
              </w:rPr>
            </w:pPr>
          </w:p>
        </w:tc>
        <w:tc>
          <w:tcPr>
            <w:tcW w:w="8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3"/>
                <w:szCs w:val="13"/>
                <w:color w:val="auto"/>
              </w:rPr>
              <w:t>30,008</w:t>
            </w:r>
          </w:p>
        </w:tc>
        <w:tc>
          <w:tcPr>
            <w:tcW w:w="940" w:type="dxa"/>
            <w:vAlign w:val="bottom"/>
            <w:shd w:val="clear" w:color="auto" w:fill="CCECFF"/>
          </w:tcPr>
          <w:p>
            <w:pPr>
              <w:spacing w:after="0"/>
              <w:rPr>
                <w:sz w:val="13"/>
                <w:szCs w:val="13"/>
                <w:color w:val="auto"/>
              </w:rPr>
            </w:pPr>
          </w:p>
        </w:tc>
        <w:tc>
          <w:tcPr>
            <w:tcW w:w="5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26,225</w:t>
            </w:r>
          </w:p>
        </w:tc>
        <w:tc>
          <w:tcPr>
            <w:tcW w:w="0" w:type="dxa"/>
            <w:vAlign w:val="bottom"/>
          </w:tcPr>
          <w:p>
            <w:pPr>
              <w:spacing w:after="0"/>
              <w:rPr>
                <w:sz w:val="1"/>
                <w:szCs w:val="1"/>
                <w:color w:val="auto"/>
              </w:rPr>
            </w:pPr>
          </w:p>
        </w:tc>
      </w:tr>
      <w:tr>
        <w:trPr>
          <w:trHeight w:val="156"/>
        </w:trPr>
        <w:tc>
          <w:tcPr>
            <w:tcW w:w="7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 and expense on credit facility and asset-backed debt</w:t>
            </w:r>
          </w:p>
        </w:tc>
        <w:tc>
          <w:tcPr>
            <w:tcW w:w="920" w:type="dxa"/>
            <w:vAlign w:val="bottom"/>
            <w:shd w:val="clear" w:color="auto" w:fill="CCECFF"/>
          </w:tcPr>
          <w:p>
            <w:pPr>
              <w:spacing w:after="0"/>
              <w:rPr>
                <w:sz w:val="13"/>
                <w:szCs w:val="13"/>
                <w:color w:val="auto"/>
              </w:rPr>
            </w:pPr>
          </w:p>
        </w:tc>
        <w:tc>
          <w:tcPr>
            <w:tcW w:w="8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3"/>
                <w:szCs w:val="13"/>
                <w:color w:val="auto"/>
              </w:rPr>
              <w:t>14,085</w:t>
            </w:r>
          </w:p>
        </w:tc>
        <w:tc>
          <w:tcPr>
            <w:tcW w:w="940" w:type="dxa"/>
            <w:vAlign w:val="bottom"/>
            <w:shd w:val="clear" w:color="auto" w:fill="CCECFF"/>
          </w:tcPr>
          <w:p>
            <w:pPr>
              <w:spacing w:after="0"/>
              <w:rPr>
                <w:sz w:val="13"/>
                <w:szCs w:val="13"/>
                <w:color w:val="auto"/>
              </w:rPr>
            </w:pPr>
          </w:p>
        </w:tc>
        <w:tc>
          <w:tcPr>
            <w:tcW w:w="5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13,398</w:t>
            </w:r>
          </w:p>
        </w:tc>
        <w:tc>
          <w:tcPr>
            <w:tcW w:w="0" w:type="dxa"/>
            <w:vAlign w:val="bottom"/>
          </w:tcPr>
          <w:p>
            <w:pPr>
              <w:spacing w:after="0"/>
              <w:rPr>
                <w:sz w:val="1"/>
                <w:szCs w:val="1"/>
                <w:color w:val="auto"/>
              </w:rPr>
            </w:pPr>
          </w:p>
        </w:tc>
      </w:tr>
      <w:tr>
        <w:trPr>
          <w:trHeight w:val="156"/>
        </w:trPr>
        <w:tc>
          <w:tcPr>
            <w:tcW w:w="7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expense on notes to members</w:t>
            </w:r>
          </w:p>
        </w:tc>
        <w:tc>
          <w:tcPr>
            <w:tcW w:w="9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8,853</w:t>
            </w: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Administration fees</w:t>
            </w:r>
          </w:p>
        </w:tc>
        <w:tc>
          <w:tcPr>
            <w:tcW w:w="92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668</w:t>
            </w:r>
          </w:p>
        </w:tc>
        <w:tc>
          <w:tcPr>
            <w:tcW w:w="32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558</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9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w:t>
            </w: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expenses</w:t>
            </w:r>
          </w:p>
        </w:tc>
        <w:tc>
          <w:tcPr>
            <w:tcW w:w="920" w:type="dxa"/>
            <w:vAlign w:val="bottom"/>
            <w:shd w:val="clear" w:color="auto" w:fill="CCECFF"/>
          </w:tcPr>
          <w:p>
            <w:pPr>
              <w:spacing w:after="0"/>
              <w:rPr>
                <w:sz w:val="13"/>
                <w:szCs w:val="13"/>
                <w:color w:val="auto"/>
              </w:rPr>
            </w:pPr>
          </w:p>
        </w:tc>
        <w:tc>
          <w:tcPr>
            <w:tcW w:w="8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3"/>
                <w:szCs w:val="13"/>
                <w:color w:val="auto"/>
              </w:rPr>
              <w:t>24,099</w:t>
            </w:r>
          </w:p>
        </w:tc>
        <w:tc>
          <w:tcPr>
            <w:tcW w:w="940" w:type="dxa"/>
            <w:vAlign w:val="bottom"/>
            <w:shd w:val="clear" w:color="auto" w:fill="CCECFF"/>
          </w:tcPr>
          <w:p>
            <w:pPr>
              <w:spacing w:after="0"/>
              <w:rPr>
                <w:sz w:val="13"/>
                <w:szCs w:val="13"/>
                <w:color w:val="auto"/>
              </w:rPr>
            </w:pPr>
          </w:p>
        </w:tc>
        <w:tc>
          <w:tcPr>
            <w:tcW w:w="5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22,438</w:t>
            </w:r>
          </w:p>
        </w:tc>
        <w:tc>
          <w:tcPr>
            <w:tcW w:w="0" w:type="dxa"/>
            <w:vAlign w:val="bottom"/>
          </w:tcPr>
          <w:p>
            <w:pPr>
              <w:spacing w:after="0"/>
              <w:rPr>
                <w:sz w:val="1"/>
                <w:szCs w:val="1"/>
                <w:color w:val="auto"/>
              </w:rPr>
            </w:pPr>
          </w:p>
        </w:tc>
      </w:tr>
      <w:tr>
        <w:trPr>
          <w:trHeight w:val="156"/>
        </w:trPr>
        <w:tc>
          <w:tcPr>
            <w:tcW w:w="73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9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5,909</w:t>
            </w: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Realized and unrealized gain (loss) on investments:</w:t>
            </w:r>
          </w:p>
        </w:tc>
        <w:tc>
          <w:tcPr>
            <w:tcW w:w="920" w:type="dxa"/>
            <w:vAlign w:val="bottom"/>
            <w:shd w:val="clear" w:color="auto" w:fill="CCECFF"/>
          </w:tcPr>
          <w:p>
            <w:pPr>
              <w:spacing w:after="0"/>
              <w:rPr>
                <w:sz w:val="13"/>
                <w:szCs w:val="13"/>
                <w:color w:val="auto"/>
              </w:rPr>
            </w:pPr>
          </w:p>
        </w:tc>
        <w:tc>
          <w:tcPr>
            <w:tcW w:w="48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9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1,333</w:t>
            </w: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(6,420)</w:t>
            </w:r>
          </w:p>
        </w:tc>
        <w:tc>
          <w:tcPr>
            <w:tcW w:w="0" w:type="dxa"/>
            <w:vAlign w:val="bottom"/>
          </w:tcPr>
          <w:p>
            <w:pPr>
              <w:spacing w:after="0"/>
              <w:rPr>
                <w:sz w:val="1"/>
                <w:szCs w:val="1"/>
                <w:color w:val="auto"/>
              </w:rPr>
            </w:pPr>
          </w:p>
        </w:tc>
      </w:tr>
      <w:tr>
        <w:trPr>
          <w:trHeight w:val="156"/>
        </w:trPr>
        <w:tc>
          <w:tcPr>
            <w:tcW w:w="73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920" w:type="dxa"/>
            <w:vAlign w:val="bottom"/>
            <w:shd w:val="clear" w:color="auto" w:fill="CCECFF"/>
          </w:tcPr>
          <w:p>
            <w:pPr>
              <w:spacing w:after="0"/>
              <w:rPr>
                <w:sz w:val="13"/>
                <w:szCs w:val="13"/>
                <w:color w:val="auto"/>
              </w:rPr>
            </w:pPr>
          </w:p>
        </w:tc>
        <w:tc>
          <w:tcPr>
            <w:tcW w:w="8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(10,890)</w:t>
            </w:r>
          </w:p>
        </w:tc>
        <w:tc>
          <w:tcPr>
            <w:tcW w:w="9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8,059</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on investments</w:t>
            </w:r>
          </w:p>
        </w:tc>
        <w:tc>
          <w:tcPr>
            <w:tcW w:w="92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(9,557)</w:t>
            </w:r>
          </w:p>
        </w:tc>
        <w:tc>
          <w:tcPr>
            <w:tcW w:w="9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360" w:type="dxa"/>
            <w:vAlign w:val="bottom"/>
            <w:shd w:val="clear" w:color="auto" w:fill="CCECFF"/>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Net increase (decrease) in members' equity resulting from operations</w:t>
            </w:r>
          </w:p>
        </w:tc>
        <w:tc>
          <w:tcPr>
            <w:tcW w:w="920" w:type="dxa"/>
            <w:vAlign w:val="bottom"/>
            <w:shd w:val="clear" w:color="auto" w:fill="CCECFF"/>
          </w:tcPr>
          <w:p>
            <w:pPr>
              <w:jc w:val="right"/>
              <w:ind w:right="77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CFF"/>
          </w:tcPr>
          <w:p>
            <w:pPr>
              <w:jc w:val="right"/>
              <w:ind w:right="260"/>
              <w:spacing w:after="0" w:line="136" w:lineRule="exact"/>
              <w:rPr>
                <w:sz w:val="20"/>
                <w:szCs w:val="20"/>
                <w:color w:val="auto"/>
              </w:rPr>
            </w:pPr>
            <w:r>
              <w:rPr>
                <w:rFonts w:ascii="Times New Roman" w:cs="Times New Roman" w:eastAsia="Times New Roman" w:hAnsi="Times New Roman"/>
                <w:sz w:val="9"/>
                <w:szCs w:val="9"/>
                <w:color w:val="auto"/>
              </w:rPr>
              <w:t xml:space="preserve">(3,648 </w:t>
            </w:r>
            <w:r>
              <w:rPr>
                <w:rFonts w:ascii="Times New Roman" w:cs="Times New Roman" w:eastAsia="Times New Roman" w:hAnsi="Times New Roman"/>
                <w:sz w:val="15"/>
                <w:szCs w:val="15"/>
                <w:color w:val="auto"/>
                <w:vertAlign w:val="subscript"/>
              </w:rPr>
              <w:t>)</w:t>
            </w:r>
          </w:p>
        </w:tc>
        <w:tc>
          <w:tcPr>
            <w:tcW w:w="940" w:type="dxa"/>
            <w:vAlign w:val="bottom"/>
            <w:shd w:val="clear" w:color="auto" w:fill="CCECFF"/>
          </w:tcPr>
          <w:p>
            <w:pPr>
              <w:jc w:val="right"/>
              <w:ind w:right="79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rPr>
              <w:t>5,426</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360" w:type="dxa"/>
            <w:vAlign w:val="bottom"/>
            <w:tcBorders>
              <w:top w:val="single" w:sz="8" w:color="CCECFF"/>
            </w:tcBorders>
            <w:shd w:val="clear" w:color="auto" w:fill="CCEC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CFF"/>
            </w:tcBorders>
            <w:shd w:val="clear" w:color="auto" w:fill="CCEC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140" w:hanging="134"/>
        <w:spacing w:after="0"/>
        <w:tabs>
          <w:tab w:leader="none" w:pos="140" w:val="left"/>
        </w:tabs>
        <w:numPr>
          <w:ilvl w:val="0"/>
          <w:numId w:val="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No management or incentive fees are payable by PSSL. If any fees were to be charged, they would be separately disclosed in the Consolidated Statement of Operations.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38" w:name="page39"/>
    <w:bookmarkEnd w:id="38"/>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 FAIR VALUE OF FINANCIAL INSTRUMENTS</w:t>
      </w:r>
    </w:p>
    <w:p>
      <w:pPr>
        <w:spacing w:after="0" w:line="165"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ASC 820 classifies the inputs used to measure these fair values into the following hierarchies:</w:t>
      </w:r>
    </w:p>
    <w:p>
      <w:pPr>
        <w:spacing w:after="0" w:line="187" w:lineRule="exact"/>
        <w:rPr>
          <w:sz w:val="20"/>
          <w:szCs w:val="20"/>
          <w:color w:val="auto"/>
        </w:rPr>
      </w:pPr>
    </w:p>
    <w:p>
      <w:pPr>
        <w:ind w:left="280"/>
        <w:spacing w:after="0"/>
        <w:tabs>
          <w:tab w:leader="none" w:pos="1420" w:val="left"/>
        </w:tabs>
        <w:rPr>
          <w:sz w:val="20"/>
          <w:szCs w:val="20"/>
          <w:color w:val="auto"/>
        </w:rPr>
      </w:pPr>
      <w:r>
        <w:rPr>
          <w:rFonts w:ascii="Times New Roman" w:cs="Times New Roman" w:eastAsia="Times New Roman" w:hAnsi="Times New Roman"/>
          <w:sz w:val="13"/>
          <w:szCs w:val="13"/>
          <w:color w:val="auto"/>
        </w:rPr>
        <w:t>Level 1:</w:t>
      </w:r>
      <w:r>
        <w:rPr>
          <w:sz w:val="20"/>
          <w:szCs w:val="20"/>
          <w:color w:val="auto"/>
        </w:rPr>
        <w:tab/>
      </w:r>
      <w:r>
        <w:rPr>
          <w:rFonts w:ascii="Times New Roman" w:cs="Times New Roman" w:eastAsia="Times New Roman" w:hAnsi="Times New Roman"/>
          <w:sz w:val="13"/>
          <w:szCs w:val="13"/>
          <w:color w:val="auto"/>
        </w:rPr>
        <w:t>Inputs that are quoted prices (unadjusted) in active markets for identical assets or liabilities, accessible by us at the measurement date.</w:t>
      </w:r>
    </w:p>
    <w:p>
      <w:pPr>
        <w:spacing w:after="0" w:line="163" w:lineRule="exact"/>
        <w:rPr>
          <w:sz w:val="20"/>
          <w:szCs w:val="20"/>
          <w:color w:val="auto"/>
        </w:rPr>
      </w:pPr>
    </w:p>
    <w:p>
      <w:pPr>
        <w:ind w:left="1440" w:right="340" w:hanging="1163"/>
        <w:spacing w:after="0" w:line="286" w:lineRule="auto"/>
        <w:tabs>
          <w:tab w:leader="none" w:pos="1420" w:val="left"/>
        </w:tabs>
        <w:rPr>
          <w:sz w:val="20"/>
          <w:szCs w:val="20"/>
          <w:color w:val="auto"/>
        </w:rPr>
      </w:pPr>
      <w:r>
        <w:rPr>
          <w:rFonts w:ascii="Times New Roman" w:cs="Times New Roman" w:eastAsia="Times New Roman" w:hAnsi="Times New Roman"/>
          <w:sz w:val="13"/>
          <w:szCs w:val="13"/>
          <w:color w:val="auto"/>
        </w:rPr>
        <w:t>Level 2:</w:t>
      </w:r>
      <w:r>
        <w:rPr>
          <w:sz w:val="20"/>
          <w:szCs w:val="20"/>
          <w:color w:val="auto"/>
        </w:rPr>
        <w:tab/>
      </w:r>
      <w:r>
        <w:rPr>
          <w:rFonts w:ascii="Times New Roman" w:cs="Times New Roman" w:eastAsia="Times New Roman" w:hAnsi="Times New Roman"/>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12" w:lineRule="exact"/>
        <w:rPr>
          <w:sz w:val="20"/>
          <w:szCs w:val="20"/>
          <w:color w:val="auto"/>
        </w:rPr>
      </w:pPr>
    </w:p>
    <w:p>
      <w:pPr>
        <w:ind w:left="280"/>
        <w:spacing w:after="0"/>
        <w:tabs>
          <w:tab w:leader="none" w:pos="1420" w:val="left"/>
        </w:tabs>
        <w:rPr>
          <w:sz w:val="20"/>
          <w:szCs w:val="20"/>
          <w:color w:val="auto"/>
        </w:rPr>
      </w:pPr>
      <w:r>
        <w:rPr>
          <w:rFonts w:ascii="Times New Roman" w:cs="Times New Roman" w:eastAsia="Times New Roman" w:hAnsi="Times New Roman"/>
          <w:sz w:val="13"/>
          <w:szCs w:val="13"/>
          <w:color w:val="auto"/>
        </w:rPr>
        <w:t>Level 3:</w:t>
      </w:r>
      <w:r>
        <w:rPr>
          <w:sz w:val="20"/>
          <w:szCs w:val="20"/>
          <w:color w:val="auto"/>
        </w:rPr>
        <w:tab/>
      </w:r>
      <w:r>
        <w:rPr>
          <w:rFonts w:ascii="Times New Roman" w:cs="Times New Roman" w:eastAsia="Times New Roman" w:hAnsi="Times New Roman"/>
          <w:sz w:val="13"/>
          <w:szCs w:val="13"/>
          <w:color w:val="auto"/>
        </w:rPr>
        <w:t>Inputs that are unobservable for an asset or liability because they are based on our own assumptions about how market participants would price the asset or liability.</w:t>
      </w:r>
    </w:p>
    <w:p>
      <w:pPr>
        <w:spacing w:after="0" w:line="163"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A financial instrument’s categorization within the valuation hierarchy is based upon the lowest level of input that is significant to the fair value measurement. Generally, most of our investments, our 2031 Asset-Backed Debt, 2036 Asset-Backed Debt, 2036-R Asset-Backed Debt, and our Credit Facility are classified as Level 3. Our 2026 Notes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27"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30" w:lineRule="exact"/>
        <w:rPr>
          <w:sz w:val="20"/>
          <w:szCs w:val="20"/>
          <w:color w:val="auto"/>
        </w:rPr>
      </w:pPr>
    </w:p>
    <w:p>
      <w:pPr>
        <w:ind w:right="40" w:firstLine="420"/>
        <w:spacing w:after="0" w:line="259" w:lineRule="auto"/>
        <w:rPr>
          <w:sz w:val="20"/>
          <w:szCs w:val="20"/>
          <w:color w:val="auto"/>
        </w:rPr>
      </w:pPr>
      <w:r>
        <w:rPr>
          <w:rFonts w:ascii="Times New Roman" w:cs="Times New Roman" w:eastAsia="Times New Roman" w:hAnsi="Times New Roman"/>
          <w:sz w:val="13"/>
          <w:szCs w:val="13"/>
          <w:color w:val="auto"/>
        </w:rPr>
        <w:t>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30" w:lineRule="exact"/>
        <w:rPr>
          <w:sz w:val="20"/>
          <w:szCs w:val="20"/>
          <w:color w:val="auto"/>
        </w:rPr>
      </w:pPr>
    </w:p>
    <w:p>
      <w:pPr>
        <w:ind w:right="20" w:firstLine="420"/>
        <w:spacing w:after="0" w:line="286" w:lineRule="auto"/>
        <w:rPr>
          <w:sz w:val="20"/>
          <w:szCs w:val="20"/>
          <w:color w:val="auto"/>
        </w:rPr>
      </w:pPr>
      <w:r>
        <w:rPr>
          <w:rFonts w:ascii="Times New Roman" w:cs="Times New Roman" w:eastAsia="Times New Roman" w:hAnsi="Times New Roman"/>
          <w:sz w:val="13"/>
          <w:szCs w:val="13"/>
          <w:color w:val="auto"/>
        </w:rPr>
        <w:t>A review of fair value hierarchy classifications is conducted on a quarterly basis. Changes in our ability to observe valuation inputs may result in a reclassification for certain financial assets or liabilities.</w:t>
      </w:r>
    </w:p>
    <w:p>
      <w:pPr>
        <w:spacing w:after="0" w:line="112" w:lineRule="exact"/>
        <w:rPr>
          <w:sz w:val="20"/>
          <w:szCs w:val="20"/>
          <w:color w:val="auto"/>
        </w:rPr>
      </w:pPr>
    </w:p>
    <w:p>
      <w:pPr>
        <w:ind w:right="120" w:firstLine="420"/>
        <w:spacing w:after="0" w:line="268" w:lineRule="auto"/>
        <w:rPr>
          <w:sz w:val="20"/>
          <w:szCs w:val="20"/>
          <w:color w:val="auto"/>
        </w:rPr>
      </w:pPr>
      <w:r>
        <w:rPr>
          <w:rFonts w:ascii="Times New Roman" w:cs="Times New Roman" w:eastAsia="Times New Roman" w:hAnsi="Times New Roman"/>
          <w:sz w:val="13"/>
          <w:szCs w:val="13"/>
          <w:color w:val="auto"/>
        </w:rPr>
        <w:t>In addition to using the above inputs to value cash equivalents, investments, our 2023 Notes, our 2026 Notes, our 2031 Asset-Backed Debt, our 2036 Asset-Backed Debt, 2036-R Asset-Backed Debt and our Credit Facility,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23" w:lineRule="exact"/>
        <w:rPr>
          <w:sz w:val="20"/>
          <w:szCs w:val="20"/>
          <w:color w:val="auto"/>
        </w:rPr>
      </w:pPr>
    </w:p>
    <w:p>
      <w:pPr>
        <w:ind w:right="40" w:firstLine="420"/>
        <w:spacing w:after="0" w:line="259" w:lineRule="auto"/>
        <w:rPr>
          <w:sz w:val="20"/>
          <w:szCs w:val="20"/>
          <w:color w:val="auto"/>
        </w:rPr>
      </w:pPr>
      <w:r>
        <w:rPr>
          <w:rFonts w:ascii="Times New Roman" w:cs="Times New Roman" w:eastAsia="Times New Roman" w:hAnsi="Times New Roman"/>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as a practical expedient within the fair value hierarchy.</w:t>
      </w:r>
    </w:p>
    <w:p>
      <w:pPr>
        <w:spacing w:after="0" w:line="130" w:lineRule="exact"/>
        <w:rPr>
          <w:sz w:val="20"/>
          <w:szCs w:val="20"/>
          <w:color w:val="auto"/>
        </w:rPr>
      </w:pPr>
    </w:p>
    <w:p>
      <w:pPr>
        <w:ind w:right="20" w:firstLine="420"/>
        <w:spacing w:after="0" w:line="253" w:lineRule="auto"/>
        <w:rPr>
          <w:sz w:val="20"/>
          <w:szCs w:val="20"/>
          <w:color w:val="auto"/>
        </w:rPr>
      </w:pPr>
      <w:r>
        <w:rPr>
          <w:rFonts w:ascii="Times New Roman" w:cs="Times New Roman" w:eastAsia="Times New Roman" w:hAnsi="Times New Roman"/>
          <w:sz w:val="13"/>
          <w:szCs w:val="13"/>
          <w:color w:val="auto"/>
        </w:rPr>
        <w:t>The remainder of our investment portfolio and our long- 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discounted for lack of marketability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jc w:val="center"/>
        <w:ind w:right="20"/>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408940</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2" w:right="660"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40" w:type="dxa"/>
            <w:vAlign w:val="bottom"/>
            <w:gridSpan w:val="6"/>
          </w:tcPr>
          <w:p>
            <w:pPr>
              <w:ind w:left="420"/>
              <w:spacing w:after="0"/>
              <w:rPr>
                <w:sz w:val="20"/>
                <w:szCs w:val="20"/>
                <w:color w:val="auto"/>
              </w:rPr>
            </w:pPr>
            <w:r>
              <w:rPr>
                <w:rFonts w:ascii="Times New Roman" w:cs="Times New Roman" w:eastAsia="Times New Roman" w:hAnsi="Times New Roman"/>
                <w:sz w:val="13"/>
                <w:szCs w:val="13"/>
                <w:color w:val="auto"/>
              </w:rPr>
              <w:t>Our Level 3 valuation techniques, unobservable inputs and ranges were categorized as follows for ASC 820 purposes ($ in thousands):</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3280" w:type="dxa"/>
            <w:vAlign w:val="bottom"/>
          </w:tcPr>
          <w:p>
            <w:pPr>
              <w:spacing w:after="0"/>
              <w:rPr>
                <w:sz w:val="24"/>
                <w:szCs w:val="24"/>
                <w:color w:val="auto"/>
              </w:rPr>
            </w:pPr>
          </w:p>
        </w:tc>
        <w:tc>
          <w:tcPr>
            <w:tcW w:w="18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 at December 31,</w:t>
            </w:r>
          </w:p>
        </w:tc>
        <w:tc>
          <w:tcPr>
            <w:tcW w:w="17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Range of Input</w:t>
            </w:r>
          </w:p>
        </w:tc>
        <w:tc>
          <w:tcPr>
            <w:tcW w:w="0" w:type="dxa"/>
            <w:vAlign w:val="bottom"/>
          </w:tcPr>
          <w:p>
            <w:pPr>
              <w:spacing w:after="0"/>
              <w:rPr>
                <w:sz w:val="1"/>
                <w:szCs w:val="1"/>
                <w:color w:val="auto"/>
              </w:rPr>
            </w:pPr>
          </w:p>
        </w:tc>
      </w:tr>
      <w:tr>
        <w:trPr>
          <w:trHeight w:val="181"/>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 Category</w:t>
            </w:r>
          </w:p>
        </w:tc>
        <w:tc>
          <w:tcPr>
            <w:tcW w:w="380" w:type="dxa"/>
            <w:vAlign w:val="bottom"/>
          </w:tcPr>
          <w:p>
            <w:pPr>
              <w:spacing w:after="0"/>
              <w:rPr>
                <w:sz w:val="15"/>
                <w:szCs w:val="15"/>
                <w:color w:val="auto"/>
              </w:rPr>
            </w:pPr>
          </w:p>
        </w:tc>
        <w:tc>
          <w:tcPr>
            <w:tcW w:w="1200" w:type="dxa"/>
            <w:vAlign w:val="bottom"/>
          </w:tcPr>
          <w:p>
            <w:pPr>
              <w:jc w:val="right"/>
              <w:ind w:right="5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2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Unobservable Input</w:t>
            </w:r>
          </w:p>
        </w:tc>
        <w:tc>
          <w:tcPr>
            <w:tcW w:w="1720" w:type="dxa"/>
            <w:vAlign w:val="bottom"/>
          </w:tcPr>
          <w:p>
            <w:pPr>
              <w:jc w:val="center"/>
              <w:spacing w:after="0" w:line="181" w:lineRule="exact"/>
              <w:rPr>
                <w:sz w:val="20"/>
                <w:szCs w:val="20"/>
                <w:color w:val="auto"/>
              </w:rPr>
            </w:pPr>
            <w:r>
              <w:rPr>
                <w:rFonts w:ascii="Times New Roman" w:cs="Times New Roman" w:eastAsia="Times New Roman" w:hAnsi="Times New Roman"/>
                <w:sz w:val="13"/>
                <w:szCs w:val="13"/>
                <w:b w:val="1"/>
                <w:bCs w:val="1"/>
                <w:color w:val="auto"/>
                <w:w w:val="98"/>
              </w:rPr>
              <w:t xml:space="preserve">(Weighted Average) </w:t>
            </w:r>
            <w:r>
              <w:rPr>
                <w:rFonts w:ascii="Times New Roman" w:cs="Times New Roman" w:eastAsia="Times New Roman" w:hAnsi="Times New Roman"/>
                <w:sz w:val="16"/>
                <w:szCs w:val="16"/>
                <w:b w:val="1"/>
                <w:bCs w:val="1"/>
                <w:color w:val="auto"/>
                <w:w w:val="98"/>
                <w:vertAlign w:val="superscript"/>
              </w:rPr>
              <w:t>(1)</w:t>
            </w:r>
          </w:p>
        </w:tc>
        <w:tc>
          <w:tcPr>
            <w:tcW w:w="0" w:type="dxa"/>
            <w:vAlign w:val="bottom"/>
          </w:tcPr>
          <w:p>
            <w:pPr>
              <w:spacing w:after="0"/>
              <w:rPr>
                <w:sz w:val="1"/>
                <w:szCs w:val="1"/>
                <w:color w:val="auto"/>
              </w:rPr>
            </w:pPr>
          </w:p>
        </w:tc>
      </w:tr>
      <w:tr>
        <w:trPr>
          <w:trHeight w:val="156"/>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107,391</w:t>
            </w:r>
          </w:p>
        </w:tc>
        <w:tc>
          <w:tcPr>
            <w:tcW w:w="220" w:type="dxa"/>
            <w:vAlign w:val="bottom"/>
            <w:shd w:val="clear" w:color="auto" w:fill="CCECFF"/>
          </w:tcPr>
          <w:p>
            <w:pPr>
              <w:spacing w:after="0"/>
              <w:rPr>
                <w:sz w:val="13"/>
                <w:szCs w:val="13"/>
                <w:color w:val="auto"/>
              </w:rPr>
            </w:pP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9"/>
              </w:rPr>
              <w:t>Market Comparable</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Broker/Dealer bids or quotes</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56"/>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1,833,348</w:t>
            </w:r>
          </w:p>
        </w:tc>
        <w:tc>
          <w:tcPr>
            <w:tcW w:w="22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Market Comparable</w:t>
            </w:r>
          </w:p>
        </w:tc>
        <w:tc>
          <w:tcPr>
            <w:tcW w:w="20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6.5% - 21.0% (10.4%)</w:t>
            </w:r>
          </w:p>
        </w:tc>
        <w:tc>
          <w:tcPr>
            <w:tcW w:w="0" w:type="dxa"/>
            <w:vAlign w:val="bottom"/>
          </w:tcPr>
          <w:p>
            <w:pPr>
              <w:spacing w:after="0"/>
              <w:rPr>
                <w:sz w:val="1"/>
                <w:szCs w:val="1"/>
                <w:color w:val="auto"/>
              </w:rPr>
            </w:pPr>
          </w:p>
        </w:tc>
      </w:tr>
      <w:tr>
        <w:trPr>
          <w:trHeight w:val="156"/>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380" w:type="dxa"/>
            <w:vAlign w:val="bottom"/>
            <w:shd w:val="clear" w:color="auto" w:fill="CCECFF"/>
          </w:tcPr>
          <w:p>
            <w:pPr>
              <w:spacing w:after="0"/>
              <w:rPr>
                <w:sz w:val="13"/>
                <w:szCs w:val="13"/>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7,262</w:t>
            </w:r>
          </w:p>
        </w:tc>
        <w:tc>
          <w:tcPr>
            <w:tcW w:w="220" w:type="dxa"/>
            <w:vAlign w:val="bottom"/>
            <w:shd w:val="clear" w:color="auto" w:fill="CCECFF"/>
          </w:tcPr>
          <w:p>
            <w:pPr>
              <w:spacing w:after="0"/>
              <w:rPr>
                <w:sz w:val="13"/>
                <w:szCs w:val="13"/>
                <w:color w:val="auto"/>
              </w:rPr>
            </w:pP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Enterprise Market Value</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EBITDA multiple</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8.0x - 10.5.x (10.3x)</w:t>
            </w:r>
          </w:p>
        </w:tc>
        <w:tc>
          <w:tcPr>
            <w:tcW w:w="0" w:type="dxa"/>
            <w:vAlign w:val="bottom"/>
          </w:tcPr>
          <w:p>
            <w:pPr>
              <w:spacing w:after="0"/>
              <w:rPr>
                <w:sz w:val="1"/>
                <w:szCs w:val="1"/>
                <w:color w:val="auto"/>
              </w:rPr>
            </w:pPr>
          </w:p>
        </w:tc>
      </w:tr>
      <w:tr>
        <w:trPr>
          <w:trHeight w:val="156"/>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380" w:type="dxa"/>
            <w:vAlign w:val="bottom"/>
          </w:tcPr>
          <w:p>
            <w:pPr>
              <w:spacing w:after="0"/>
              <w:rPr>
                <w:sz w:val="13"/>
                <w:szCs w:val="13"/>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15,775</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Enterprise Market Value</w:t>
            </w:r>
          </w:p>
        </w:tc>
        <w:tc>
          <w:tcPr>
            <w:tcW w:w="20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Revenue multiple</w:t>
            </w:r>
          </w:p>
        </w:tc>
        <w:tc>
          <w:tcPr>
            <w:tcW w:w="1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0.7x - 1.0.x (0.8x)</w:t>
            </w:r>
          </w:p>
        </w:tc>
        <w:tc>
          <w:tcPr>
            <w:tcW w:w="0" w:type="dxa"/>
            <w:vAlign w:val="bottom"/>
          </w:tcPr>
          <w:p>
            <w:pPr>
              <w:spacing w:after="0"/>
              <w:rPr>
                <w:sz w:val="1"/>
                <w:szCs w:val="1"/>
                <w:color w:val="auto"/>
              </w:rPr>
            </w:pPr>
          </w:p>
        </w:tc>
      </w:tr>
      <w:tr>
        <w:trPr>
          <w:trHeight w:val="156"/>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Subordinated debt</w:t>
            </w:r>
          </w:p>
        </w:tc>
        <w:tc>
          <w:tcPr>
            <w:tcW w:w="380" w:type="dxa"/>
            <w:vAlign w:val="bottom"/>
            <w:shd w:val="clear" w:color="auto" w:fill="CCECFF"/>
          </w:tcPr>
          <w:p>
            <w:pPr>
              <w:spacing w:after="0"/>
              <w:rPr>
                <w:sz w:val="13"/>
                <w:szCs w:val="13"/>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2,826</w:t>
            </w:r>
          </w:p>
        </w:tc>
        <w:tc>
          <w:tcPr>
            <w:tcW w:w="220" w:type="dxa"/>
            <w:vAlign w:val="bottom"/>
            <w:shd w:val="clear" w:color="auto" w:fill="CCECFF"/>
          </w:tcPr>
          <w:p>
            <w:pPr>
              <w:spacing w:after="0"/>
              <w:rPr>
                <w:sz w:val="13"/>
                <w:szCs w:val="13"/>
                <w:color w:val="auto"/>
              </w:rPr>
            </w:pP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9"/>
              </w:rPr>
              <w:t>Market Comparable</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5.3% - 23.2% (20.0%)</w:t>
            </w:r>
          </w:p>
        </w:tc>
        <w:tc>
          <w:tcPr>
            <w:tcW w:w="0" w:type="dxa"/>
            <w:vAlign w:val="bottom"/>
          </w:tcPr>
          <w:p>
            <w:pPr>
              <w:spacing w:after="0"/>
              <w:rPr>
                <w:sz w:val="1"/>
                <w:szCs w:val="1"/>
                <w:color w:val="auto"/>
              </w:rPr>
            </w:pPr>
          </w:p>
        </w:tc>
      </w:tr>
      <w:tr>
        <w:trPr>
          <w:trHeight w:val="172"/>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Subordinated debt</w:t>
            </w:r>
          </w:p>
        </w:tc>
        <w:tc>
          <w:tcPr>
            <w:tcW w:w="3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609</w:t>
            </w:r>
          </w:p>
        </w:tc>
        <w:tc>
          <w:tcPr>
            <w:tcW w:w="220" w:type="dxa"/>
            <w:vAlign w:val="bottom"/>
          </w:tcPr>
          <w:p>
            <w:pPr>
              <w:spacing w:after="0"/>
              <w:rPr>
                <w:sz w:val="14"/>
                <w:szCs w:val="14"/>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Enterprise Market Value</w:t>
            </w:r>
          </w:p>
        </w:tc>
        <w:tc>
          <w:tcPr>
            <w:tcW w:w="20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EBITDA multiple</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15.0x</w:t>
            </w:r>
          </w:p>
        </w:tc>
        <w:tc>
          <w:tcPr>
            <w:tcW w:w="0" w:type="dxa"/>
            <w:vAlign w:val="bottom"/>
          </w:tcPr>
          <w:p>
            <w:pPr>
              <w:spacing w:after="0"/>
              <w:rPr>
                <w:sz w:val="1"/>
                <w:szCs w:val="1"/>
                <w:color w:val="auto"/>
              </w:rPr>
            </w:pPr>
          </w:p>
        </w:tc>
      </w:tr>
      <w:tr>
        <w:trPr>
          <w:trHeight w:val="60"/>
        </w:trPr>
        <w:tc>
          <w:tcPr>
            <w:tcW w:w="32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20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20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380" w:type="dxa"/>
            <w:vAlign w:val="bottom"/>
            <w:shd w:val="clear" w:color="auto" w:fill="CCECFF"/>
          </w:tcPr>
          <w:p>
            <w:pPr>
              <w:spacing w:after="0"/>
              <w:rPr>
                <w:sz w:val="13"/>
                <w:szCs w:val="13"/>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168,869</w:t>
            </w:r>
          </w:p>
        </w:tc>
        <w:tc>
          <w:tcPr>
            <w:tcW w:w="220" w:type="dxa"/>
            <w:vAlign w:val="bottom"/>
            <w:shd w:val="clear" w:color="auto" w:fill="CCECFF"/>
          </w:tcPr>
          <w:p>
            <w:pPr>
              <w:spacing w:after="0"/>
              <w:rPr>
                <w:sz w:val="13"/>
                <w:szCs w:val="13"/>
                <w:color w:val="auto"/>
              </w:rPr>
            </w:pP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Enterprise Market Value</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EBITDA multiple</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1.8x - 16.8x (12.0x)</w:t>
            </w:r>
          </w:p>
        </w:tc>
        <w:tc>
          <w:tcPr>
            <w:tcW w:w="0" w:type="dxa"/>
            <w:vAlign w:val="bottom"/>
          </w:tcPr>
          <w:p>
            <w:pPr>
              <w:spacing w:after="0"/>
              <w:rPr>
                <w:sz w:val="1"/>
                <w:szCs w:val="1"/>
                <w:color w:val="auto"/>
              </w:rPr>
            </w:pPr>
          </w:p>
        </w:tc>
      </w:tr>
      <w:tr>
        <w:trPr>
          <w:trHeight w:val="156"/>
        </w:trPr>
        <w:tc>
          <w:tcPr>
            <w:tcW w:w="3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Level 3 investments</w:t>
            </w: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2,136,080</w:t>
            </w:r>
          </w:p>
        </w:tc>
        <w:tc>
          <w:tcPr>
            <w:tcW w:w="2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280" w:type="dxa"/>
            <w:vAlign w:val="bottom"/>
            <w:tcBorders>
              <w:bottom w:val="single" w:sz="8" w:color="CCECFF"/>
            </w:tcBorders>
            <w:shd w:val="clear" w:color="auto" w:fill="CCECFF"/>
          </w:tcPr>
          <w:p>
            <w:pPr>
              <w:ind w:left="20"/>
              <w:spacing w:after="0" w:line="133" w:lineRule="exact"/>
              <w:rPr>
                <w:sz w:val="20"/>
                <w:szCs w:val="20"/>
                <w:color w:val="auto"/>
              </w:rPr>
            </w:pPr>
            <w:r>
              <w:rPr>
                <w:rFonts w:ascii="Times New Roman" w:cs="Times New Roman" w:eastAsia="Times New Roman" w:hAnsi="Times New Roman"/>
                <w:sz w:val="13"/>
                <w:szCs w:val="13"/>
                <w:color w:val="auto"/>
              </w:rPr>
              <w:t>Long-Term Credit Facility</w:t>
            </w:r>
          </w:p>
        </w:tc>
        <w:tc>
          <w:tcPr>
            <w:tcW w:w="380" w:type="dxa"/>
            <w:vAlign w:val="bottom"/>
            <w:tcBorders>
              <w:bottom w:val="single" w:sz="8" w:color="auto"/>
            </w:tcBorders>
            <w:shd w:val="clear" w:color="auto" w:fill="CCECFF"/>
          </w:tcPr>
          <w:p>
            <w:pPr>
              <w:ind w:left="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608,791</w:t>
            </w:r>
          </w:p>
        </w:tc>
        <w:tc>
          <w:tcPr>
            <w:tcW w:w="220" w:type="dxa"/>
            <w:vAlign w:val="bottom"/>
            <w:tcBorders>
              <w:bottom w:val="single" w:sz="8" w:color="CCECFF"/>
            </w:tcBorders>
            <w:shd w:val="clear" w:color="auto" w:fill="CCECFF"/>
          </w:tcPr>
          <w:p>
            <w:pPr>
              <w:spacing w:after="0"/>
              <w:rPr>
                <w:sz w:val="14"/>
                <w:szCs w:val="14"/>
                <w:color w:val="auto"/>
              </w:rPr>
            </w:pPr>
          </w:p>
        </w:tc>
        <w:tc>
          <w:tcPr>
            <w:tcW w:w="1760" w:type="dxa"/>
            <w:vAlign w:val="bottom"/>
            <w:tcBorders>
              <w:bottom w:val="single" w:sz="8" w:color="CCECFF"/>
            </w:tcBorders>
            <w:shd w:val="clear" w:color="auto" w:fill="CCECFF"/>
          </w:tcPr>
          <w:p>
            <w:pPr>
              <w:jc w:val="center"/>
              <w:spacing w:after="0" w:line="133" w:lineRule="exact"/>
              <w:rPr>
                <w:sz w:val="20"/>
                <w:szCs w:val="20"/>
                <w:color w:val="auto"/>
              </w:rPr>
            </w:pPr>
            <w:r>
              <w:rPr>
                <w:rFonts w:ascii="Times New Roman" w:cs="Times New Roman" w:eastAsia="Times New Roman" w:hAnsi="Times New Roman"/>
                <w:sz w:val="13"/>
                <w:szCs w:val="13"/>
                <w:color w:val="auto"/>
                <w:w w:val="99"/>
              </w:rPr>
              <w:t>Market Comparable</w:t>
            </w:r>
          </w:p>
        </w:tc>
        <w:tc>
          <w:tcPr>
            <w:tcW w:w="2000" w:type="dxa"/>
            <w:vAlign w:val="bottom"/>
            <w:tcBorders>
              <w:bottom w:val="single" w:sz="8" w:color="CCECFF"/>
            </w:tcBorders>
            <w:shd w:val="clear" w:color="auto" w:fill="CCECFF"/>
          </w:tcPr>
          <w:p>
            <w:pPr>
              <w:jc w:val="center"/>
              <w:spacing w:after="0" w:line="133" w:lineRule="exact"/>
              <w:rPr>
                <w:sz w:val="20"/>
                <w:szCs w:val="20"/>
                <w:color w:val="auto"/>
              </w:rPr>
            </w:pPr>
            <w:r>
              <w:rPr>
                <w:rFonts w:ascii="Times New Roman" w:cs="Times New Roman" w:eastAsia="Times New Roman" w:hAnsi="Times New Roman"/>
                <w:sz w:val="13"/>
                <w:szCs w:val="13"/>
                <w:color w:val="auto"/>
              </w:rPr>
              <w:t>Market yield</w:t>
            </w:r>
          </w:p>
        </w:tc>
        <w:tc>
          <w:tcPr>
            <w:tcW w:w="1720" w:type="dxa"/>
            <w:vAlign w:val="bottom"/>
            <w:tcBorders>
              <w:bottom w:val="single" w:sz="8" w:color="CCECFF"/>
            </w:tcBorders>
            <w:shd w:val="clear" w:color="auto" w:fill="CCECFF"/>
          </w:tcPr>
          <w:p>
            <w:pPr>
              <w:jc w:val="center"/>
              <w:spacing w:after="0" w:line="133" w:lineRule="exact"/>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140"/>
        </w:trPr>
        <w:tc>
          <w:tcPr>
            <w:tcW w:w="32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w:t>
            </w: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The weighted averages disclosed in the table above were weighted by their relative fair value.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80" w:type="dxa"/>
            <w:vAlign w:val="bottom"/>
          </w:tcPr>
          <w:p>
            <w:pPr>
              <w:spacing w:after="0"/>
              <w:rPr>
                <w:sz w:val="12"/>
                <w:szCs w:val="12"/>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 at September 30,</w:t>
            </w:r>
          </w:p>
        </w:tc>
        <w:tc>
          <w:tcPr>
            <w:tcW w:w="20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20" w:type="dxa"/>
            <w:vAlign w:val="bottom"/>
          </w:tcPr>
          <w:p>
            <w:pPr>
              <w:jc w:val="center"/>
              <w:ind w:left="74"/>
              <w:spacing w:after="0"/>
              <w:rPr>
                <w:sz w:val="20"/>
                <w:szCs w:val="20"/>
                <w:color w:val="auto"/>
              </w:rPr>
            </w:pPr>
            <w:r>
              <w:rPr>
                <w:rFonts w:ascii="Times New Roman" w:cs="Times New Roman" w:eastAsia="Times New Roman" w:hAnsi="Times New Roman"/>
                <w:sz w:val="13"/>
                <w:szCs w:val="13"/>
                <w:b w:val="1"/>
                <w:bCs w:val="1"/>
                <w:color w:val="auto"/>
              </w:rPr>
              <w:t>Range of Input</w:t>
            </w:r>
          </w:p>
        </w:tc>
      </w:tr>
      <w:tr>
        <w:trPr>
          <w:trHeight w:val="169"/>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 Category</w:t>
            </w:r>
          </w:p>
        </w:tc>
        <w:tc>
          <w:tcPr>
            <w:tcW w:w="380" w:type="dxa"/>
            <w:vAlign w:val="bottom"/>
          </w:tcPr>
          <w:p>
            <w:pPr>
              <w:spacing w:after="0"/>
              <w:rPr>
                <w:sz w:val="14"/>
                <w:szCs w:val="14"/>
                <w:color w:val="auto"/>
              </w:rPr>
            </w:pPr>
          </w:p>
        </w:tc>
        <w:tc>
          <w:tcPr>
            <w:tcW w:w="1200" w:type="dxa"/>
            <w:vAlign w:val="bottom"/>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80" w:type="dxa"/>
            <w:vAlign w:val="bottom"/>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1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Unobservable Input</w:t>
            </w:r>
          </w:p>
        </w:tc>
        <w:tc>
          <w:tcPr>
            <w:tcW w:w="1820" w:type="dxa"/>
            <w:vAlign w:val="bottom"/>
          </w:tcPr>
          <w:p>
            <w:pPr>
              <w:jc w:val="center"/>
              <w:ind w:left="54"/>
              <w:spacing w:after="0" w:line="169" w:lineRule="exact"/>
              <w:rPr>
                <w:sz w:val="20"/>
                <w:szCs w:val="20"/>
                <w:color w:val="auto"/>
              </w:rPr>
            </w:pPr>
            <w:r>
              <w:rPr>
                <w:rFonts w:ascii="Times New Roman" w:cs="Times New Roman" w:eastAsia="Times New Roman" w:hAnsi="Times New Roman"/>
                <w:sz w:val="13"/>
                <w:szCs w:val="13"/>
                <w:b w:val="1"/>
                <w:bCs w:val="1"/>
                <w:color w:val="auto"/>
                <w:w w:val="98"/>
              </w:rPr>
              <w:t xml:space="preserve">(Weighted Average) </w:t>
            </w:r>
            <w:r>
              <w:rPr>
                <w:rFonts w:ascii="Times New Roman" w:cs="Times New Roman" w:eastAsia="Times New Roman" w:hAnsi="Times New Roman"/>
                <w:sz w:val="16"/>
                <w:szCs w:val="16"/>
                <w:b w:val="1"/>
                <w:bCs w:val="1"/>
                <w:color w:val="auto"/>
                <w:w w:val="98"/>
                <w:vertAlign w:val="superscript"/>
              </w:rPr>
              <w:t>(1)</w:t>
            </w:r>
          </w:p>
        </w:tc>
      </w:tr>
      <w:tr>
        <w:trPr>
          <w:trHeight w:val="156"/>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Broker/Dealer bids</w:t>
            </w:r>
          </w:p>
        </w:tc>
        <w:tc>
          <w:tcPr>
            <w:tcW w:w="1820" w:type="dxa"/>
            <w:vAlign w:val="bottom"/>
          </w:tcPr>
          <w:p>
            <w:pPr>
              <w:spacing w:after="0"/>
              <w:rPr>
                <w:sz w:val="13"/>
                <w:szCs w:val="13"/>
                <w:color w:val="auto"/>
              </w:rPr>
            </w:pPr>
          </w:p>
        </w:tc>
      </w:tr>
      <w:tr>
        <w:trPr>
          <w:trHeight w:val="168"/>
        </w:trPr>
        <w:tc>
          <w:tcPr>
            <w:tcW w:w="3280" w:type="dxa"/>
            <w:vAlign w:val="bottom"/>
          </w:tcPr>
          <w:p>
            <w:pPr>
              <w:spacing w:after="0"/>
              <w:rPr>
                <w:sz w:val="14"/>
                <w:szCs w:val="14"/>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132,197</w:t>
            </w:r>
          </w:p>
        </w:tc>
        <w:tc>
          <w:tcPr>
            <w:tcW w:w="208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Market Comparable</w:t>
            </w:r>
          </w:p>
        </w:tc>
        <w:tc>
          <w:tcPr>
            <w:tcW w:w="1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or quotes</w:t>
            </w:r>
          </w:p>
        </w:tc>
        <w:tc>
          <w:tcPr>
            <w:tcW w:w="182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380" w:type="dxa"/>
            <w:vAlign w:val="bottom"/>
            <w:shd w:val="clear" w:color="auto" w:fill="CCECFF"/>
          </w:tcPr>
          <w:p>
            <w:pPr>
              <w:spacing w:after="0"/>
              <w:rPr>
                <w:sz w:val="13"/>
                <w:szCs w:val="13"/>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1,589,437</w:t>
            </w:r>
          </w:p>
        </w:tc>
        <w:tc>
          <w:tcPr>
            <w:tcW w:w="2080" w:type="dxa"/>
            <w:vAlign w:val="bottom"/>
            <w:shd w:val="clear" w:color="auto" w:fill="CCECFF"/>
          </w:tcPr>
          <w:p>
            <w:pPr>
              <w:jc w:val="center"/>
              <w:ind w:left="34"/>
              <w:spacing w:after="0"/>
              <w:rPr>
                <w:sz w:val="20"/>
                <w:szCs w:val="20"/>
                <w:color w:val="auto"/>
              </w:rPr>
            </w:pPr>
            <w:r>
              <w:rPr>
                <w:rFonts w:ascii="Times New Roman" w:cs="Times New Roman" w:eastAsia="Times New Roman" w:hAnsi="Times New Roman"/>
                <w:sz w:val="13"/>
                <w:szCs w:val="13"/>
                <w:color w:val="auto"/>
              </w:rPr>
              <w:t>Market Comparable</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820" w:type="dxa"/>
            <w:vAlign w:val="bottom"/>
            <w:shd w:val="clear" w:color="auto" w:fill="CCECFF"/>
          </w:tcPr>
          <w:p>
            <w:pPr>
              <w:jc w:val="center"/>
              <w:ind w:left="74"/>
              <w:spacing w:after="0"/>
              <w:rPr>
                <w:sz w:val="20"/>
                <w:szCs w:val="20"/>
                <w:color w:val="auto"/>
              </w:rPr>
            </w:pPr>
            <w:r>
              <w:rPr>
                <w:rFonts w:ascii="Times New Roman" w:cs="Times New Roman" w:eastAsia="Times New Roman" w:hAnsi="Times New Roman"/>
                <w:sz w:val="13"/>
                <w:szCs w:val="13"/>
                <w:color w:val="auto"/>
              </w:rPr>
              <w:t>7.9% - 21.1% (9.1%)</w:t>
            </w:r>
          </w:p>
        </w:tc>
      </w:tr>
      <w:tr>
        <w:trPr>
          <w:trHeight w:val="156"/>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25,063</w:t>
            </w:r>
          </w:p>
        </w:tc>
        <w:tc>
          <w:tcPr>
            <w:tcW w:w="208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Enterprise Market Value</w:t>
            </w:r>
          </w:p>
        </w:tc>
        <w:tc>
          <w:tcPr>
            <w:tcW w:w="1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EBITDA multiple</w:t>
            </w:r>
          </w:p>
        </w:tc>
        <w:tc>
          <w:tcPr>
            <w:tcW w:w="182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0.8x - 9.8x (3.4x)</w:t>
            </w:r>
          </w:p>
        </w:tc>
      </w:tr>
      <w:tr>
        <w:trPr>
          <w:trHeight w:val="156"/>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Subordinated debt</w:t>
            </w:r>
          </w:p>
        </w:tc>
        <w:tc>
          <w:tcPr>
            <w:tcW w:w="380" w:type="dxa"/>
            <w:vAlign w:val="bottom"/>
            <w:shd w:val="clear" w:color="auto" w:fill="CCECFF"/>
          </w:tcPr>
          <w:p>
            <w:pPr>
              <w:spacing w:after="0"/>
              <w:rPr>
                <w:sz w:val="13"/>
                <w:szCs w:val="13"/>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2,688</w:t>
            </w:r>
          </w:p>
        </w:tc>
        <w:tc>
          <w:tcPr>
            <w:tcW w:w="2080" w:type="dxa"/>
            <w:vAlign w:val="bottom"/>
            <w:shd w:val="clear" w:color="auto" w:fill="CCECFF"/>
          </w:tcPr>
          <w:p>
            <w:pPr>
              <w:jc w:val="center"/>
              <w:ind w:left="34"/>
              <w:spacing w:after="0"/>
              <w:rPr>
                <w:sz w:val="20"/>
                <w:szCs w:val="20"/>
                <w:color w:val="auto"/>
              </w:rPr>
            </w:pPr>
            <w:r>
              <w:rPr>
                <w:rFonts w:ascii="Times New Roman" w:cs="Times New Roman" w:eastAsia="Times New Roman" w:hAnsi="Times New Roman"/>
                <w:sz w:val="13"/>
                <w:szCs w:val="13"/>
                <w:color w:val="auto"/>
              </w:rPr>
              <w:t>Market Comparable</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820" w:type="dxa"/>
            <w:vAlign w:val="bottom"/>
            <w:shd w:val="clear" w:color="auto" w:fill="CCECFF"/>
          </w:tcPr>
          <w:p>
            <w:pPr>
              <w:jc w:val="center"/>
              <w:ind w:left="74"/>
              <w:spacing w:after="0"/>
              <w:rPr>
                <w:sz w:val="20"/>
                <w:szCs w:val="20"/>
                <w:color w:val="auto"/>
              </w:rPr>
            </w:pPr>
            <w:r>
              <w:rPr>
                <w:rFonts w:ascii="Times New Roman" w:cs="Times New Roman" w:eastAsia="Times New Roman" w:hAnsi="Times New Roman"/>
                <w:sz w:val="13"/>
                <w:szCs w:val="13"/>
                <w:color w:val="auto"/>
              </w:rPr>
              <w:t>11.8% - 16.5% (14.0 %)</w:t>
            </w:r>
          </w:p>
        </w:tc>
      </w:tr>
      <w:tr>
        <w:trPr>
          <w:trHeight w:val="156"/>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Subordinated debt</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8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Enterprise Market Value</w:t>
            </w:r>
          </w:p>
        </w:tc>
        <w:tc>
          <w:tcPr>
            <w:tcW w:w="1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EBITDA multiple</w:t>
            </w:r>
          </w:p>
        </w:tc>
        <w:tc>
          <w:tcPr>
            <w:tcW w:w="182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5x</w:t>
            </w:r>
          </w:p>
        </w:tc>
      </w:tr>
      <w:tr>
        <w:trPr>
          <w:trHeight w:val="156"/>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380" w:type="dxa"/>
            <w:vAlign w:val="bottom"/>
            <w:shd w:val="clear" w:color="auto" w:fill="CCECFF"/>
          </w:tcPr>
          <w:p>
            <w:pPr>
              <w:spacing w:after="0"/>
              <w:rPr>
                <w:sz w:val="13"/>
                <w:szCs w:val="13"/>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168,450</w:t>
            </w:r>
          </w:p>
        </w:tc>
        <w:tc>
          <w:tcPr>
            <w:tcW w:w="2080" w:type="dxa"/>
            <w:vAlign w:val="bottom"/>
            <w:shd w:val="clear" w:color="auto" w:fill="CCECFF"/>
          </w:tcPr>
          <w:p>
            <w:pPr>
              <w:jc w:val="center"/>
              <w:ind w:left="34"/>
              <w:spacing w:after="0"/>
              <w:rPr>
                <w:sz w:val="20"/>
                <w:szCs w:val="20"/>
                <w:color w:val="auto"/>
              </w:rPr>
            </w:pPr>
            <w:r>
              <w:rPr>
                <w:rFonts w:ascii="Times New Roman" w:cs="Times New Roman" w:eastAsia="Times New Roman" w:hAnsi="Times New Roman"/>
                <w:sz w:val="13"/>
                <w:szCs w:val="13"/>
                <w:color w:val="auto"/>
              </w:rPr>
              <w:t>Enterprise Market Value</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9"/>
              </w:rPr>
              <w:t>EBITDA multiple</w:t>
            </w:r>
          </w:p>
        </w:tc>
        <w:tc>
          <w:tcPr>
            <w:tcW w:w="1820" w:type="dxa"/>
            <w:vAlign w:val="bottom"/>
            <w:shd w:val="clear" w:color="auto" w:fill="CCECFF"/>
          </w:tcPr>
          <w:p>
            <w:pPr>
              <w:jc w:val="center"/>
              <w:ind w:left="54"/>
              <w:spacing w:after="0"/>
              <w:rPr>
                <w:sz w:val="20"/>
                <w:szCs w:val="20"/>
                <w:color w:val="auto"/>
              </w:rPr>
            </w:pPr>
            <w:r>
              <w:rPr>
                <w:rFonts w:ascii="Times New Roman" w:cs="Times New Roman" w:eastAsia="Times New Roman" w:hAnsi="Times New Roman"/>
                <w:sz w:val="13"/>
                <w:szCs w:val="13"/>
                <w:color w:val="auto"/>
              </w:rPr>
              <w:t>0.4x - 18.8x (11.0x)</w:t>
            </w:r>
          </w:p>
        </w:tc>
      </w:tr>
      <w:tr>
        <w:trPr>
          <w:trHeight w:val="156"/>
        </w:trPr>
        <w:tc>
          <w:tcPr>
            <w:tcW w:w="3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Level 3 investments</w:t>
            </w: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1,917,839</w:t>
            </w:r>
          </w:p>
        </w:tc>
        <w:tc>
          <w:tcPr>
            <w:tcW w:w="20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20"/>
        </w:trPr>
        <w:tc>
          <w:tcPr>
            <w:tcW w:w="3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72"/>
        </w:trPr>
        <w:tc>
          <w:tcPr>
            <w:tcW w:w="3280" w:type="dxa"/>
            <w:vAlign w:val="bottom"/>
            <w:tcBorders>
              <w:bottom w:val="single" w:sz="8" w:color="CCECFF"/>
            </w:tcBorders>
            <w:shd w:val="clear" w:color="auto" w:fill="CCECFF"/>
          </w:tcPr>
          <w:p>
            <w:pPr>
              <w:ind w:left="20"/>
              <w:spacing w:after="0" w:line="133" w:lineRule="exact"/>
              <w:rPr>
                <w:sz w:val="20"/>
                <w:szCs w:val="20"/>
                <w:color w:val="auto"/>
              </w:rPr>
            </w:pPr>
            <w:r>
              <w:rPr>
                <w:rFonts w:ascii="Times New Roman" w:cs="Times New Roman" w:eastAsia="Times New Roman" w:hAnsi="Times New Roman"/>
                <w:sz w:val="13"/>
                <w:szCs w:val="13"/>
                <w:color w:val="auto"/>
              </w:rPr>
              <w:t>Long-Term Credit Facility</w:t>
            </w:r>
          </w:p>
        </w:tc>
        <w:tc>
          <w:tcPr>
            <w:tcW w:w="380" w:type="dxa"/>
            <w:vAlign w:val="bottom"/>
            <w:tcBorders>
              <w:bottom w:val="single" w:sz="8" w:color="auto"/>
            </w:tcBorders>
            <w:shd w:val="clear" w:color="auto" w:fill="CCECFF"/>
          </w:tcPr>
          <w:p>
            <w:pPr>
              <w:ind w:left="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443,880</w:t>
            </w:r>
          </w:p>
        </w:tc>
        <w:tc>
          <w:tcPr>
            <w:tcW w:w="2080" w:type="dxa"/>
            <w:vAlign w:val="bottom"/>
            <w:tcBorders>
              <w:bottom w:val="single" w:sz="8" w:color="CCECFF"/>
            </w:tcBorders>
            <w:shd w:val="clear" w:color="auto" w:fill="CCECFF"/>
          </w:tcPr>
          <w:p>
            <w:pPr>
              <w:jc w:val="center"/>
              <w:ind w:left="34"/>
              <w:spacing w:after="0" w:line="133" w:lineRule="exact"/>
              <w:rPr>
                <w:sz w:val="20"/>
                <w:szCs w:val="20"/>
                <w:color w:val="auto"/>
              </w:rPr>
            </w:pPr>
            <w:r>
              <w:rPr>
                <w:rFonts w:ascii="Times New Roman" w:cs="Times New Roman" w:eastAsia="Times New Roman" w:hAnsi="Times New Roman"/>
                <w:sz w:val="13"/>
                <w:szCs w:val="13"/>
                <w:color w:val="auto"/>
              </w:rPr>
              <w:t>Market Comparable</w:t>
            </w:r>
          </w:p>
        </w:tc>
        <w:tc>
          <w:tcPr>
            <w:tcW w:w="1800" w:type="dxa"/>
            <w:vAlign w:val="bottom"/>
            <w:tcBorders>
              <w:bottom w:val="single" w:sz="8" w:color="CCECFF"/>
            </w:tcBorders>
            <w:shd w:val="clear" w:color="auto" w:fill="CCECFF"/>
          </w:tcPr>
          <w:p>
            <w:pPr>
              <w:jc w:val="center"/>
              <w:spacing w:after="0" w:line="133" w:lineRule="exact"/>
              <w:rPr>
                <w:sz w:val="20"/>
                <w:szCs w:val="20"/>
                <w:color w:val="auto"/>
              </w:rPr>
            </w:pPr>
            <w:r>
              <w:rPr>
                <w:rFonts w:ascii="Times New Roman" w:cs="Times New Roman" w:eastAsia="Times New Roman" w:hAnsi="Times New Roman"/>
                <w:sz w:val="13"/>
                <w:szCs w:val="13"/>
                <w:color w:val="auto"/>
              </w:rPr>
              <w:t>Market Yield</w:t>
            </w:r>
          </w:p>
        </w:tc>
        <w:tc>
          <w:tcPr>
            <w:tcW w:w="1820" w:type="dxa"/>
            <w:vAlign w:val="bottom"/>
            <w:tcBorders>
              <w:bottom w:val="single" w:sz="8" w:color="CCECFF"/>
            </w:tcBorders>
            <w:shd w:val="clear" w:color="auto" w:fill="CCECFF"/>
          </w:tcPr>
          <w:p>
            <w:pPr>
              <w:jc w:val="center"/>
              <w:ind w:left="74"/>
              <w:spacing w:after="0" w:line="133" w:lineRule="exact"/>
              <w:rPr>
                <w:sz w:val="20"/>
                <w:szCs w:val="20"/>
                <w:color w:val="auto"/>
              </w:rPr>
            </w:pPr>
            <w:r>
              <w:rPr>
                <w:rFonts w:ascii="Times New Roman" w:cs="Times New Roman" w:eastAsia="Times New Roman" w:hAnsi="Times New Roman"/>
                <w:sz w:val="13"/>
                <w:szCs w:val="13"/>
                <w:color w:val="auto"/>
              </w:rPr>
              <w:t>5.4%</w:t>
            </w:r>
          </w:p>
        </w:tc>
      </w:tr>
    </w:tbl>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The weighted averages disclosed in the table above were weighted by their relative fair value.</w:t>
      </w:r>
    </w:p>
    <w:p>
      <w:pPr>
        <w:spacing w:after="0" w:line="70" w:lineRule="exact"/>
        <w:rPr>
          <w:sz w:val="20"/>
          <w:szCs w:val="20"/>
          <w:color w:val="auto"/>
        </w:rPr>
      </w:pPr>
    </w:p>
    <w:p>
      <w:pPr>
        <w:jc w:val="both"/>
        <w:ind w:firstLine="420"/>
        <w:spacing w:after="0" w:line="286" w:lineRule="auto"/>
        <w:rPr>
          <w:sz w:val="20"/>
          <w:szCs w:val="20"/>
          <w:color w:val="auto"/>
        </w:rPr>
      </w:pPr>
      <w:r>
        <w:rPr>
          <w:rFonts w:ascii="Times New Roman" w:cs="Times New Roman" w:eastAsia="Times New Roman" w:hAnsi="Times New Roman"/>
          <w:sz w:val="13"/>
          <w:szCs w:val="13"/>
          <w:color w:val="auto"/>
        </w:rPr>
        <w:t>Our investments, cash and cash equivalents, Credit Facility, 2026 Notes, 2031 Asset-Backed Debt, 2036-R Asset-Backed Debt, and 2036 Asset-Backed Debt were categorized as follows in the fair value hierarchy for ASC 820 purposes ($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40" w:type="dxa"/>
            <w:vAlign w:val="bottom"/>
            <w:gridSpan w:val="6"/>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Fair Value at December 31, 2024</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Measured at Net</w:t>
            </w:r>
          </w:p>
        </w:tc>
        <w:tc>
          <w:tcPr>
            <w:tcW w:w="0" w:type="dxa"/>
            <w:vAlign w:val="bottom"/>
          </w:tcPr>
          <w:p>
            <w:pPr>
              <w:spacing w:after="0"/>
              <w:rPr>
                <w:sz w:val="1"/>
                <w:szCs w:val="1"/>
                <w:color w:val="auto"/>
              </w:rPr>
            </w:pPr>
          </w:p>
        </w:tc>
      </w:tr>
      <w:tr>
        <w:trPr>
          <w:trHeight w:val="127"/>
        </w:trPr>
        <w:tc>
          <w:tcPr>
            <w:tcW w:w="3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200" w:type="dxa"/>
            <w:vAlign w:val="bottom"/>
          </w:tcPr>
          <w:p>
            <w:pPr>
              <w:spacing w:after="0"/>
              <w:rPr>
                <w:sz w:val="15"/>
                <w:szCs w:val="15"/>
                <w:color w:val="auto"/>
              </w:rPr>
            </w:pPr>
          </w:p>
        </w:tc>
        <w:tc>
          <w:tcPr>
            <w:tcW w:w="100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80"/>
              <w:spacing w:after="0" w:line="181" w:lineRule="exact"/>
              <w:rPr>
                <w:sz w:val="20"/>
                <w:szCs w:val="20"/>
                <w:color w:val="auto"/>
              </w:rPr>
            </w:pPr>
            <w:r>
              <w:rPr>
                <w:rFonts w:ascii="Times New Roman" w:cs="Times New Roman" w:eastAsia="Times New Roman" w:hAnsi="Times New Roman"/>
                <w:sz w:val="13"/>
                <w:szCs w:val="13"/>
                <w:b w:val="1"/>
                <w:bCs w:val="1"/>
                <w:color w:val="auto"/>
                <w:w w:val="96"/>
              </w:rPr>
              <w:t xml:space="preserve">Asset Value </w:t>
            </w:r>
            <w:r>
              <w:rPr>
                <w:rFonts w:ascii="Times New Roman" w:cs="Times New Roman" w:eastAsia="Times New Roman" w:hAnsi="Times New Roman"/>
                <w:sz w:val="16"/>
                <w:szCs w:val="16"/>
                <w:b w:val="1"/>
                <w:bCs w:val="1"/>
                <w:color w:val="auto"/>
                <w:w w:val="96"/>
                <w:vertAlign w:val="superscript"/>
              </w:rPr>
              <w:t>(1)</w:t>
            </w:r>
          </w:p>
        </w:tc>
        <w:tc>
          <w:tcPr>
            <w:tcW w:w="0" w:type="dxa"/>
            <w:vAlign w:val="bottom"/>
          </w:tcPr>
          <w:p>
            <w:pPr>
              <w:spacing w:after="0"/>
              <w:rPr>
                <w:sz w:val="1"/>
                <w:szCs w:val="1"/>
                <w:color w:val="auto"/>
              </w:rPr>
            </w:pPr>
          </w:p>
        </w:tc>
      </w:tr>
      <w:tr>
        <w:trPr>
          <w:trHeight w:val="156"/>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20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1,963,776</w:t>
            </w:r>
          </w:p>
        </w:tc>
        <w:tc>
          <w:tcPr>
            <w:tcW w:w="480" w:type="dxa"/>
            <w:vAlign w:val="bottom"/>
            <w:gridSpan w:val="2"/>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1,963,776</w:t>
            </w:r>
          </w:p>
        </w:tc>
        <w:tc>
          <w:tcPr>
            <w:tcW w:w="3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Subordinate debt</w:t>
            </w: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3,435</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200" w:type="dxa"/>
            <w:vAlign w:val="bottom"/>
            <w:shd w:val="clear" w:color="auto" w:fill="CCECFF"/>
          </w:tcPr>
          <w:p>
            <w:pPr>
              <w:spacing w:after="0"/>
              <w:rPr>
                <w:sz w:val="13"/>
                <w:szCs w:val="13"/>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226,699</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168,869</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1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57,830</w:t>
            </w:r>
          </w:p>
        </w:tc>
        <w:tc>
          <w:tcPr>
            <w:tcW w:w="0" w:type="dxa"/>
            <w:vAlign w:val="bottom"/>
          </w:tcPr>
          <w:p>
            <w:pPr>
              <w:spacing w:after="0"/>
              <w:rPr>
                <w:sz w:val="1"/>
                <w:szCs w:val="1"/>
                <w:color w:val="auto"/>
              </w:rPr>
            </w:pPr>
          </w:p>
        </w:tc>
      </w:tr>
      <w:tr>
        <w:trPr>
          <w:trHeight w:val="156"/>
        </w:trPr>
        <w:tc>
          <w:tcPr>
            <w:tcW w:w="36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investments</w:t>
            </w: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2,193,910</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2,136,080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57,830</w:t>
            </w:r>
          </w:p>
        </w:tc>
        <w:tc>
          <w:tcPr>
            <w:tcW w:w="0" w:type="dxa"/>
            <w:vAlign w:val="bottom"/>
          </w:tcPr>
          <w:p>
            <w:pPr>
              <w:spacing w:after="0"/>
              <w:rPr>
                <w:sz w:val="1"/>
                <w:szCs w:val="1"/>
                <w:color w:val="auto"/>
              </w:rPr>
            </w:pPr>
          </w:p>
        </w:tc>
      </w:tr>
      <w:tr>
        <w:trPr>
          <w:trHeight w:val="156"/>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00" w:type="dxa"/>
            <w:vAlign w:val="bottom"/>
            <w:shd w:val="clear" w:color="auto" w:fill="CCECFF"/>
          </w:tcPr>
          <w:p>
            <w:pPr>
              <w:spacing w:after="0"/>
              <w:rPr>
                <w:sz w:val="13"/>
                <w:szCs w:val="13"/>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102,262</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102,262</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1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6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investments and cash and cash equivalents</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2,296,172</w:t>
            </w:r>
          </w:p>
        </w:tc>
        <w:tc>
          <w:tcPr>
            <w:tcW w:w="48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102,262</w:t>
            </w:r>
          </w:p>
        </w:tc>
        <w:tc>
          <w:tcPr>
            <w:tcW w:w="48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2,136,080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57,830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620" w:type="dxa"/>
            <w:vAlign w:val="bottom"/>
            <w:shd w:val="clear" w:color="auto" w:fill="CCECFF"/>
          </w:tcPr>
          <w:p>
            <w:pPr>
              <w:ind w:left="20"/>
              <w:spacing w:after="0" w:line="133" w:lineRule="exact"/>
              <w:rPr>
                <w:sz w:val="20"/>
                <w:szCs w:val="20"/>
                <w:color w:val="auto"/>
              </w:rPr>
            </w:pPr>
            <w:r>
              <w:rPr>
                <w:rFonts w:ascii="Times New Roman" w:cs="Times New Roman" w:eastAsia="Times New Roman" w:hAnsi="Times New Roman"/>
                <w:sz w:val="13"/>
                <w:szCs w:val="13"/>
                <w:color w:val="auto"/>
              </w:rPr>
              <w:t>Credit Facility payable</w:t>
            </w:r>
          </w:p>
        </w:tc>
        <w:tc>
          <w:tcPr>
            <w:tcW w:w="200" w:type="dxa"/>
            <w:vAlign w:val="bottom"/>
            <w:shd w:val="clear" w:color="auto" w:fill="CCECFF"/>
          </w:tcPr>
          <w:p>
            <w:pPr>
              <w:jc w:val="right"/>
              <w:ind w:right="5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608,791</w:t>
            </w:r>
          </w:p>
        </w:tc>
        <w:tc>
          <w:tcPr>
            <w:tcW w:w="240" w:type="dxa"/>
            <w:vAlign w:val="bottom"/>
            <w:shd w:val="clear" w:color="auto" w:fill="CCECFF"/>
          </w:tcPr>
          <w:p>
            <w:pPr>
              <w:spacing w:after="0"/>
              <w:rPr>
                <w:sz w:val="11"/>
                <w:szCs w:val="11"/>
                <w:color w:val="auto"/>
              </w:rPr>
            </w:pPr>
          </w:p>
        </w:tc>
        <w:tc>
          <w:tcPr>
            <w:tcW w:w="240" w:type="dxa"/>
            <w:vAlign w:val="bottom"/>
            <w:shd w:val="clear" w:color="auto" w:fill="CCECFF"/>
          </w:tcPr>
          <w:p>
            <w:pPr>
              <w:jc w:val="right"/>
              <w:ind w:right="9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1"/>
                <w:szCs w:val="11"/>
                <w:color w:val="auto"/>
              </w:rPr>
            </w:pPr>
          </w:p>
        </w:tc>
        <w:tc>
          <w:tcPr>
            <w:tcW w:w="240" w:type="dxa"/>
            <w:vAlign w:val="bottom"/>
            <w:shd w:val="clear" w:color="auto" w:fill="CCECFF"/>
          </w:tcPr>
          <w:p>
            <w:pPr>
              <w:jc w:val="right"/>
              <w:ind w:right="9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jc w:val="right"/>
              <w:ind w:right="9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608,791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62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2026 Notes payable</w:t>
            </w:r>
            <w:r>
              <w:rPr>
                <w:rFonts w:ascii="Times New Roman" w:cs="Times New Roman" w:eastAsia="Times New Roman" w:hAnsi="Times New Roman"/>
                <w:sz w:val="16"/>
                <w:szCs w:val="16"/>
                <w:color w:val="auto"/>
                <w:vertAlign w:val="superscript"/>
              </w:rPr>
              <w:t>(2)</w:t>
            </w: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184,026</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184,026</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62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2036 Asset-Backed Debt</w:t>
            </w:r>
            <w:r>
              <w:rPr>
                <w:rFonts w:ascii="Times New Roman" w:cs="Times New Roman" w:eastAsia="Times New Roman" w:hAnsi="Times New Roman"/>
                <w:sz w:val="16"/>
                <w:szCs w:val="16"/>
                <w:color w:val="auto"/>
                <w:vertAlign w:val="superscript"/>
              </w:rPr>
              <w:t>(2)</w:t>
            </w:r>
          </w:p>
        </w:tc>
        <w:tc>
          <w:tcPr>
            <w:tcW w:w="200" w:type="dxa"/>
            <w:vAlign w:val="bottom"/>
            <w:shd w:val="clear" w:color="auto" w:fill="CCECFF"/>
          </w:tcPr>
          <w:p>
            <w:pPr>
              <w:spacing w:after="0"/>
              <w:rPr>
                <w:sz w:val="13"/>
                <w:szCs w:val="13"/>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284,222</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284,222</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1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62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2036-R Asset-Backed Debt</w:t>
            </w:r>
            <w:r>
              <w:rPr>
                <w:rFonts w:ascii="Times New Roman" w:cs="Times New Roman" w:eastAsia="Times New Roman" w:hAnsi="Times New Roman"/>
                <w:sz w:val="16"/>
                <w:szCs w:val="16"/>
                <w:color w:val="auto"/>
                <w:vertAlign w:val="superscript"/>
              </w:rPr>
              <w:t>(2)</w:t>
            </w: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265,268</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265,268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CCECFF"/>
            </w:tcBorders>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Total debt</w:t>
            </w:r>
          </w:p>
        </w:tc>
        <w:tc>
          <w:tcPr>
            <w:tcW w:w="200" w:type="dxa"/>
            <w:vAlign w:val="bottom"/>
            <w:tcBorders>
              <w:bottom w:val="single" w:sz="8" w:color="auto"/>
            </w:tcBorders>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1,342,307</w:t>
            </w:r>
          </w:p>
        </w:tc>
        <w:tc>
          <w:tcPr>
            <w:tcW w:w="24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184,026</w:t>
            </w:r>
          </w:p>
        </w:tc>
        <w:tc>
          <w:tcPr>
            <w:tcW w:w="22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1,158,281</w:t>
            </w:r>
          </w:p>
        </w:tc>
        <w:tc>
          <w:tcPr>
            <w:tcW w:w="220" w:type="dxa"/>
            <w:vAlign w:val="bottom"/>
            <w:tcBorders>
              <w:bottom w:val="single" w:sz="8" w:color="CCECFF"/>
            </w:tcBorders>
            <w:shd w:val="clear" w:color="auto" w:fill="CCECFF"/>
          </w:tcPr>
          <w:p>
            <w:pPr>
              <w:spacing w:after="0"/>
              <w:rPr>
                <w:sz w:val="17"/>
                <w:szCs w:val="17"/>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120"/>
        <w:spacing w:after="0" w:line="224"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In accordance with ASC Subtopic 820-10, Fair Value Measurements and Disclosures, or ASC 820-10, our equity investment in PSSL and PTSF are measured using the net asset value per share (or its equivalent) as a practical expedient for fair value, and thus have not been classified in the fair value hierarchy.</w:t>
      </w:r>
    </w:p>
    <w:p>
      <w:pPr>
        <w:spacing w:after="0" w:line="17"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1"/>
          <w:szCs w:val="11"/>
          <w:color w:val="auto"/>
        </w:rPr>
        <w:t>We elected not to apply the fair value option allowed by ASC 825-10 to the 2026 Notes, 2031 Asset-Backed Debt, and 2036 Asset-Backed Debt and thus the balance reported in the Consolidated Statement of Assets and Liabilities represents the carrying value, which approximates the fair value.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40" w:type="dxa"/>
            <w:vAlign w:val="bottom"/>
            <w:gridSpan w:val="6"/>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Fair Value at September 30, 2024</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Measured at Net</w:t>
            </w:r>
          </w:p>
        </w:tc>
        <w:tc>
          <w:tcPr>
            <w:tcW w:w="0" w:type="dxa"/>
            <w:vAlign w:val="bottom"/>
          </w:tcPr>
          <w:p>
            <w:pPr>
              <w:spacing w:after="0"/>
              <w:rPr>
                <w:sz w:val="1"/>
                <w:szCs w:val="1"/>
                <w:color w:val="auto"/>
              </w:rPr>
            </w:pPr>
          </w:p>
        </w:tc>
      </w:tr>
      <w:tr>
        <w:trPr>
          <w:trHeight w:val="127"/>
        </w:trPr>
        <w:tc>
          <w:tcPr>
            <w:tcW w:w="3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80" w:type="dxa"/>
            <w:vAlign w:val="bottom"/>
          </w:tcPr>
          <w:p>
            <w:pPr>
              <w:spacing w:after="0"/>
              <w:rPr>
                <w:sz w:val="15"/>
                <w:szCs w:val="15"/>
                <w:color w:val="auto"/>
              </w:rPr>
            </w:pPr>
          </w:p>
        </w:tc>
        <w:tc>
          <w:tcPr>
            <w:tcW w:w="100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180"/>
              <w:spacing w:after="0" w:line="181" w:lineRule="exact"/>
              <w:rPr>
                <w:sz w:val="20"/>
                <w:szCs w:val="20"/>
                <w:color w:val="auto"/>
              </w:rPr>
            </w:pPr>
            <w:r>
              <w:rPr>
                <w:rFonts w:ascii="Times New Roman" w:cs="Times New Roman" w:eastAsia="Times New Roman" w:hAnsi="Times New Roman"/>
                <w:sz w:val="13"/>
                <w:szCs w:val="13"/>
                <w:b w:val="1"/>
                <w:bCs w:val="1"/>
                <w:color w:val="auto"/>
                <w:w w:val="98"/>
              </w:rPr>
              <w:t xml:space="preserve">Asset Value </w:t>
            </w:r>
            <w:r>
              <w:rPr>
                <w:rFonts w:ascii="Times New Roman" w:cs="Times New Roman" w:eastAsia="Times New Roman" w:hAnsi="Times New Roman"/>
                <w:sz w:val="16"/>
                <w:szCs w:val="16"/>
                <w:b w:val="1"/>
                <w:bCs w:val="1"/>
                <w:color w:val="auto"/>
                <w:w w:val="98"/>
                <w:vertAlign w:val="superscript"/>
              </w:rPr>
              <w:t>(1)</w:t>
            </w:r>
          </w:p>
        </w:tc>
        <w:tc>
          <w:tcPr>
            <w:tcW w:w="0" w:type="dxa"/>
            <w:vAlign w:val="bottom"/>
          </w:tcPr>
          <w:p>
            <w:pPr>
              <w:spacing w:after="0"/>
              <w:rPr>
                <w:sz w:val="1"/>
                <w:szCs w:val="1"/>
                <w:color w:val="auto"/>
              </w:rPr>
            </w:pPr>
          </w:p>
        </w:tc>
      </w:tr>
      <w:tr>
        <w:trPr>
          <w:trHeight w:val="156"/>
        </w:trPr>
        <w:tc>
          <w:tcPr>
            <w:tcW w:w="3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1,746,697</w:t>
            </w:r>
          </w:p>
        </w:tc>
        <w:tc>
          <w:tcPr>
            <w:tcW w:w="460" w:type="dxa"/>
            <w:vAlign w:val="bottom"/>
            <w:gridSpan w:val="2"/>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1,746,697</w:t>
            </w:r>
          </w:p>
        </w:tc>
        <w:tc>
          <w:tcPr>
            <w:tcW w:w="3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Second lien</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80" w:type="dxa"/>
            <w:vAlign w:val="bottom"/>
            <w:shd w:val="clear" w:color="auto" w:fill="CCECFF"/>
          </w:tcPr>
          <w:p>
            <w:pPr>
              <w:spacing w:after="0"/>
              <w:rPr>
                <w:sz w:val="13"/>
                <w:szCs w:val="13"/>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234,115</w:t>
            </w: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168,450</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65,665</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investments</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1,983,504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1,917,839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65,665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80" w:type="dxa"/>
            <w:vAlign w:val="bottom"/>
            <w:shd w:val="clear" w:color="auto" w:fill="CCECFF"/>
          </w:tcPr>
          <w:p>
            <w:pPr>
              <w:spacing w:after="0"/>
              <w:rPr>
                <w:sz w:val="13"/>
                <w:szCs w:val="13"/>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112,050</w:t>
            </w: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112,050</w:t>
            </w: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6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investments and cash and cash equivalents</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2,095,554</w:t>
            </w:r>
          </w:p>
        </w:tc>
        <w:tc>
          <w:tcPr>
            <w:tcW w:w="46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112,050</w:t>
            </w:r>
          </w:p>
        </w:tc>
        <w:tc>
          <w:tcPr>
            <w:tcW w:w="46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1,917,839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65,665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660" w:type="dxa"/>
            <w:vAlign w:val="bottom"/>
            <w:shd w:val="clear" w:color="auto" w:fill="CCECFF"/>
          </w:tcPr>
          <w:p>
            <w:pPr>
              <w:ind w:left="20"/>
              <w:spacing w:after="0" w:line="133" w:lineRule="exact"/>
              <w:rPr>
                <w:sz w:val="20"/>
                <w:szCs w:val="20"/>
                <w:color w:val="auto"/>
              </w:rPr>
            </w:pPr>
            <w:r>
              <w:rPr>
                <w:rFonts w:ascii="Times New Roman" w:cs="Times New Roman" w:eastAsia="Times New Roman" w:hAnsi="Times New Roman"/>
                <w:sz w:val="13"/>
                <w:szCs w:val="13"/>
                <w:color w:val="auto"/>
              </w:rPr>
              <w:t>Credit Facility payable</w:t>
            </w:r>
          </w:p>
        </w:tc>
        <w:tc>
          <w:tcPr>
            <w:tcW w:w="180" w:type="dxa"/>
            <w:vAlign w:val="bottom"/>
            <w:shd w:val="clear" w:color="auto" w:fill="CCECFF"/>
          </w:tcPr>
          <w:p>
            <w:pPr>
              <w:jc w:val="right"/>
              <w:ind w:right="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443,880</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jc w:val="right"/>
              <w:ind w:right="9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jc w:val="right"/>
              <w:ind w:right="9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1"/>
                <w:szCs w:val="11"/>
                <w:color w:val="auto"/>
              </w:rPr>
            </w:pPr>
          </w:p>
        </w:tc>
        <w:tc>
          <w:tcPr>
            <w:tcW w:w="280" w:type="dxa"/>
            <w:vAlign w:val="bottom"/>
            <w:shd w:val="clear" w:color="auto" w:fill="CCECFF"/>
          </w:tcPr>
          <w:p>
            <w:pPr>
              <w:jc w:val="right"/>
              <w:ind w:right="1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443,880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66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2026 Notes payable</w:t>
            </w:r>
            <w:r>
              <w:rPr>
                <w:rFonts w:ascii="Times New Roman" w:cs="Times New Roman" w:eastAsia="Times New Roman" w:hAnsi="Times New Roman"/>
                <w:sz w:val="16"/>
                <w:szCs w:val="16"/>
                <w:color w:val="auto"/>
                <w:vertAlign w:val="superscript"/>
              </w:rPr>
              <w:t>(2)</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183,832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183,832</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66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2036 Asset-Backed Debt</w:t>
            </w:r>
            <w:r>
              <w:rPr>
                <w:rFonts w:ascii="Times New Roman" w:cs="Times New Roman" w:eastAsia="Times New Roman" w:hAnsi="Times New Roman"/>
                <w:sz w:val="16"/>
                <w:szCs w:val="16"/>
                <w:color w:val="auto"/>
                <w:vertAlign w:val="superscript"/>
              </w:rPr>
              <w:t>(2)</w:t>
            </w:r>
          </w:p>
        </w:tc>
        <w:tc>
          <w:tcPr>
            <w:tcW w:w="180" w:type="dxa"/>
            <w:vAlign w:val="bottom"/>
            <w:shd w:val="clear" w:color="auto" w:fill="CCECFF"/>
          </w:tcPr>
          <w:p>
            <w:pPr>
              <w:spacing w:after="0"/>
              <w:rPr>
                <w:sz w:val="13"/>
                <w:szCs w:val="13"/>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284,086</w:t>
            </w: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284,086</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66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2036-R Asset-Backed Debt</w:t>
            </w:r>
            <w:r>
              <w:rPr>
                <w:rFonts w:ascii="Times New Roman" w:cs="Times New Roman" w:eastAsia="Times New Roman" w:hAnsi="Times New Roman"/>
                <w:sz w:val="16"/>
                <w:szCs w:val="16"/>
                <w:color w:val="auto"/>
                <w:vertAlign w:val="superscript"/>
              </w:rPr>
              <w:t>(2)</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265,235</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265,235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CCECFF"/>
            </w:tcBorders>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Total debt</w:t>
            </w:r>
          </w:p>
        </w:tc>
        <w:tc>
          <w:tcPr>
            <w:tcW w:w="180" w:type="dxa"/>
            <w:vAlign w:val="bottom"/>
            <w:tcBorders>
              <w:bottom w:val="single" w:sz="8" w:color="auto"/>
            </w:tcBorders>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1,177,033</w:t>
            </w:r>
          </w:p>
        </w:tc>
        <w:tc>
          <w:tcPr>
            <w:tcW w:w="22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183,832</w:t>
            </w:r>
          </w:p>
        </w:tc>
        <w:tc>
          <w:tcPr>
            <w:tcW w:w="200" w:type="dxa"/>
            <w:vAlign w:val="bottom"/>
            <w:tcBorders>
              <w:bottom w:val="single" w:sz="8" w:color="CCECFF"/>
            </w:tcBorders>
            <w:shd w:val="clear" w:color="auto" w:fill="CCECFF"/>
          </w:tcPr>
          <w:p>
            <w:pPr>
              <w:spacing w:after="0"/>
              <w:rPr>
                <w:sz w:val="17"/>
                <w:szCs w:val="17"/>
                <w:color w:val="auto"/>
              </w:rPr>
            </w:pPr>
          </w:p>
        </w:tc>
        <w:tc>
          <w:tcPr>
            <w:tcW w:w="280" w:type="dxa"/>
            <w:vAlign w:val="bottom"/>
            <w:tcBorders>
              <w:bottom w:val="single" w:sz="8" w:color="auto"/>
            </w:tcBorders>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993,201</w:t>
            </w:r>
          </w:p>
        </w:tc>
        <w:tc>
          <w:tcPr>
            <w:tcW w:w="220" w:type="dxa"/>
            <w:vAlign w:val="bottom"/>
            <w:tcBorders>
              <w:bottom w:val="single" w:sz="8" w:color="CCECFF"/>
            </w:tcBorders>
            <w:shd w:val="clear" w:color="auto" w:fill="CCECFF"/>
          </w:tcPr>
          <w:p>
            <w:pPr>
              <w:spacing w:after="0"/>
              <w:rPr>
                <w:sz w:val="17"/>
                <w:szCs w:val="17"/>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388" w:lineRule="exact"/>
        <w:rPr>
          <w:sz w:val="20"/>
          <w:szCs w:val="20"/>
          <w:color w:val="auto"/>
        </w:rPr>
      </w:pPr>
    </w:p>
    <w:p>
      <w:pPr>
        <w:ind w:right="180"/>
        <w:spacing w:after="0" w:line="216"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In accordance with ASC Subtopic 820-10, Fair Value Measurements and Disclosures, or ASC 820-10, our equity investment in PSSL and PTSF is measured using the net asset value per share (or its equivalent) as a practical expedient for fair value, and thus has not been classified in the fair value hierarchy.</w:t>
      </w:r>
    </w:p>
    <w:p>
      <w:pPr>
        <w:spacing w:after="0" w:line="17" w:lineRule="exact"/>
        <w:rPr>
          <w:sz w:val="20"/>
          <w:szCs w:val="20"/>
          <w:color w:val="auto"/>
        </w:rPr>
      </w:pPr>
    </w:p>
    <w:p>
      <w:pPr>
        <w:ind w:right="100"/>
        <w:spacing w:after="0" w:line="216"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1"/>
          <w:szCs w:val="11"/>
          <w:color w:val="auto"/>
        </w:rPr>
        <w:t>We elected not to apply the fair value option allowed by ASC 825-10 to the 2026 Notes the 2036 Asset-Backed Debt, and the 2036-R Asset-Backed Debt and thus the balance reported in the Consolidated Statement of Assets and Liabilities represents the carrying value, which approximates the fair value.</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tables below show a reconciliation of the beginning and ending balances for fair valued investments measured using significant unobservable inputs (Level 3)</w:t>
      </w:r>
    </w:p>
    <w:p>
      <w:pPr>
        <w:spacing w:after="0" w:line="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120" w:type="dxa"/>
            <w:vAlign w:val="bottom"/>
            <w:gridSpan w:val="6"/>
          </w:tcPr>
          <w:p>
            <w:pPr>
              <w:jc w:val="center"/>
              <w:ind w:left="594"/>
              <w:spacing w:after="0"/>
              <w:rPr>
                <w:sz w:val="20"/>
                <w:szCs w:val="20"/>
                <w:color w:val="auto"/>
              </w:rPr>
            </w:pPr>
            <w:r>
              <w:rPr>
                <w:rFonts w:ascii="Times New Roman" w:cs="Times New Roman" w:eastAsia="Times New Roman" w:hAnsi="Times New Roman"/>
                <w:sz w:val="13"/>
                <w:szCs w:val="13"/>
                <w:b w:val="1"/>
                <w:bCs w:val="1"/>
                <w:color w:val="auto"/>
              </w:rPr>
              <w:t>Three Months Ended December 31, 2024</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Second lien,</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subordinated</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debt and equity</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220" w:type="dxa"/>
            <w:vAlign w:val="bottom"/>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First Lien</w:t>
            </w:r>
          </w:p>
        </w:tc>
        <w:tc>
          <w:tcPr>
            <w:tcW w:w="14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380" w:type="dxa"/>
            <w:vAlign w:val="bottom"/>
          </w:tcPr>
          <w:p>
            <w:pPr>
              <w:spacing w:after="0"/>
              <w:rPr>
                <w:sz w:val="14"/>
                <w:szCs w:val="14"/>
                <w:color w:val="auto"/>
              </w:rPr>
            </w:pP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rPr>
                <w:sz w:val="1"/>
                <w:szCs w:val="1"/>
                <w:color w:val="auto"/>
              </w:rPr>
            </w:pPr>
          </w:p>
        </w:tc>
      </w:tr>
      <w:tr>
        <w:trPr>
          <w:trHeight w:val="156"/>
        </w:trPr>
        <w:tc>
          <w:tcPr>
            <w:tcW w:w="6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1,746,697</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171,142</w:t>
            </w:r>
          </w:p>
        </w:tc>
        <w:tc>
          <w:tcPr>
            <w:tcW w:w="220" w:type="dxa"/>
            <w:vAlign w:val="bottom"/>
            <w:shd w:val="clear" w:color="auto" w:fill="CCECFF"/>
          </w:tcPr>
          <w:p>
            <w:pPr>
              <w:spacing w:after="0"/>
              <w:rPr>
                <w:sz w:val="13"/>
                <w:szCs w:val="13"/>
                <w:color w:val="auto"/>
              </w:rPr>
            </w:pPr>
          </w:p>
        </w:tc>
        <w:tc>
          <w:tcPr>
            <w:tcW w:w="380" w:type="dxa"/>
            <w:vAlign w:val="bottom"/>
            <w:shd w:val="clear" w:color="auto" w:fill="CCECFF"/>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1,917,839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realized gain (loss)</w:t>
            </w: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26,040</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26,674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Net change in unrealized appreciation (depreciation)</w:t>
            </w:r>
          </w:p>
        </w:tc>
        <w:tc>
          <w:tcPr>
            <w:tcW w:w="220" w:type="dxa"/>
            <w:vAlign w:val="bottom"/>
            <w:shd w:val="clear" w:color="auto" w:fill="CCECFF"/>
          </w:tcPr>
          <w:p>
            <w:pPr>
              <w:spacing w:after="0"/>
              <w:rPr>
                <w:sz w:val="13"/>
                <w:szCs w:val="13"/>
                <w:color w:val="auto"/>
              </w:rPr>
            </w:pPr>
          </w:p>
        </w:tc>
        <w:tc>
          <w:tcPr>
            <w:tcW w:w="12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(7,513 )</w:t>
            </w:r>
          </w:p>
        </w:tc>
        <w:tc>
          <w:tcPr>
            <w:tcW w:w="140" w:type="dxa"/>
            <w:vAlign w:val="bottom"/>
            <w:shd w:val="clear" w:color="auto" w:fill="CCECFF"/>
          </w:tcPr>
          <w:p>
            <w:pPr>
              <w:spacing w:after="0"/>
              <w:rPr>
                <w:sz w:val="13"/>
                <w:szCs w:val="13"/>
                <w:color w:val="auto"/>
              </w:rPr>
            </w:pPr>
          </w:p>
        </w:tc>
        <w:tc>
          <w:tcPr>
            <w:tcW w:w="13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(13,600 )</w:t>
            </w:r>
          </w:p>
        </w:tc>
        <w:tc>
          <w:tcPr>
            <w:tcW w:w="38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(21,113 )</w:t>
            </w:r>
          </w:p>
        </w:tc>
        <w:tc>
          <w:tcPr>
            <w:tcW w:w="0" w:type="dxa"/>
            <w:vAlign w:val="bottom"/>
          </w:tcPr>
          <w:p>
            <w:pPr>
              <w:spacing w:after="0"/>
              <w:rPr>
                <w:sz w:val="1"/>
                <w:szCs w:val="1"/>
                <w:color w:val="auto"/>
              </w:rPr>
            </w:pPr>
          </w:p>
        </w:tc>
      </w:tr>
      <w:tr>
        <w:trPr>
          <w:trHeight w:val="156"/>
        </w:trPr>
        <w:tc>
          <w:tcPr>
            <w:tcW w:w="62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Purchases, PIK interest, net discount accretion and non-cash exchanges</w:t>
            </w: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597,859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16,121</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613,980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Sales, repayments and non-cash exchanges</w:t>
            </w:r>
          </w:p>
        </w:tc>
        <w:tc>
          <w:tcPr>
            <w:tcW w:w="220" w:type="dxa"/>
            <w:vAlign w:val="bottom"/>
            <w:shd w:val="clear" w:color="auto" w:fill="CCECFF"/>
          </w:tcPr>
          <w:p>
            <w:pPr>
              <w:spacing w:after="0"/>
              <w:rPr>
                <w:sz w:val="13"/>
                <w:szCs w:val="13"/>
                <w:color w:val="auto"/>
              </w:rPr>
            </w:pPr>
          </w:p>
        </w:tc>
        <w:tc>
          <w:tcPr>
            <w:tcW w:w="12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(373,901 )</w:t>
            </w:r>
          </w:p>
        </w:tc>
        <w:tc>
          <w:tcPr>
            <w:tcW w:w="140" w:type="dxa"/>
            <w:vAlign w:val="bottom"/>
            <w:shd w:val="clear" w:color="auto" w:fill="CCECFF"/>
          </w:tcPr>
          <w:p>
            <w:pPr>
              <w:spacing w:after="0"/>
              <w:rPr>
                <w:sz w:val="13"/>
                <w:szCs w:val="13"/>
                <w:color w:val="auto"/>
              </w:rPr>
            </w:pPr>
          </w:p>
        </w:tc>
        <w:tc>
          <w:tcPr>
            <w:tcW w:w="13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(27,399 )</w:t>
            </w:r>
          </w:p>
        </w:tc>
        <w:tc>
          <w:tcPr>
            <w:tcW w:w="38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(401,300 )</w:t>
            </w:r>
          </w:p>
        </w:tc>
        <w:tc>
          <w:tcPr>
            <w:tcW w:w="0" w:type="dxa"/>
            <w:vAlign w:val="bottom"/>
          </w:tcPr>
          <w:p>
            <w:pPr>
              <w:spacing w:after="0"/>
              <w:rPr>
                <w:sz w:val="1"/>
                <w:szCs w:val="1"/>
                <w:color w:val="auto"/>
              </w:rPr>
            </w:pPr>
          </w:p>
        </w:tc>
      </w:tr>
      <w:tr>
        <w:trPr>
          <w:trHeight w:val="156"/>
        </w:trPr>
        <w:tc>
          <w:tcPr>
            <w:tcW w:w="62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Transfers in and/or out of Level 3</w:t>
            </w:r>
          </w:p>
        </w:tc>
        <w:tc>
          <w:tcPr>
            <w:tcW w:w="22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62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1,963,776</w:t>
            </w:r>
          </w:p>
        </w:tc>
        <w:tc>
          <w:tcPr>
            <w:tcW w:w="220" w:type="dxa"/>
            <w:vAlign w:val="bottom"/>
            <w:tcBorders>
              <w:bottom w:val="single" w:sz="8" w:color="CCECFF"/>
            </w:tcBorders>
            <w:shd w:val="clear" w:color="auto" w:fill="CCECFF"/>
          </w:tcPr>
          <w:p>
            <w:pPr>
              <w:spacing w:after="0"/>
              <w:rPr>
                <w:sz w:val="17"/>
                <w:szCs w:val="17"/>
                <w:color w:val="auto"/>
              </w:rPr>
            </w:pPr>
          </w:p>
        </w:tc>
        <w:tc>
          <w:tcPr>
            <w:tcW w:w="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172,304</w:t>
            </w:r>
          </w:p>
        </w:tc>
        <w:tc>
          <w:tcPr>
            <w:tcW w:w="220" w:type="dxa"/>
            <w:vAlign w:val="bottom"/>
            <w:tcBorders>
              <w:bottom w:val="single" w:sz="8" w:color="CCECFF"/>
            </w:tcBorders>
            <w:shd w:val="clear" w:color="auto" w:fill="CCECFF"/>
          </w:tcPr>
          <w:p>
            <w:pPr>
              <w:spacing w:after="0"/>
              <w:rPr>
                <w:sz w:val="17"/>
                <w:szCs w:val="17"/>
                <w:color w:val="auto"/>
              </w:rPr>
            </w:pPr>
          </w:p>
        </w:tc>
        <w:tc>
          <w:tcPr>
            <w:tcW w:w="380" w:type="dxa"/>
            <w:vAlign w:val="bottom"/>
            <w:tcBorders>
              <w:bottom w:val="single" w:sz="8" w:color="auto"/>
            </w:tcBorders>
            <w:shd w:val="clear" w:color="auto" w:fill="CCECFF"/>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2,136,080</w:t>
            </w: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62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change in unrealized appreciation (depreciation) reported within the net change in unrealized</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62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appreciaiton (depreciation) on investments in our consolidated statements of operations</w:t>
            </w:r>
          </w:p>
        </w:tc>
        <w:tc>
          <w:tcPr>
            <w:tcW w:w="220" w:type="dxa"/>
            <w:vAlign w:val="bottom"/>
            <w:vMerge w:val="restart"/>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vMerge w:val="restart"/>
          </w:tcPr>
          <w:p>
            <w:pPr>
              <w:jc w:val="right"/>
              <w:ind w:right="160"/>
              <w:spacing w:after="0" w:line="267" w:lineRule="exact"/>
              <w:rPr>
                <w:sz w:val="20"/>
                <w:szCs w:val="20"/>
                <w:color w:val="auto"/>
              </w:rPr>
            </w:pPr>
            <w:r>
              <w:rPr>
                <w:rFonts w:ascii="Times New Roman" w:cs="Times New Roman" w:eastAsia="Times New Roman" w:hAnsi="Times New Roman"/>
                <w:sz w:val="13"/>
                <w:szCs w:val="13"/>
                <w:color w:val="auto"/>
              </w:rPr>
              <w:t xml:space="preserve">(2,261 </w:t>
            </w:r>
            <w:r>
              <w:rPr>
                <w:rFonts w:ascii="Times New Roman" w:cs="Times New Roman" w:eastAsia="Times New Roman" w:hAnsi="Times New Roman"/>
                <w:sz w:val="26"/>
                <w:szCs w:val="26"/>
                <w:color w:val="auto"/>
                <w:vertAlign w:val="subscript"/>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6,964</w:t>
            </w:r>
          </w:p>
        </w:tc>
        <w:tc>
          <w:tcPr>
            <w:tcW w:w="220" w:type="dxa"/>
            <w:vAlign w:val="bottom"/>
          </w:tcPr>
          <w:p>
            <w:pPr>
              <w:spacing w:after="0"/>
              <w:rPr>
                <w:sz w:val="13"/>
                <w:szCs w:val="13"/>
                <w:color w:val="auto"/>
              </w:rPr>
            </w:pPr>
          </w:p>
        </w:tc>
        <w:tc>
          <w:tcPr>
            <w:tcW w:w="380" w:type="dxa"/>
            <w:vAlign w:val="bottom"/>
            <w:vMerge w:val="restart"/>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4,703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6240" w:type="dxa"/>
            <w:vAlign w:val="bottom"/>
          </w:tcPr>
          <w:p>
            <w:pPr>
              <w:ind w:left="120"/>
              <w:spacing w:after="0" w:line="112" w:lineRule="exact"/>
              <w:rPr>
                <w:sz w:val="20"/>
                <w:szCs w:val="20"/>
                <w:color w:val="auto"/>
              </w:rPr>
            </w:pPr>
            <w:r>
              <w:rPr>
                <w:rFonts w:ascii="Times New Roman" w:cs="Times New Roman" w:eastAsia="Times New Roman" w:hAnsi="Times New Roman"/>
                <w:sz w:val="12"/>
                <w:szCs w:val="12"/>
                <w:color w:val="auto"/>
              </w:rPr>
              <w:t>attributable to our Level 3 assets still held at the reporting date.</w:t>
            </w:r>
          </w:p>
        </w:tc>
        <w:tc>
          <w:tcPr>
            <w:tcW w:w="22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6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20" w:type="dxa"/>
            <w:vAlign w:val="bottom"/>
            <w:gridSpan w:val="6"/>
          </w:tcPr>
          <w:p>
            <w:pPr>
              <w:jc w:val="center"/>
              <w:ind w:left="594"/>
              <w:spacing w:after="0"/>
              <w:rPr>
                <w:sz w:val="20"/>
                <w:szCs w:val="20"/>
                <w:color w:val="auto"/>
              </w:rPr>
            </w:pPr>
            <w:r>
              <w:rPr>
                <w:rFonts w:ascii="Times New Roman" w:cs="Times New Roman" w:eastAsia="Times New Roman" w:hAnsi="Times New Roman"/>
                <w:sz w:val="13"/>
                <w:szCs w:val="13"/>
                <w:b w:val="1"/>
                <w:bCs w:val="1"/>
                <w:color w:val="auto"/>
              </w:rPr>
              <w:t>Three Months Ended December 31, 2023</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Second lien,</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subordinated</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debt and equity</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220" w:type="dxa"/>
            <w:vAlign w:val="bottom"/>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First Lien</w:t>
            </w:r>
          </w:p>
        </w:tc>
        <w:tc>
          <w:tcPr>
            <w:tcW w:w="14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380" w:type="dxa"/>
            <w:vAlign w:val="bottom"/>
          </w:tcPr>
          <w:p>
            <w:pPr>
              <w:spacing w:after="0"/>
              <w:rPr>
                <w:sz w:val="14"/>
                <w:szCs w:val="14"/>
                <w:color w:val="auto"/>
              </w:rPr>
            </w:pP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rPr>
                <w:sz w:val="1"/>
                <w:szCs w:val="1"/>
                <w:color w:val="auto"/>
              </w:rPr>
            </w:pPr>
          </w:p>
        </w:tc>
      </w:tr>
      <w:tr>
        <w:trPr>
          <w:trHeight w:val="156"/>
        </w:trPr>
        <w:tc>
          <w:tcPr>
            <w:tcW w:w="6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906,166</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100,782</w:t>
            </w:r>
          </w:p>
        </w:tc>
        <w:tc>
          <w:tcPr>
            <w:tcW w:w="220" w:type="dxa"/>
            <w:vAlign w:val="bottom"/>
            <w:shd w:val="clear" w:color="auto" w:fill="CCECFF"/>
          </w:tcPr>
          <w:p>
            <w:pPr>
              <w:spacing w:after="0"/>
              <w:rPr>
                <w:sz w:val="13"/>
                <w:szCs w:val="13"/>
                <w:color w:val="auto"/>
              </w:rPr>
            </w:pPr>
          </w:p>
        </w:tc>
        <w:tc>
          <w:tcPr>
            <w:tcW w:w="380" w:type="dxa"/>
            <w:vAlign w:val="bottom"/>
            <w:shd w:val="clear" w:color="auto" w:fill="CCECFF"/>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1,006,948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realized gain (loss)</w:t>
            </w:r>
          </w:p>
        </w:tc>
        <w:tc>
          <w:tcPr>
            <w:tcW w:w="220" w:type="dxa"/>
            <w:vAlign w:val="bottom"/>
          </w:tcPr>
          <w:p>
            <w:pPr>
              <w:spacing w:after="0"/>
              <w:rPr>
                <w:sz w:val="13"/>
                <w:szCs w:val="13"/>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(4,304 )</w:t>
            </w: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1,215</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(3,089 )</w:t>
            </w:r>
          </w:p>
        </w:tc>
        <w:tc>
          <w:tcPr>
            <w:tcW w:w="0" w:type="dxa"/>
            <w:vAlign w:val="bottom"/>
          </w:tcPr>
          <w:p>
            <w:pPr>
              <w:spacing w:after="0"/>
              <w:rPr>
                <w:sz w:val="1"/>
                <w:szCs w:val="1"/>
                <w:color w:val="auto"/>
              </w:rPr>
            </w:pPr>
          </w:p>
        </w:tc>
      </w:tr>
      <w:tr>
        <w:trPr>
          <w:trHeight w:val="156"/>
        </w:trPr>
        <w:tc>
          <w:tcPr>
            <w:tcW w:w="62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Net change in unrealized appreciation (depreciation)</w:t>
            </w:r>
          </w:p>
        </w:tc>
        <w:tc>
          <w:tcPr>
            <w:tcW w:w="22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5,478</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3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(858 )</w:t>
            </w:r>
          </w:p>
        </w:tc>
        <w:tc>
          <w:tcPr>
            <w:tcW w:w="380" w:type="dxa"/>
            <w:vAlign w:val="bottom"/>
            <w:shd w:val="clear" w:color="auto" w:fill="CCECFF"/>
          </w:tcPr>
          <w:p>
            <w:pPr>
              <w:spacing w:after="0"/>
              <w:rPr>
                <w:sz w:val="13"/>
                <w:szCs w:val="13"/>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4,620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Purchases, PIK interest, net discount accretion and non-cash exchanges</w:t>
            </w: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288,248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18,950</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307,198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Sales, repayments and non-cash exchanges</w:t>
            </w:r>
          </w:p>
        </w:tc>
        <w:tc>
          <w:tcPr>
            <w:tcW w:w="220" w:type="dxa"/>
            <w:vAlign w:val="bottom"/>
            <w:shd w:val="clear" w:color="auto" w:fill="CCECFF"/>
          </w:tcPr>
          <w:p>
            <w:pPr>
              <w:spacing w:after="0"/>
              <w:rPr>
                <w:sz w:val="13"/>
                <w:szCs w:val="13"/>
                <w:color w:val="auto"/>
              </w:rPr>
            </w:pPr>
          </w:p>
        </w:tc>
        <w:tc>
          <w:tcPr>
            <w:tcW w:w="12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(105,124 )</w:t>
            </w:r>
          </w:p>
        </w:tc>
        <w:tc>
          <w:tcPr>
            <w:tcW w:w="140" w:type="dxa"/>
            <w:vAlign w:val="bottom"/>
            <w:shd w:val="clear" w:color="auto" w:fill="CCECFF"/>
          </w:tcPr>
          <w:p>
            <w:pPr>
              <w:spacing w:after="0"/>
              <w:rPr>
                <w:sz w:val="13"/>
                <w:szCs w:val="13"/>
                <w:color w:val="auto"/>
              </w:rPr>
            </w:pPr>
          </w:p>
        </w:tc>
        <w:tc>
          <w:tcPr>
            <w:tcW w:w="13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(1,384 )</w:t>
            </w:r>
          </w:p>
        </w:tc>
        <w:tc>
          <w:tcPr>
            <w:tcW w:w="38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(106,508 )</w:t>
            </w:r>
          </w:p>
        </w:tc>
        <w:tc>
          <w:tcPr>
            <w:tcW w:w="0" w:type="dxa"/>
            <w:vAlign w:val="bottom"/>
          </w:tcPr>
          <w:p>
            <w:pPr>
              <w:spacing w:after="0"/>
              <w:rPr>
                <w:sz w:val="1"/>
                <w:szCs w:val="1"/>
                <w:color w:val="auto"/>
              </w:rPr>
            </w:pPr>
          </w:p>
        </w:tc>
      </w:tr>
      <w:tr>
        <w:trPr>
          <w:trHeight w:val="156"/>
        </w:trPr>
        <w:tc>
          <w:tcPr>
            <w:tcW w:w="62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Transfers in and/or out of Level 3</w:t>
            </w:r>
          </w:p>
        </w:tc>
        <w:tc>
          <w:tcPr>
            <w:tcW w:w="22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62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1,090,464</w:t>
            </w:r>
          </w:p>
        </w:tc>
        <w:tc>
          <w:tcPr>
            <w:tcW w:w="220" w:type="dxa"/>
            <w:vAlign w:val="bottom"/>
            <w:tcBorders>
              <w:bottom w:val="single" w:sz="8" w:color="CCECFF"/>
            </w:tcBorders>
            <w:shd w:val="clear" w:color="auto" w:fill="CCECFF"/>
          </w:tcPr>
          <w:p>
            <w:pPr>
              <w:spacing w:after="0"/>
              <w:rPr>
                <w:sz w:val="17"/>
                <w:szCs w:val="17"/>
                <w:color w:val="auto"/>
              </w:rPr>
            </w:pPr>
          </w:p>
        </w:tc>
        <w:tc>
          <w:tcPr>
            <w:tcW w:w="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118,705</w:t>
            </w:r>
          </w:p>
        </w:tc>
        <w:tc>
          <w:tcPr>
            <w:tcW w:w="220" w:type="dxa"/>
            <w:vAlign w:val="bottom"/>
            <w:tcBorders>
              <w:bottom w:val="single" w:sz="8" w:color="CCECFF"/>
            </w:tcBorders>
            <w:shd w:val="clear" w:color="auto" w:fill="CCECFF"/>
          </w:tcPr>
          <w:p>
            <w:pPr>
              <w:spacing w:after="0"/>
              <w:rPr>
                <w:sz w:val="17"/>
                <w:szCs w:val="17"/>
                <w:color w:val="auto"/>
              </w:rPr>
            </w:pPr>
          </w:p>
        </w:tc>
        <w:tc>
          <w:tcPr>
            <w:tcW w:w="380" w:type="dxa"/>
            <w:vAlign w:val="bottom"/>
            <w:tcBorders>
              <w:bottom w:val="single" w:sz="8" w:color="auto"/>
            </w:tcBorders>
            <w:shd w:val="clear" w:color="auto" w:fill="CCECFF"/>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1,209,169</w:t>
            </w: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62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change in unrealized depreciation reported within the net change in unrealized</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6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depreciation on investments in our consolidated statements of operations</w:t>
            </w:r>
          </w:p>
        </w:tc>
        <w:tc>
          <w:tcPr>
            <w:tcW w:w="220" w:type="dxa"/>
            <w:vAlign w:val="bottom"/>
            <w:vMerge w:val="restart"/>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vMerge w:val="restart"/>
          </w:tcPr>
          <w:p>
            <w:pPr>
              <w:jc w:val="right"/>
              <w:ind w:right="160"/>
              <w:spacing w:after="0" w:line="267" w:lineRule="exact"/>
              <w:rPr>
                <w:sz w:val="20"/>
                <w:szCs w:val="20"/>
                <w:color w:val="auto"/>
              </w:rPr>
            </w:pPr>
            <w:r>
              <w:rPr>
                <w:rFonts w:ascii="Times New Roman" w:cs="Times New Roman" w:eastAsia="Times New Roman" w:hAnsi="Times New Roman"/>
                <w:sz w:val="13"/>
                <w:szCs w:val="13"/>
                <w:color w:val="auto"/>
              </w:rPr>
              <w:t xml:space="preserve">(1,085 </w:t>
            </w:r>
            <w:r>
              <w:rPr>
                <w:rFonts w:ascii="Times New Roman" w:cs="Times New Roman" w:eastAsia="Times New Roman" w:hAnsi="Times New Roman"/>
                <w:sz w:val="26"/>
                <w:szCs w:val="26"/>
                <w:color w:val="auto"/>
                <w:vertAlign w:val="subscript"/>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220" w:type="dxa"/>
            <w:vAlign w:val="bottom"/>
          </w:tcPr>
          <w:p>
            <w:pPr>
              <w:spacing w:after="0"/>
              <w:rPr>
                <w:sz w:val="13"/>
                <w:szCs w:val="13"/>
                <w:color w:val="auto"/>
              </w:rPr>
            </w:pPr>
          </w:p>
        </w:tc>
        <w:tc>
          <w:tcPr>
            <w:tcW w:w="380" w:type="dxa"/>
            <w:vAlign w:val="bottom"/>
            <w:vMerge w:val="restart"/>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vMerge w:val="restart"/>
          </w:tcPr>
          <w:p>
            <w:pPr>
              <w:jc w:val="right"/>
              <w:ind w:right="40"/>
              <w:spacing w:after="0" w:line="267" w:lineRule="exact"/>
              <w:rPr>
                <w:sz w:val="20"/>
                <w:szCs w:val="20"/>
                <w:color w:val="auto"/>
              </w:rPr>
            </w:pPr>
            <w:r>
              <w:rPr>
                <w:rFonts w:ascii="Times New Roman" w:cs="Times New Roman" w:eastAsia="Times New Roman" w:hAnsi="Times New Roman"/>
                <w:sz w:val="13"/>
                <w:szCs w:val="13"/>
                <w:color w:val="auto"/>
              </w:rPr>
              <w:t xml:space="preserve">(790 </w:t>
            </w:r>
            <w:r>
              <w:rPr>
                <w:rFonts w:ascii="Times New Roman" w:cs="Times New Roman" w:eastAsia="Times New Roman" w:hAnsi="Times New Roman"/>
                <w:sz w:val="26"/>
                <w:szCs w:val="26"/>
                <w:color w:val="auto"/>
                <w:vertAlign w:val="subscript"/>
              </w:rPr>
              <w:t>)</w:t>
            </w:r>
          </w:p>
        </w:tc>
        <w:tc>
          <w:tcPr>
            <w:tcW w:w="0" w:type="dxa"/>
            <w:vAlign w:val="bottom"/>
          </w:tcPr>
          <w:p>
            <w:pPr>
              <w:spacing w:after="0"/>
              <w:rPr>
                <w:sz w:val="1"/>
                <w:szCs w:val="1"/>
                <w:color w:val="auto"/>
              </w:rPr>
            </w:pPr>
          </w:p>
        </w:tc>
      </w:tr>
      <w:tr>
        <w:trPr>
          <w:trHeight w:val="132"/>
        </w:trPr>
        <w:tc>
          <w:tcPr>
            <w:tcW w:w="6240" w:type="dxa"/>
            <w:vAlign w:val="bottom"/>
          </w:tcPr>
          <w:p>
            <w:pPr>
              <w:ind w:left="120"/>
              <w:spacing w:after="0" w:line="112" w:lineRule="exact"/>
              <w:rPr>
                <w:sz w:val="20"/>
                <w:szCs w:val="20"/>
                <w:color w:val="auto"/>
              </w:rPr>
            </w:pPr>
            <w:r>
              <w:rPr>
                <w:rFonts w:ascii="Times New Roman" w:cs="Times New Roman" w:eastAsia="Times New Roman" w:hAnsi="Times New Roman"/>
                <w:sz w:val="12"/>
                <w:szCs w:val="12"/>
                <w:color w:val="auto"/>
              </w:rPr>
              <w:t>attributable to our Level 3 assets still held at the reporting date.</w:t>
            </w:r>
          </w:p>
        </w:tc>
        <w:tc>
          <w:tcPr>
            <w:tcW w:w="22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560" w:firstLine="420"/>
        <w:spacing w:after="0" w:line="286" w:lineRule="auto"/>
        <w:rPr>
          <w:sz w:val="20"/>
          <w:szCs w:val="20"/>
          <w:color w:val="auto"/>
        </w:rPr>
      </w:pPr>
      <w:r>
        <w:rPr>
          <w:rFonts w:ascii="Times New Roman" w:cs="Times New Roman" w:eastAsia="Times New Roman" w:hAnsi="Times New Roman"/>
          <w:sz w:val="13"/>
          <w:szCs w:val="13"/>
          <w:color w:val="auto"/>
        </w:rPr>
        <w:t>The table below shows a reconciliation of the beginning and ending balances for liabilities recognized at fair value and measured using significant unobservable inputs (Level 3)($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00" w:type="dxa"/>
            <w:vAlign w:val="bottom"/>
            <w:gridSpan w:val="5"/>
          </w:tcPr>
          <w:p>
            <w:pPr>
              <w:ind w:left="26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r>
      <w:tr>
        <w:trPr>
          <w:trHeight w:val="170"/>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Long-Term Credit Facility</w:t>
            </w:r>
          </w:p>
        </w:tc>
        <w:tc>
          <w:tcPr>
            <w:tcW w:w="340" w:type="dxa"/>
            <w:vAlign w:val="bottom"/>
          </w:tcPr>
          <w:p>
            <w:pPr>
              <w:spacing w:after="0"/>
              <w:rPr>
                <w:sz w:val="14"/>
                <w:szCs w:val="14"/>
                <w:color w:val="auto"/>
              </w:rPr>
            </w:pPr>
          </w:p>
        </w:tc>
        <w:tc>
          <w:tcPr>
            <w:tcW w:w="114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r>
      <w:tr>
        <w:trPr>
          <w:trHeight w:val="156"/>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Beginning balance (cost – $443,855 and $85,619, respectively)</w:t>
            </w:r>
          </w:p>
        </w:tc>
        <w:tc>
          <w:tcPr>
            <w:tcW w:w="34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443,880</w:t>
            </w:r>
          </w:p>
        </w:tc>
        <w:tc>
          <w:tcPr>
            <w:tcW w:w="240" w:type="dxa"/>
            <w:vAlign w:val="bottom"/>
            <w:shd w:val="clear" w:color="auto" w:fill="CCECFF"/>
          </w:tcPr>
          <w:p>
            <w:pPr>
              <w:spacing w:after="0"/>
              <w:rPr>
                <w:sz w:val="13"/>
                <w:szCs w:val="13"/>
                <w:color w:val="auto"/>
              </w:rPr>
            </w:pPr>
          </w:p>
        </w:tc>
        <w:tc>
          <w:tcPr>
            <w:tcW w:w="34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85,619</w:t>
            </w:r>
          </w:p>
        </w:tc>
      </w:tr>
      <w:tr>
        <w:trPr>
          <w:trHeight w:val="156"/>
        </w:trPr>
        <w:tc>
          <w:tcPr>
            <w:tcW w:w="73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change in unrealized (depreciation) appreciation included in earnings</w:t>
            </w:r>
          </w:p>
        </w:tc>
        <w:tc>
          <w:tcPr>
            <w:tcW w:w="340" w:type="dxa"/>
            <w:vAlign w:val="bottom"/>
          </w:tcPr>
          <w:p>
            <w:pPr>
              <w:spacing w:after="0"/>
              <w:rPr>
                <w:sz w:val="13"/>
                <w:szCs w:val="13"/>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(89)</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tcPr>
          <w:p>
            <w:pPr>
              <w:spacing w:after="0"/>
              <w:rPr>
                <w:sz w:val="13"/>
                <w:szCs w:val="13"/>
                <w:color w:val="auto"/>
              </w:rPr>
            </w:pPr>
          </w:p>
        </w:tc>
      </w:tr>
      <w:tr>
        <w:trPr>
          <w:trHeight w:val="156"/>
        </w:trPr>
        <w:tc>
          <w:tcPr>
            <w:tcW w:w="73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Borrowings</w:t>
            </w:r>
          </w:p>
        </w:tc>
        <w:tc>
          <w:tcPr>
            <w:tcW w:w="340" w:type="dxa"/>
            <w:vAlign w:val="bottom"/>
            <w:shd w:val="clear" w:color="auto" w:fill="CCECFF"/>
          </w:tcPr>
          <w:p>
            <w:pPr>
              <w:spacing w:after="0"/>
              <w:rPr>
                <w:sz w:val="13"/>
                <w:szCs w:val="13"/>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165,000</w:t>
            </w:r>
          </w:p>
        </w:tc>
        <w:tc>
          <w:tcPr>
            <w:tcW w:w="24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251,455</w:t>
            </w:r>
          </w:p>
        </w:tc>
        <w:tc>
          <w:tcPr>
            <w:tcW w:w="80" w:type="dxa"/>
            <w:vAlign w:val="bottom"/>
            <w:shd w:val="clear" w:color="auto" w:fill="CCECFF"/>
          </w:tcPr>
          <w:p>
            <w:pPr>
              <w:spacing w:after="0"/>
              <w:rPr>
                <w:sz w:val="13"/>
                <w:szCs w:val="13"/>
                <w:color w:val="auto"/>
              </w:rPr>
            </w:pPr>
          </w:p>
        </w:tc>
      </w:tr>
      <w:tr>
        <w:trPr>
          <w:trHeight w:val="156"/>
        </w:trPr>
        <w:tc>
          <w:tcPr>
            <w:tcW w:w="73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Repayments</w:t>
            </w:r>
          </w:p>
        </w:tc>
        <w:tc>
          <w:tcPr>
            <w:tcW w:w="34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(76,219)</w:t>
            </w:r>
          </w:p>
        </w:tc>
      </w:tr>
      <w:tr>
        <w:trPr>
          <w:trHeight w:val="196"/>
        </w:trPr>
        <w:tc>
          <w:tcPr>
            <w:tcW w:w="73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Ending balance (cost – $608,855 and $260,855 respectively)</w:t>
            </w:r>
          </w:p>
        </w:tc>
        <w:tc>
          <w:tcPr>
            <w:tcW w:w="340" w:type="dxa"/>
            <w:vAlign w:val="bottom"/>
            <w:tcBorders>
              <w:bottom w:val="single" w:sz="8" w:color="auto"/>
            </w:tcBorders>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608,791</w:t>
            </w:r>
          </w:p>
        </w:tc>
        <w:tc>
          <w:tcPr>
            <w:tcW w:w="240" w:type="dxa"/>
            <w:vAlign w:val="bottom"/>
            <w:tcBorders>
              <w:bottom w:val="single" w:sz="8" w:color="CCECFF"/>
            </w:tcBorders>
            <w:shd w:val="clear" w:color="auto" w:fill="CCECFF"/>
          </w:tcPr>
          <w:p>
            <w:pPr>
              <w:spacing w:after="0"/>
              <w:rPr>
                <w:sz w:val="17"/>
                <w:szCs w:val="17"/>
                <w:color w:val="auto"/>
              </w:rPr>
            </w:pPr>
          </w:p>
        </w:tc>
        <w:tc>
          <w:tcPr>
            <w:tcW w:w="340" w:type="dxa"/>
            <w:vAlign w:val="bottom"/>
            <w:tcBorders>
              <w:bottom w:val="single" w:sz="8" w:color="auto"/>
            </w:tcBorders>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260,917</w:t>
            </w:r>
          </w:p>
        </w:tc>
        <w:tc>
          <w:tcPr>
            <w:tcW w:w="80" w:type="dxa"/>
            <w:vAlign w:val="bottom"/>
            <w:tcBorders>
              <w:bottom w:val="single" w:sz="8" w:color="CCECFF"/>
            </w:tcBorders>
            <w:shd w:val="clear" w:color="auto" w:fill="CCECFF"/>
          </w:tcPr>
          <w:p>
            <w:pPr>
              <w:spacing w:after="0"/>
              <w:rPr>
                <w:sz w:val="17"/>
                <w:szCs w:val="17"/>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 of December 31, 2024, we had outstanding non-U.S. dollar borrowings on our Credit Facility. The following information related to such borrowings ($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5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Unrealized</w:t>
            </w:r>
          </w:p>
        </w:tc>
      </w:tr>
      <w:tr>
        <w:trPr>
          <w:trHeight w:val="156"/>
        </w:trPr>
        <w:tc>
          <w:tcPr>
            <w:tcW w:w="2520" w:type="dxa"/>
            <w:vAlign w:val="bottom"/>
          </w:tcPr>
          <w:p>
            <w:pPr>
              <w:spacing w:after="0"/>
              <w:rPr>
                <w:sz w:val="13"/>
                <w:szCs w:val="13"/>
                <w:color w:val="auto"/>
              </w:rPr>
            </w:pPr>
          </w:p>
        </w:tc>
        <w:tc>
          <w:tcPr>
            <w:tcW w:w="2460" w:type="dxa"/>
            <w:vAlign w:val="bottom"/>
          </w:tcPr>
          <w:p>
            <w:pPr>
              <w:jc w:val="center"/>
              <w:ind w:left="101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appreciation</w:t>
            </w:r>
          </w:p>
        </w:tc>
      </w:tr>
      <w:tr>
        <w:trPr>
          <w:trHeight w:val="170"/>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Foreign Currency</w:t>
            </w:r>
          </w:p>
        </w:tc>
        <w:tc>
          <w:tcPr>
            <w:tcW w:w="2460" w:type="dxa"/>
            <w:vAlign w:val="bottom"/>
          </w:tcPr>
          <w:p>
            <w:pPr>
              <w:jc w:val="center"/>
              <w:ind w:left="994"/>
              <w:spacing w:after="0"/>
              <w:rPr>
                <w:sz w:val="20"/>
                <w:szCs w:val="20"/>
                <w:color w:val="auto"/>
              </w:rPr>
            </w:pPr>
            <w:r>
              <w:rPr>
                <w:rFonts w:ascii="Times New Roman" w:cs="Times New Roman" w:eastAsia="Times New Roman" w:hAnsi="Times New Roman"/>
                <w:sz w:val="13"/>
                <w:szCs w:val="13"/>
                <w:b w:val="1"/>
                <w:bCs w:val="1"/>
                <w:color w:val="auto"/>
              </w:rPr>
              <w:t>Borrowed</w:t>
            </w:r>
          </w:p>
        </w:tc>
        <w:tc>
          <w:tcPr>
            <w:tcW w:w="180" w:type="dxa"/>
            <w:vAlign w:val="bottom"/>
          </w:tcPr>
          <w:p>
            <w:pPr>
              <w:spacing w:after="0"/>
              <w:rPr>
                <w:sz w:val="14"/>
                <w:szCs w:val="14"/>
                <w:color w:val="auto"/>
              </w:rPr>
            </w:pPr>
          </w:p>
        </w:tc>
        <w:tc>
          <w:tcPr>
            <w:tcW w:w="128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Borrowing Cost</w:t>
            </w:r>
          </w:p>
        </w:tc>
        <w:tc>
          <w:tcPr>
            <w:tcW w:w="152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Current Value</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Reset Date</w:t>
            </w: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(depreciation)</w:t>
            </w:r>
          </w:p>
        </w:tc>
      </w:tr>
      <w:tr>
        <w:trPr>
          <w:trHeight w:val="156"/>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Canadian Dollar</w:t>
            </w:r>
          </w:p>
        </w:tc>
        <w:tc>
          <w:tcPr>
            <w:tcW w:w="2460" w:type="dxa"/>
            <w:vAlign w:val="bottom"/>
            <w:shd w:val="clear" w:color="auto" w:fill="CCECFF"/>
          </w:tcPr>
          <w:p>
            <w:pPr>
              <w:ind w:left="1780"/>
              <w:spacing w:after="0"/>
              <w:rPr>
                <w:sz w:val="20"/>
                <w:szCs w:val="20"/>
                <w:color w:val="auto"/>
              </w:rPr>
            </w:pPr>
            <w:r>
              <w:rPr>
                <w:rFonts w:ascii="Times New Roman" w:cs="Times New Roman" w:eastAsia="Times New Roman" w:hAnsi="Times New Roman"/>
                <w:sz w:val="13"/>
                <w:szCs w:val="13"/>
                <w:color w:val="auto"/>
              </w:rPr>
              <w:t>CAD 2,000</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1,455</w:t>
            </w:r>
          </w:p>
        </w:tc>
        <w:tc>
          <w:tcPr>
            <w:tcW w:w="1520" w:type="dxa"/>
            <w:vAlign w:val="bottom"/>
            <w:shd w:val="clear" w:color="auto" w:fill="CCECFF"/>
          </w:tcPr>
          <w:p>
            <w:pPr>
              <w:jc w:val="right"/>
              <w:ind w:right="214"/>
              <w:spacing w:after="0"/>
              <w:rPr>
                <w:sz w:val="20"/>
                <w:szCs w:val="20"/>
                <w:color w:val="auto"/>
              </w:rPr>
            </w:pPr>
            <w:r>
              <w:rPr>
                <w:rFonts w:ascii="Times New Roman" w:cs="Times New Roman" w:eastAsia="Times New Roman" w:hAnsi="Times New Roman"/>
                <w:sz w:val="13"/>
                <w:szCs w:val="13"/>
                <w:color w:val="auto"/>
              </w:rPr>
              <w:t>1,391</w:t>
            </w:r>
          </w:p>
        </w:tc>
        <w:tc>
          <w:tcPr>
            <w:tcW w:w="1200" w:type="dxa"/>
            <w:vAlign w:val="bottom"/>
            <w:shd w:val="clear" w:color="auto" w:fill="CCECFF"/>
          </w:tcPr>
          <w:p>
            <w:pPr>
              <w:jc w:val="right"/>
              <w:ind w:right="314"/>
              <w:spacing w:after="0"/>
              <w:rPr>
                <w:sz w:val="20"/>
                <w:szCs w:val="20"/>
                <w:color w:val="auto"/>
              </w:rPr>
            </w:pPr>
            <w:r>
              <w:rPr>
                <w:rFonts w:ascii="Times New Roman" w:cs="Times New Roman" w:eastAsia="Times New Roman" w:hAnsi="Times New Roman"/>
                <w:sz w:val="13"/>
                <w:szCs w:val="13"/>
                <w:color w:val="auto"/>
              </w:rPr>
              <w:t>1/1/2025</w:t>
            </w:r>
          </w:p>
        </w:tc>
        <w:tc>
          <w:tcPr>
            <w:tcW w:w="140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64</w:t>
            </w: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 of September 30, 2024 we had outstanding non-U.S. dollar borrowings on our Credit Facility. The following information related to such borrowings (CAD and $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4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Unrealized</w:t>
            </w:r>
          </w:p>
        </w:tc>
      </w:tr>
      <w:tr>
        <w:trPr>
          <w:trHeight w:val="156"/>
        </w:trPr>
        <w:tc>
          <w:tcPr>
            <w:tcW w:w="2480" w:type="dxa"/>
            <w:vAlign w:val="bottom"/>
          </w:tcPr>
          <w:p>
            <w:pPr>
              <w:spacing w:after="0"/>
              <w:rPr>
                <w:sz w:val="13"/>
                <w:szCs w:val="13"/>
                <w:color w:val="auto"/>
              </w:rPr>
            </w:pPr>
          </w:p>
        </w:tc>
        <w:tc>
          <w:tcPr>
            <w:tcW w:w="2460" w:type="dxa"/>
            <w:vAlign w:val="bottom"/>
          </w:tcPr>
          <w:p>
            <w:pPr>
              <w:jc w:val="center"/>
              <w:ind w:left="89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appreciation</w:t>
            </w:r>
          </w:p>
        </w:tc>
      </w:tr>
      <w:tr>
        <w:trPr>
          <w:trHeight w:val="170"/>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Foreign Currency</w:t>
            </w:r>
          </w:p>
        </w:tc>
        <w:tc>
          <w:tcPr>
            <w:tcW w:w="2460" w:type="dxa"/>
            <w:vAlign w:val="bottom"/>
          </w:tcPr>
          <w:p>
            <w:pPr>
              <w:jc w:val="center"/>
              <w:ind w:left="914"/>
              <w:spacing w:after="0"/>
              <w:rPr>
                <w:sz w:val="20"/>
                <w:szCs w:val="20"/>
                <w:color w:val="auto"/>
              </w:rPr>
            </w:pPr>
            <w:r>
              <w:rPr>
                <w:rFonts w:ascii="Times New Roman" w:cs="Times New Roman" w:eastAsia="Times New Roman" w:hAnsi="Times New Roman"/>
                <w:sz w:val="13"/>
                <w:szCs w:val="13"/>
                <w:b w:val="1"/>
                <w:bCs w:val="1"/>
                <w:color w:val="auto"/>
              </w:rPr>
              <w:t>Borrowed</w:t>
            </w:r>
          </w:p>
        </w:tc>
        <w:tc>
          <w:tcPr>
            <w:tcW w:w="220" w:type="dxa"/>
            <w:vAlign w:val="bottom"/>
          </w:tcPr>
          <w:p>
            <w:pPr>
              <w:spacing w:after="0"/>
              <w:rPr>
                <w:sz w:val="14"/>
                <w:szCs w:val="14"/>
                <w:color w:val="auto"/>
              </w:rPr>
            </w:pPr>
          </w:p>
        </w:tc>
        <w:tc>
          <w:tcPr>
            <w:tcW w:w="122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Borrowing Cost</w:t>
            </w:r>
          </w:p>
        </w:tc>
        <w:tc>
          <w:tcPr>
            <w:tcW w:w="240" w:type="dxa"/>
            <w:vAlign w:val="bottom"/>
          </w:tcPr>
          <w:p>
            <w:pPr>
              <w:spacing w:after="0"/>
              <w:rPr>
                <w:sz w:val="14"/>
                <w:szCs w:val="14"/>
                <w:color w:val="auto"/>
              </w:rPr>
            </w:pPr>
          </w:p>
        </w:tc>
        <w:tc>
          <w:tcPr>
            <w:tcW w:w="134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Current Value</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Reset Date</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(depreciation)</w:t>
            </w:r>
          </w:p>
        </w:tc>
      </w:tr>
      <w:tr>
        <w:trPr>
          <w:trHeight w:val="156"/>
        </w:trPr>
        <w:tc>
          <w:tcPr>
            <w:tcW w:w="2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Canadian Dollar</w:t>
            </w:r>
          </w:p>
        </w:tc>
        <w:tc>
          <w:tcPr>
            <w:tcW w:w="2460" w:type="dxa"/>
            <w:vAlign w:val="bottom"/>
            <w:shd w:val="clear" w:color="auto" w:fill="CCECFF"/>
          </w:tcPr>
          <w:p>
            <w:pPr>
              <w:ind w:left="1720"/>
              <w:spacing w:after="0"/>
              <w:rPr>
                <w:sz w:val="20"/>
                <w:szCs w:val="20"/>
                <w:color w:val="auto"/>
              </w:rPr>
            </w:pPr>
            <w:r>
              <w:rPr>
                <w:rFonts w:ascii="Times New Roman" w:cs="Times New Roman" w:eastAsia="Times New Roman" w:hAnsi="Times New Roman"/>
                <w:sz w:val="13"/>
                <w:szCs w:val="13"/>
                <w:color w:val="auto"/>
              </w:rPr>
              <w:t>CAD 2,000</w:t>
            </w:r>
          </w:p>
        </w:tc>
        <w:tc>
          <w:tcPr>
            <w:tcW w:w="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1,455</w:t>
            </w:r>
          </w:p>
        </w:tc>
        <w:tc>
          <w:tcPr>
            <w:tcW w:w="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CFF"/>
          </w:tcPr>
          <w:p>
            <w:pPr>
              <w:jc w:val="right"/>
              <w:ind w:right="214"/>
              <w:spacing w:after="0"/>
              <w:rPr>
                <w:sz w:val="20"/>
                <w:szCs w:val="20"/>
                <w:color w:val="auto"/>
              </w:rPr>
            </w:pPr>
            <w:r>
              <w:rPr>
                <w:rFonts w:ascii="Times New Roman" w:cs="Times New Roman" w:eastAsia="Times New Roman" w:hAnsi="Times New Roman"/>
                <w:sz w:val="13"/>
                <w:szCs w:val="13"/>
                <w:color w:val="auto"/>
              </w:rPr>
              <w:t>1,481</w:t>
            </w:r>
          </w:p>
        </w:tc>
        <w:tc>
          <w:tcPr>
            <w:tcW w:w="1220" w:type="dxa"/>
            <w:vAlign w:val="bottom"/>
            <w:shd w:val="clear" w:color="auto" w:fill="CCECFF"/>
          </w:tcPr>
          <w:p>
            <w:pPr>
              <w:jc w:val="right"/>
              <w:ind w:right="294"/>
              <w:spacing w:after="0"/>
              <w:rPr>
                <w:sz w:val="20"/>
                <w:szCs w:val="20"/>
                <w:color w:val="auto"/>
              </w:rPr>
            </w:pPr>
            <w:r>
              <w:rPr>
                <w:rFonts w:ascii="Times New Roman" w:cs="Times New Roman" w:eastAsia="Times New Roman" w:hAnsi="Times New Roman"/>
                <w:sz w:val="13"/>
                <w:szCs w:val="13"/>
                <w:color w:val="auto"/>
              </w:rPr>
              <w:t>10/1/2024</w:t>
            </w: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w:t>
            </w:r>
          </w:p>
        </w:tc>
      </w:tr>
    </w:tbl>
    <w:p>
      <w:pPr>
        <w:spacing w:after="0" w:line="144" w:lineRule="exact"/>
        <w:rPr>
          <w:sz w:val="20"/>
          <w:szCs w:val="20"/>
          <w:color w:val="auto"/>
        </w:rPr>
      </w:pPr>
    </w:p>
    <w:p>
      <w:pPr>
        <w:ind w:right="60" w:firstLine="420"/>
        <w:spacing w:after="0" w:line="254" w:lineRule="auto"/>
        <w:rPr>
          <w:sz w:val="20"/>
          <w:szCs w:val="20"/>
          <w:color w:val="auto"/>
        </w:rPr>
      </w:pPr>
      <w:r>
        <w:rPr>
          <w:rFonts w:ascii="Times New Roman" w:cs="Times New Roman" w:eastAsia="Times New Roman" w:hAnsi="Times New Roman"/>
          <w:sz w:val="13"/>
          <w:szCs w:val="13"/>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825 -10 to the Credit Facility. We elected to use the fair value option for the Credit Facility to align the measurement attributes of both our assets and liabilities while mitigating volatility in earnings from using different measurement attributes. Due to that election and in accordance with GAAP, we did not incur any expenses relating to amendment costs on the Credit Facility for the three months ended December 31, 2024 and did not incur any expenses relating to amendment costs on the Credit Facility during the three months ended December 31, 2023.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825 -10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including our 2026 Notes, 2031 Asset-Backed Debt, 2036 Asset-Backed Debt, and the 2036-R Asset-Backed Debt.</w:t>
      </w:r>
    </w:p>
    <w:p>
      <w:pPr>
        <w:spacing w:after="0" w:line="137"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For the three months ended December 31, 2024, the Credit Facility had a net change in unrealized appreciation (depreciation) of $0.1 million. For the three months ended December 31, 2023, the Credit Facility had a net change in unrealized appreciation (depreciation) of less than $(0.1) million. As of December 31, 2024 and September 30, 2024, the net unrealized appreciation (depreciation) on the Credit Facility totaled approximately $0.1 million and zero, respectively. We use a nationally recognized independent valuation service to measure the fair value of the Credit Facility in a manner consistent with the valuation process that our board of directors uses to value our investments.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6. TRANSACTIONS WITH AFFILIATED COMPANIES</w:t>
      </w:r>
    </w:p>
    <w:p>
      <w:pPr>
        <w:spacing w:after="0" w:line="165" w:lineRule="exact"/>
        <w:rPr>
          <w:sz w:val="20"/>
          <w:szCs w:val="20"/>
          <w:color w:val="auto"/>
        </w:rPr>
      </w:pPr>
    </w:p>
    <w:p>
      <w:pPr>
        <w:ind w:right="200" w:firstLine="420"/>
        <w:spacing w:after="0" w:line="268" w:lineRule="auto"/>
        <w:rPr>
          <w:sz w:val="20"/>
          <w:szCs w:val="20"/>
          <w:color w:val="auto"/>
        </w:rPr>
      </w:pPr>
      <w:r>
        <w:rPr>
          <w:rFonts w:ascii="Times New Roman" w:cs="Times New Roman" w:eastAsia="Times New Roman" w:hAnsi="Times New Roman"/>
          <w:sz w:val="13"/>
          <w:szCs w:val="13"/>
          <w:color w:val="auto"/>
        </w:rPr>
        <w:t>An affiliated portfolio company is a company in which we have ownership of 5% or more of its voting securities. A portfolio company is generally presumed to be a non-controlled affiliate when we own at least 5% but less than 25% of its voting securities and a controlled affiliate generally when we own more than 25% of its voting securities. Transactions related to our funded investments with both controlled and non-controlled affiliates for the three months ended December 31, 2024 were as follows ($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Net Change in</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460" w:type="dxa"/>
            <w:vAlign w:val="bottom"/>
          </w:tcPr>
          <w:p>
            <w:pPr>
              <w:spacing w:after="0"/>
              <w:rPr>
                <w:sz w:val="13"/>
                <w:szCs w:val="13"/>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Dividend/</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460" w:type="dxa"/>
            <w:vAlign w:val="bottom"/>
          </w:tcPr>
          <w:p>
            <w:pPr>
              <w:spacing w:after="0"/>
              <w:rPr>
                <w:sz w:val="13"/>
                <w:szCs w:val="13"/>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6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3"/>
                <w:szCs w:val="13"/>
                <w:color w:val="auto"/>
              </w:rPr>
            </w:pPr>
          </w:p>
        </w:tc>
        <w:tc>
          <w:tcPr>
            <w:tcW w:w="98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Appreciation</w:t>
            </w:r>
          </w:p>
        </w:tc>
        <w:tc>
          <w:tcPr>
            <w:tcW w:w="10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Net Realized</w:t>
            </w: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Name of Investment</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4"/>
                <w:szCs w:val="14"/>
                <w:color w:val="auto"/>
              </w:rPr>
            </w:pPr>
          </w:p>
        </w:tc>
        <w:tc>
          <w:tcPr>
            <w:tcW w:w="86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Additions</w:t>
            </w:r>
          </w:p>
        </w:tc>
        <w:tc>
          <w:tcPr>
            <w:tcW w:w="100" w:type="dxa"/>
            <w:vAlign w:val="bottom"/>
          </w:tcPr>
          <w:p>
            <w:pPr>
              <w:spacing w:after="0"/>
              <w:rPr>
                <w:sz w:val="14"/>
                <w:szCs w:val="14"/>
                <w:color w:val="auto"/>
              </w:rPr>
            </w:pP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Reductions</w:t>
            </w:r>
          </w:p>
        </w:tc>
        <w:tc>
          <w:tcPr>
            <w:tcW w:w="1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(Depreciation)</w:t>
            </w:r>
          </w:p>
        </w:tc>
        <w:tc>
          <w:tcPr>
            <w:tcW w:w="1100" w:type="dxa"/>
            <w:vAlign w:val="bottom"/>
            <w:gridSpan w:val="2"/>
          </w:tcPr>
          <w:p>
            <w:pPr>
              <w:jc w:val="center"/>
              <w:ind w:left="54"/>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Interest Income</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Gains (Losses)</w:t>
            </w:r>
          </w:p>
        </w:tc>
      </w:tr>
      <w:tr>
        <w:trPr>
          <w:trHeight w:val="156"/>
        </w:trPr>
        <w:tc>
          <w:tcPr>
            <w:tcW w:w="2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Controlled Affiliates</w:t>
            </w:r>
          </w:p>
        </w:tc>
        <w:tc>
          <w:tcPr>
            <w:tcW w:w="9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Marketplace Events, LLC**</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$57,107</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$(36,984)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$(24,337)</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$5,062</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$25,493</w:t>
            </w:r>
          </w:p>
        </w:tc>
        <w:tc>
          <w:tcPr>
            <w:tcW w:w="20" w:type="dxa"/>
            <w:vAlign w:val="bottom"/>
          </w:tcPr>
          <w:p>
            <w:pPr>
              <w:spacing w:after="0"/>
              <w:rPr>
                <w:sz w:val="13"/>
                <w:szCs w:val="13"/>
                <w:color w:val="auto"/>
              </w:rPr>
            </w:pPr>
          </w:p>
        </w:tc>
      </w:tr>
      <w:tr>
        <w:trPr>
          <w:trHeight w:val="144"/>
        </w:trPr>
        <w:tc>
          <w:tcPr>
            <w:tcW w:w="2460" w:type="dxa"/>
            <w:vAlign w:val="bottom"/>
            <w:shd w:val="clear" w:color="auto" w:fill="CCECFF"/>
          </w:tcPr>
          <w:p>
            <w:pPr>
              <w:ind w:left="20"/>
              <w:spacing w:after="0" w:line="144" w:lineRule="exact"/>
              <w:rPr>
                <w:sz w:val="20"/>
                <w:szCs w:val="20"/>
                <w:color w:val="auto"/>
              </w:rPr>
            </w:pPr>
            <w:r>
              <w:rPr>
                <w:rFonts w:ascii="Times New Roman" w:cs="Times New Roman" w:eastAsia="Times New Roman" w:hAnsi="Times New Roman"/>
                <w:sz w:val="13"/>
                <w:szCs w:val="13"/>
                <w:color w:val="auto"/>
              </w:rPr>
              <w:t>PennantPark Senior Secured'Loan Fund I</w:t>
            </w:r>
          </w:p>
        </w:tc>
        <w:tc>
          <w:tcPr>
            <w:tcW w:w="9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20" w:type="dxa"/>
            <w:vAlign w:val="bottom"/>
          </w:tcPr>
          <w:p>
            <w:pPr>
              <w:spacing w:after="0"/>
              <w:rPr>
                <w:sz w:val="12"/>
                <w:szCs w:val="12"/>
                <w:color w:val="auto"/>
              </w:rPr>
            </w:pPr>
          </w:p>
        </w:tc>
      </w:tr>
      <w:tr>
        <w:trPr>
          <w:trHeight w:val="168"/>
        </w:trPr>
        <w:tc>
          <w:tcPr>
            <w:tcW w:w="2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LLC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294,128</w:t>
            </w:r>
          </w:p>
        </w:tc>
        <w:tc>
          <w:tcPr>
            <w:tcW w:w="1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(7,567)</w:t>
            </w:r>
          </w:p>
        </w:tc>
        <w:tc>
          <w:tcPr>
            <w:tcW w:w="11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286,561</w:t>
            </w:r>
          </w:p>
        </w:tc>
        <w:tc>
          <w:tcPr>
            <w:tcW w:w="10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7,746</w:t>
            </w:r>
          </w:p>
        </w:tc>
        <w:tc>
          <w:tcPr>
            <w:tcW w:w="100" w:type="dxa"/>
            <w:vAlign w:val="bottom"/>
            <w:shd w:val="clear" w:color="auto" w:fill="CCECFF"/>
          </w:tcPr>
          <w:p>
            <w:pPr>
              <w:spacing w:after="0"/>
              <w:rPr>
                <w:sz w:val="14"/>
                <w:szCs w:val="14"/>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4,375</w:t>
            </w:r>
          </w:p>
        </w:tc>
        <w:tc>
          <w:tcPr>
            <w:tcW w:w="10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r>
      <w:tr>
        <w:trPr>
          <w:trHeight w:val="156"/>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Controlled Affiliates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$351,235</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$(36,984)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$(31,904)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$286,561</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$12,808</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$25,493</w:t>
            </w:r>
          </w:p>
        </w:tc>
        <w:tc>
          <w:tcPr>
            <w:tcW w:w="20" w:type="dxa"/>
            <w:vAlign w:val="bottom"/>
          </w:tcPr>
          <w:p>
            <w:pPr>
              <w:spacing w:after="0"/>
              <w:rPr>
                <w:sz w:val="13"/>
                <w:szCs w:val="13"/>
                <w:color w:val="auto"/>
              </w:rPr>
            </w:pPr>
          </w:p>
        </w:tc>
      </w:tr>
      <w:tr>
        <w:trPr>
          <w:trHeight w:val="20"/>
        </w:trPr>
        <w:tc>
          <w:tcPr>
            <w:tcW w:w="2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 w:lineRule="exact"/>
        <w:rPr>
          <w:sz w:val="20"/>
          <w:szCs w:val="20"/>
          <w:color w:val="auto"/>
        </w:rPr>
      </w:pPr>
    </w:p>
    <w:p>
      <w:pPr>
        <w:jc w:val="both"/>
        <w:ind w:right="160" w:firstLine="6"/>
        <w:spacing w:after="0" w:line="263" w:lineRule="auto"/>
        <w:tabs>
          <w:tab w:leader="none" w:pos="72" w:val="left"/>
        </w:tabs>
        <w:numPr>
          <w:ilvl w:val="0"/>
          <w:numId w:val="7"/>
        </w:numPr>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1"/>
          <w:szCs w:val="11"/>
          <w:color w:val="auto"/>
        </w:rPr>
        <w:t>We and Kemper are the members of PSSL, a joint venture formed as a Delaware limited liability company that is not consolidated by us for financial reporting purposes. The members of PSSL make investments in PSSL in the form of first lien secured debt and equity interests, and all portfolio and other material decisions regarding PSSL must be submitted to PSSL’s board of directors or investment committee, both of which are comprised of two members appointed by each of us and Kemper. Because management of PSSL is shared equally between us and Kemper, we do not believe we control PSSL for purposes of the 1940 Act or otherwise.</w:t>
      </w:r>
    </w:p>
    <w:p>
      <w:pPr>
        <w:spacing w:after="0" w:line="4" w:lineRule="exact"/>
        <w:rPr>
          <w:rFonts w:ascii="Times New Roman" w:cs="Times New Roman" w:eastAsia="Times New Roman" w:hAnsi="Times New Roman"/>
          <w:sz w:val="10"/>
          <w:szCs w:val="10"/>
          <w:b w:val="1"/>
          <w:bCs w:val="1"/>
          <w:color w:val="auto"/>
        </w:rPr>
      </w:pPr>
    </w:p>
    <w:p>
      <w:pPr>
        <w:spacing w:after="0"/>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1"/>
          <w:szCs w:val="11"/>
          <w:color w:val="auto"/>
        </w:rPr>
        <w:t>** Marketplace was sold during the quarter.</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2" w:right="660"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Net Change in</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7"/>
              </w:rPr>
              <w:t>Sale of/</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8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Dividend/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3"/>
                <w:szCs w:val="13"/>
                <w:color w:val="auto"/>
              </w:rPr>
            </w:pPr>
          </w:p>
        </w:tc>
        <w:tc>
          <w:tcPr>
            <w:tcW w:w="68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Appreciation</w:t>
            </w:r>
          </w:p>
        </w:tc>
        <w:tc>
          <w:tcPr>
            <w:tcW w:w="8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13"/>
                <w:szCs w:val="13"/>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Net Realized</w:t>
            </w:r>
          </w:p>
        </w:tc>
      </w:tr>
      <w:tr>
        <w:trPr>
          <w:trHeight w:val="170"/>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Name of Investment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Additions</w:t>
            </w:r>
          </w:p>
        </w:tc>
        <w:tc>
          <w:tcPr>
            <w:tcW w:w="20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from Affiliates</w:t>
            </w:r>
          </w:p>
        </w:tc>
        <w:tc>
          <w:tcPr>
            <w:tcW w:w="200" w:type="dxa"/>
            <w:vAlign w:val="bottom"/>
          </w:tcPr>
          <w:p>
            <w:pPr>
              <w:spacing w:after="0"/>
              <w:rPr>
                <w:sz w:val="14"/>
                <w:szCs w:val="14"/>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(Depreciation)</w:t>
            </w:r>
          </w:p>
        </w:tc>
        <w:tc>
          <w:tcPr>
            <w:tcW w:w="80" w:type="dxa"/>
            <w:vAlign w:val="bottom"/>
          </w:tcPr>
          <w:p>
            <w:pPr>
              <w:spacing w:after="0"/>
              <w:rPr>
                <w:sz w:val="14"/>
                <w:szCs w:val="14"/>
                <w:color w:val="auto"/>
              </w:rPr>
            </w:pPr>
          </w:p>
        </w:tc>
        <w:tc>
          <w:tcPr>
            <w:tcW w:w="82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Gains (Losses)</w:t>
            </w:r>
          </w:p>
        </w:tc>
      </w:tr>
      <w:tr>
        <w:trPr>
          <w:trHeight w:val="156"/>
        </w:trPr>
        <w:tc>
          <w:tcPr>
            <w:tcW w:w="2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Controlled Affiliates</w:t>
            </w:r>
          </w:p>
        </w:tc>
        <w:tc>
          <w:tcPr>
            <w:tcW w:w="1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5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6"/>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Marketplace Events, LLC</w:t>
            </w:r>
          </w:p>
        </w:tc>
        <w:tc>
          <w:tcPr>
            <w:tcW w:w="30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34,028</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ind w:left="66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(305 )</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34,115</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PennantPark Senior Secured</w:t>
            </w:r>
          </w:p>
        </w:tc>
        <w:tc>
          <w:tcPr>
            <w:tcW w:w="1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5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6"/>
        </w:trPr>
        <w:tc>
          <w:tcPr>
            <w:tcW w:w="21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Loan Fund I LLC *</w:t>
            </w:r>
          </w:p>
        </w:tc>
        <w:tc>
          <w:tcPr>
            <w:tcW w:w="1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260,969</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1,248</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262,217</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7,193</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3,500</w:t>
            </w:r>
          </w:p>
        </w:tc>
        <w:tc>
          <w:tcPr>
            <w:tcW w:w="1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ind w:left="76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Controlled Affiliates</w:t>
            </w:r>
          </w:p>
        </w:tc>
        <w:tc>
          <w:tcPr>
            <w:tcW w:w="30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294,997</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ind w:left="66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943</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296,332</w:t>
            </w:r>
          </w:p>
        </w:tc>
        <w:tc>
          <w:tcPr>
            <w:tcW w:w="2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8,434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jc w:val="both"/>
        <w:ind w:right="140" w:firstLine="6"/>
        <w:spacing w:after="0" w:line="263" w:lineRule="auto"/>
        <w:tabs>
          <w:tab w:leader="none" w:pos="81"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and Kemper are the members of PSSL, a joint venture formed as a Delaware limited liability company that is not consolidated by us for financial reporting purposes. The members of PSSL make investments in PSSL in the form of first lien secured debt and equity interests, and all portfolio and other material decisions regarding PSSL must be submitted to PSSL’s board of directors or investment committee, both of which are comprised of two members appointed by each of us and Kemper. Because management of PSSL is shared equally between us and Kemper, we do not believe we control PSSL for purposes of the 1940 Act or otherwise.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7. CHANGE IN NET ASSETS FROM OPERATIONS PER COMMON SHARE</w:t>
      </w:r>
    </w:p>
    <w:p>
      <w:pPr>
        <w:spacing w:after="0" w:line="165" w:lineRule="exact"/>
        <w:rPr>
          <w:sz w:val="20"/>
          <w:szCs w:val="20"/>
          <w:color w:val="auto"/>
        </w:rPr>
      </w:pPr>
    </w:p>
    <w:p>
      <w:pPr>
        <w:ind w:left="560" w:right="3040" w:hanging="131"/>
        <w:spacing w:after="0" w:line="286" w:lineRule="auto"/>
        <w:rPr>
          <w:sz w:val="20"/>
          <w:szCs w:val="20"/>
          <w:color w:val="auto"/>
        </w:rPr>
      </w:pPr>
      <w:r>
        <w:rPr>
          <w:rFonts w:ascii="Times New Roman" w:cs="Times New Roman" w:eastAsia="Times New Roman" w:hAnsi="Times New Roman"/>
          <w:sz w:val="13"/>
          <w:szCs w:val="13"/>
          <w:color w:val="auto"/>
        </w:rPr>
        <w:t>The following information sets forth the computation of basic and diluted per share net increase in net assets resulting from operations ($ in thousands, except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400" w:type="dxa"/>
            <w:vAlign w:val="bottom"/>
          </w:tcPr>
          <w:p>
            <w:pPr>
              <w:spacing w:after="0"/>
              <w:rPr>
                <w:sz w:val="13"/>
                <w:szCs w:val="13"/>
                <w:color w:val="auto"/>
              </w:rPr>
            </w:pPr>
          </w:p>
        </w:tc>
        <w:tc>
          <w:tcPr>
            <w:tcW w:w="4380" w:type="dxa"/>
            <w:vAlign w:val="bottom"/>
            <w:gridSpan w:val="3"/>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780" w:type="dxa"/>
            <w:vAlign w:val="bottom"/>
          </w:tcPr>
          <w:p>
            <w:pPr>
              <w:spacing w:after="0"/>
              <w:rPr>
                <w:sz w:val="13"/>
                <w:szCs w:val="13"/>
                <w:color w:val="auto"/>
              </w:rPr>
            </w:pPr>
          </w:p>
        </w:tc>
      </w:tr>
      <w:tr>
        <w:trPr>
          <w:trHeight w:val="170"/>
        </w:trPr>
        <w:tc>
          <w:tcPr>
            <w:tcW w:w="540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8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780" w:type="dxa"/>
            <w:vAlign w:val="bottom"/>
          </w:tcPr>
          <w:p>
            <w:pPr>
              <w:spacing w:after="0"/>
              <w:rPr>
                <w:sz w:val="14"/>
                <w:szCs w:val="14"/>
                <w:color w:val="auto"/>
              </w:rPr>
            </w:pPr>
          </w:p>
        </w:tc>
      </w:tr>
      <w:tr>
        <w:trPr>
          <w:trHeight w:val="156"/>
        </w:trPr>
        <w:tc>
          <w:tcPr>
            <w:tcW w:w="5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Numerator for net increase in net assets resulting from operations</w:t>
            </w:r>
          </w:p>
        </w:tc>
        <w:tc>
          <w:tcPr>
            <w:tcW w:w="2320" w:type="dxa"/>
            <w:vAlign w:val="bottom"/>
            <w:shd w:val="clear" w:color="auto" w:fill="CCECFF"/>
          </w:tcPr>
          <w:p>
            <w:pPr>
              <w:jc w:val="right"/>
              <w:ind w:right="95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28,329</w:t>
            </w:r>
          </w:p>
        </w:tc>
        <w:tc>
          <w:tcPr>
            <w:tcW w:w="1240" w:type="dxa"/>
            <w:vAlign w:val="bottom"/>
            <w:shd w:val="clear" w:color="auto" w:fill="CCECFF"/>
          </w:tcPr>
          <w:p>
            <w:pPr>
              <w:jc w:val="right"/>
              <w:ind w:right="954"/>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22,469</w:t>
            </w:r>
          </w:p>
        </w:tc>
      </w:tr>
      <w:tr>
        <w:trPr>
          <w:trHeight w:val="156"/>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Denominator for basic and diluted weighted average shares</w:t>
            </w:r>
          </w:p>
        </w:tc>
        <w:tc>
          <w:tcPr>
            <w:tcW w:w="2320" w:type="dxa"/>
            <w:vAlign w:val="bottom"/>
          </w:tcPr>
          <w:p>
            <w:pPr>
              <w:spacing w:after="0"/>
              <w:rPr>
                <w:sz w:val="13"/>
                <w:szCs w:val="13"/>
                <w:color w:val="auto"/>
              </w:rPr>
            </w:pPr>
          </w:p>
        </w:tc>
        <w:tc>
          <w:tcPr>
            <w:tcW w:w="8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81,663,331</w:t>
            </w:r>
          </w:p>
        </w:tc>
        <w:tc>
          <w:tcPr>
            <w:tcW w:w="1240" w:type="dxa"/>
            <w:vAlign w:val="bottom"/>
          </w:tcPr>
          <w:p>
            <w:pPr>
              <w:spacing w:after="0"/>
              <w:rPr>
                <w:sz w:val="13"/>
                <w:szCs w:val="13"/>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58,734,702</w:t>
            </w:r>
          </w:p>
        </w:tc>
      </w:tr>
      <w:tr>
        <w:trPr>
          <w:trHeight w:val="156"/>
        </w:trPr>
        <w:tc>
          <w:tcPr>
            <w:tcW w:w="5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Basic and diluted net increase in net assets per share resulting from operations</w:t>
            </w:r>
          </w:p>
        </w:tc>
        <w:tc>
          <w:tcPr>
            <w:tcW w:w="2320" w:type="dxa"/>
            <w:vAlign w:val="bottom"/>
            <w:shd w:val="clear" w:color="auto" w:fill="CCECFF"/>
          </w:tcPr>
          <w:p>
            <w:pPr>
              <w:jc w:val="right"/>
              <w:ind w:right="95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0.35</w:t>
            </w:r>
          </w:p>
        </w:tc>
        <w:tc>
          <w:tcPr>
            <w:tcW w:w="1240" w:type="dxa"/>
            <w:vAlign w:val="bottom"/>
            <w:shd w:val="clear" w:color="auto" w:fill="CCECFF"/>
          </w:tcPr>
          <w:p>
            <w:pPr>
              <w:jc w:val="right"/>
              <w:ind w:right="954"/>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0.38</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8. CASH AND CASH EQUIVALENTS</w:t>
      </w:r>
    </w:p>
    <w:p>
      <w:pPr>
        <w:spacing w:after="0" w:line="165" w:lineRule="exact"/>
        <w:rPr>
          <w:sz w:val="20"/>
          <w:szCs w:val="20"/>
          <w:color w:val="auto"/>
        </w:rPr>
      </w:pPr>
    </w:p>
    <w:p>
      <w:pPr>
        <w:ind w:firstLine="420"/>
        <w:spacing w:after="0" w:line="255" w:lineRule="auto"/>
        <w:rPr>
          <w:sz w:val="20"/>
          <w:szCs w:val="20"/>
          <w:color w:val="auto"/>
        </w:rPr>
      </w:pPr>
      <w:r>
        <w:rPr>
          <w:rFonts w:ascii="Times New Roman" w:cs="Times New Roman" w:eastAsia="Times New Roman" w:hAnsi="Times New Roman"/>
          <w:sz w:val="13"/>
          <w:szCs w:val="13"/>
          <w:color w:val="auto"/>
        </w:rPr>
        <w:t>Cash equivalents represent cash in money market funds pending investment in longer-term portfolio holdings and for other general purposes.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December 31, 2024 and September 30, 2024, cash and cash equivalents consisted of money market funds and non-money market fund in the amounts of $26.7 million and $22.2 million and $75.6 million and $89.8 million at fair value, respectively.</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3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9. FINANCIAL HIGHLIGHTS</w:t>
            </w:r>
          </w:p>
        </w:tc>
        <w:tc>
          <w:tcPr>
            <w:tcW w:w="1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36"/>
        </w:trPr>
        <w:tc>
          <w:tcPr>
            <w:tcW w:w="63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are the financial highlights ($ in thousands, except per share data):</w:t>
            </w: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18"/>
        </w:trPr>
        <w:tc>
          <w:tcPr>
            <w:tcW w:w="6380" w:type="dxa"/>
            <w:vAlign w:val="bottom"/>
          </w:tcPr>
          <w:p>
            <w:pPr>
              <w:spacing w:after="0"/>
              <w:rPr>
                <w:sz w:val="24"/>
                <w:szCs w:val="24"/>
                <w:color w:val="auto"/>
              </w:rPr>
            </w:pPr>
          </w:p>
        </w:tc>
        <w:tc>
          <w:tcPr>
            <w:tcW w:w="3360" w:type="dxa"/>
            <w:vAlign w:val="bottom"/>
            <w:gridSpan w:val="4"/>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0"/>
        </w:trPr>
        <w:tc>
          <w:tcPr>
            <w:tcW w:w="6380" w:type="dxa"/>
            <w:vAlign w:val="bottom"/>
          </w:tcPr>
          <w:p>
            <w:pPr>
              <w:spacing w:after="0"/>
              <w:rPr>
                <w:sz w:val="14"/>
                <w:szCs w:val="14"/>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Per Share Data:</w:t>
            </w:r>
          </w:p>
        </w:tc>
        <w:tc>
          <w:tcPr>
            <w:tcW w:w="11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1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56"/>
        </w:trPr>
        <w:tc>
          <w:tcPr>
            <w:tcW w:w="6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asset value, beginning of period</w:t>
            </w:r>
          </w:p>
        </w:tc>
        <w:tc>
          <w:tcPr>
            <w:tcW w:w="1160" w:type="dxa"/>
            <w:vAlign w:val="bottom"/>
          </w:tcPr>
          <w:p>
            <w:pPr>
              <w:jc w:val="right"/>
              <w:ind w:right="10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11.31</w:t>
            </w:r>
          </w:p>
        </w:tc>
        <w:tc>
          <w:tcPr>
            <w:tcW w:w="340" w:type="dxa"/>
            <w:vAlign w:val="bottom"/>
          </w:tcPr>
          <w:p>
            <w:pPr>
              <w:spacing w:after="0"/>
              <w:rPr>
                <w:sz w:val="13"/>
                <w:szCs w:val="13"/>
                <w:color w:val="auto"/>
              </w:rPr>
            </w:pPr>
          </w:p>
        </w:tc>
        <w:tc>
          <w:tcPr>
            <w:tcW w:w="1160" w:type="dxa"/>
            <w:vAlign w:val="bottom"/>
          </w:tcPr>
          <w:p>
            <w:pPr>
              <w:jc w:val="right"/>
              <w:ind w:right="10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11.13</w:t>
            </w:r>
          </w:p>
        </w:tc>
        <w:tc>
          <w:tcPr>
            <w:tcW w:w="120" w:type="dxa"/>
            <w:vAlign w:val="bottom"/>
          </w:tcPr>
          <w:p>
            <w:pPr>
              <w:spacing w:after="0"/>
              <w:rPr>
                <w:sz w:val="13"/>
                <w:szCs w:val="13"/>
                <w:color w:val="auto"/>
              </w:rPr>
            </w:pPr>
          </w:p>
        </w:tc>
      </w:tr>
      <w:tr>
        <w:trPr>
          <w:trHeight w:val="156"/>
        </w:trPr>
        <w:tc>
          <w:tcPr>
            <w:tcW w:w="638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Net investment income </w:t>
            </w:r>
            <w:r>
              <w:rPr>
                <w:rFonts w:ascii="Times New Roman" w:cs="Times New Roman" w:eastAsia="Times New Roman" w:hAnsi="Times New Roman"/>
                <w:sz w:val="16"/>
                <w:szCs w:val="16"/>
                <w:color w:val="auto"/>
                <w:vertAlign w:val="superscript"/>
              </w:rPr>
              <w:t>(1)</w:t>
            </w:r>
          </w:p>
        </w:tc>
        <w:tc>
          <w:tcPr>
            <w:tcW w:w="11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0.37</w:t>
            </w:r>
          </w:p>
        </w:tc>
        <w:tc>
          <w:tcPr>
            <w:tcW w:w="340" w:type="dxa"/>
            <w:vAlign w:val="bottom"/>
            <w:shd w:val="clear" w:color="auto" w:fill="CCECFF"/>
          </w:tcPr>
          <w:p>
            <w:pPr>
              <w:spacing w:after="0"/>
              <w:rPr>
                <w:sz w:val="13"/>
                <w:szCs w:val="13"/>
                <w:color w:val="auto"/>
              </w:rPr>
            </w:pPr>
          </w:p>
        </w:tc>
        <w:tc>
          <w:tcPr>
            <w:tcW w:w="11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0.33</w:t>
            </w:r>
          </w:p>
        </w:tc>
        <w:tc>
          <w:tcPr>
            <w:tcW w:w="120" w:type="dxa"/>
            <w:vAlign w:val="bottom"/>
            <w:shd w:val="clear" w:color="auto" w:fill="CCECFF"/>
          </w:tcPr>
          <w:p>
            <w:pPr>
              <w:spacing w:after="0"/>
              <w:rPr>
                <w:sz w:val="13"/>
                <w:szCs w:val="13"/>
                <w:color w:val="auto"/>
              </w:rPr>
            </w:pPr>
          </w:p>
        </w:tc>
      </w:tr>
      <w:tr>
        <w:trPr>
          <w:trHeight w:val="156"/>
        </w:trPr>
        <w:tc>
          <w:tcPr>
            <w:tcW w:w="638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Net change in realized and unrealized gain (loss) </w:t>
            </w:r>
            <w:r>
              <w:rPr>
                <w:rFonts w:ascii="Times New Roman" w:cs="Times New Roman" w:eastAsia="Times New Roman" w:hAnsi="Times New Roman"/>
                <w:sz w:val="16"/>
                <w:szCs w:val="16"/>
                <w:color w:val="auto"/>
                <w:vertAlign w:val="superscript"/>
              </w:rPr>
              <w:t>(1)</w:t>
            </w:r>
          </w:p>
        </w:tc>
        <w:tc>
          <w:tcPr>
            <w:tcW w:w="1160" w:type="dxa"/>
            <w:vAlign w:val="bottom"/>
          </w:tcPr>
          <w:p>
            <w:pPr>
              <w:spacing w:after="0"/>
              <w:rPr>
                <w:sz w:val="13"/>
                <w:szCs w:val="13"/>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(0.02 )</w:t>
            </w:r>
          </w:p>
        </w:tc>
        <w:tc>
          <w:tcPr>
            <w:tcW w:w="1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0.05</w:t>
            </w:r>
          </w:p>
        </w:tc>
        <w:tc>
          <w:tcPr>
            <w:tcW w:w="120" w:type="dxa"/>
            <w:vAlign w:val="bottom"/>
          </w:tcPr>
          <w:p>
            <w:pPr>
              <w:spacing w:after="0"/>
              <w:rPr>
                <w:sz w:val="13"/>
                <w:szCs w:val="13"/>
                <w:color w:val="auto"/>
              </w:rPr>
            </w:pPr>
          </w:p>
        </w:tc>
      </w:tr>
      <w:tr>
        <w:trPr>
          <w:trHeight w:val="156"/>
        </w:trPr>
        <w:tc>
          <w:tcPr>
            <w:tcW w:w="638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Net increase (decrease) in net assets resulting from operations </w:t>
            </w:r>
            <w:r>
              <w:rPr>
                <w:rFonts w:ascii="Times New Roman" w:cs="Times New Roman" w:eastAsia="Times New Roman" w:hAnsi="Times New Roman"/>
                <w:sz w:val="16"/>
                <w:szCs w:val="16"/>
                <w:color w:val="auto"/>
                <w:vertAlign w:val="superscript"/>
              </w:rPr>
              <w:t>(1)</w:t>
            </w:r>
          </w:p>
        </w:tc>
        <w:tc>
          <w:tcPr>
            <w:tcW w:w="11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0.35</w:t>
            </w:r>
          </w:p>
        </w:tc>
        <w:tc>
          <w:tcPr>
            <w:tcW w:w="340" w:type="dxa"/>
            <w:vAlign w:val="bottom"/>
            <w:shd w:val="clear" w:color="auto" w:fill="CCECFF"/>
          </w:tcPr>
          <w:p>
            <w:pPr>
              <w:spacing w:after="0"/>
              <w:rPr>
                <w:sz w:val="13"/>
                <w:szCs w:val="13"/>
                <w:color w:val="auto"/>
              </w:rPr>
            </w:pPr>
          </w:p>
        </w:tc>
        <w:tc>
          <w:tcPr>
            <w:tcW w:w="11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0.38</w:t>
            </w:r>
          </w:p>
        </w:tc>
        <w:tc>
          <w:tcPr>
            <w:tcW w:w="120" w:type="dxa"/>
            <w:vAlign w:val="bottom"/>
            <w:shd w:val="clear" w:color="auto" w:fill="CCECFF"/>
          </w:tcPr>
          <w:p>
            <w:pPr>
              <w:spacing w:after="0"/>
              <w:rPr>
                <w:sz w:val="13"/>
                <w:szCs w:val="13"/>
                <w:color w:val="auto"/>
              </w:rPr>
            </w:pPr>
          </w:p>
        </w:tc>
      </w:tr>
      <w:tr>
        <w:trPr>
          <w:trHeight w:val="156"/>
        </w:trPr>
        <w:tc>
          <w:tcPr>
            <w:tcW w:w="638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Distributions to stockholders </w:t>
            </w:r>
            <w:r>
              <w:rPr>
                <w:rFonts w:ascii="Times New Roman" w:cs="Times New Roman" w:eastAsia="Times New Roman" w:hAnsi="Times New Roman"/>
                <w:sz w:val="16"/>
                <w:szCs w:val="16"/>
                <w:color w:val="auto"/>
                <w:vertAlign w:val="superscript"/>
              </w:rPr>
              <w:t>(1), (2)</w:t>
            </w:r>
          </w:p>
        </w:tc>
        <w:tc>
          <w:tcPr>
            <w:tcW w:w="1160" w:type="dxa"/>
            <w:vAlign w:val="bottom"/>
          </w:tcPr>
          <w:p>
            <w:pPr>
              <w:spacing w:after="0"/>
              <w:rPr>
                <w:sz w:val="13"/>
                <w:szCs w:val="13"/>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(0.31 )</w:t>
            </w:r>
          </w:p>
        </w:tc>
        <w:tc>
          <w:tcPr>
            <w:tcW w:w="116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(0.31 )</w:t>
            </w:r>
          </w:p>
        </w:tc>
      </w:tr>
      <w:tr>
        <w:trPr>
          <w:trHeight w:val="156"/>
        </w:trPr>
        <w:tc>
          <w:tcPr>
            <w:tcW w:w="6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Accretive effect of common stock issuance</w:t>
            </w:r>
          </w:p>
        </w:tc>
        <w:tc>
          <w:tcPr>
            <w:tcW w:w="116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3"/>
                <w:szCs w:val="13"/>
                <w:color w:val="auto"/>
              </w:rPr>
              <w:t>(0.01 )</w:t>
            </w:r>
          </w:p>
        </w:tc>
        <w:tc>
          <w:tcPr>
            <w:tcW w:w="116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asset value, end of period</w:t>
            </w:r>
          </w:p>
        </w:tc>
        <w:tc>
          <w:tcPr>
            <w:tcW w:w="1160" w:type="dxa"/>
            <w:vAlign w:val="bottom"/>
            <w:tcBorders>
              <w:bottom w:val="single" w:sz="8" w:color="auto"/>
            </w:tcBorders>
          </w:tcPr>
          <w:p>
            <w:pPr>
              <w:jc w:val="right"/>
              <w:ind w:right="10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11.34</w:t>
            </w:r>
          </w:p>
        </w:tc>
        <w:tc>
          <w:tcPr>
            <w:tcW w:w="340" w:type="dxa"/>
            <w:vAlign w:val="bottom"/>
          </w:tcPr>
          <w:p>
            <w:pPr>
              <w:spacing w:after="0"/>
              <w:rPr>
                <w:sz w:val="13"/>
                <w:szCs w:val="13"/>
                <w:color w:val="auto"/>
              </w:rPr>
            </w:pPr>
          </w:p>
        </w:tc>
        <w:tc>
          <w:tcPr>
            <w:tcW w:w="1160" w:type="dxa"/>
            <w:vAlign w:val="bottom"/>
            <w:tcBorders>
              <w:bottom w:val="single" w:sz="8" w:color="auto"/>
            </w:tcBorders>
          </w:tcPr>
          <w:p>
            <w:pPr>
              <w:jc w:val="right"/>
              <w:ind w:right="10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11.20</w:t>
            </w:r>
          </w:p>
        </w:tc>
        <w:tc>
          <w:tcPr>
            <w:tcW w:w="120" w:type="dxa"/>
            <w:vAlign w:val="bottom"/>
          </w:tcPr>
          <w:p>
            <w:pPr>
              <w:spacing w:after="0"/>
              <w:rPr>
                <w:sz w:val="13"/>
                <w:szCs w:val="13"/>
                <w:color w:val="auto"/>
              </w:rPr>
            </w:pPr>
          </w:p>
        </w:tc>
      </w:tr>
      <w:tr>
        <w:trPr>
          <w:trHeight w:val="20"/>
        </w:trPr>
        <w:tc>
          <w:tcPr>
            <w:tcW w:w="63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2"/>
        </w:trPr>
        <w:tc>
          <w:tcPr>
            <w:tcW w:w="6380" w:type="dxa"/>
            <w:vAlign w:val="bottom"/>
            <w:tcBorders>
              <w:bottom w:val="single" w:sz="8" w:color="CCECFF"/>
            </w:tcBorders>
            <w:shd w:val="clear" w:color="auto" w:fill="CCECFF"/>
          </w:tcPr>
          <w:p>
            <w:pPr>
              <w:ind w:left="20"/>
              <w:spacing w:after="0" w:line="133" w:lineRule="exact"/>
              <w:rPr>
                <w:sz w:val="20"/>
                <w:szCs w:val="20"/>
                <w:color w:val="auto"/>
              </w:rPr>
            </w:pPr>
            <w:r>
              <w:rPr>
                <w:rFonts w:ascii="Times New Roman" w:cs="Times New Roman" w:eastAsia="Times New Roman" w:hAnsi="Times New Roman"/>
                <w:sz w:val="13"/>
                <w:szCs w:val="13"/>
                <w:color w:val="auto"/>
              </w:rPr>
              <w:t>Per share market value, end of period</w:t>
            </w:r>
          </w:p>
        </w:tc>
        <w:tc>
          <w:tcPr>
            <w:tcW w:w="1160" w:type="dxa"/>
            <w:vAlign w:val="bottom"/>
            <w:tcBorders>
              <w:bottom w:val="single" w:sz="8" w:color="auto"/>
            </w:tcBorders>
            <w:shd w:val="clear" w:color="auto" w:fill="CCECFF"/>
          </w:tcPr>
          <w:p>
            <w:pPr>
              <w:jc w:val="right"/>
              <w:ind w:right="101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10.93</w:t>
            </w:r>
          </w:p>
        </w:tc>
        <w:tc>
          <w:tcPr>
            <w:tcW w:w="340" w:type="dxa"/>
            <w:vAlign w:val="bottom"/>
            <w:tcBorders>
              <w:bottom w:val="single" w:sz="8" w:color="CCECFF"/>
            </w:tcBorders>
            <w:shd w:val="clear" w:color="auto" w:fill="CCECFF"/>
          </w:tcPr>
          <w:p>
            <w:pPr>
              <w:spacing w:after="0"/>
              <w:rPr>
                <w:sz w:val="14"/>
                <w:szCs w:val="14"/>
                <w:color w:val="auto"/>
              </w:rPr>
            </w:pPr>
          </w:p>
        </w:tc>
        <w:tc>
          <w:tcPr>
            <w:tcW w:w="1160" w:type="dxa"/>
            <w:vAlign w:val="bottom"/>
            <w:tcBorders>
              <w:bottom w:val="single" w:sz="8" w:color="auto"/>
            </w:tcBorders>
            <w:shd w:val="clear" w:color="auto" w:fill="CCECFF"/>
          </w:tcPr>
          <w:p>
            <w:pPr>
              <w:jc w:val="right"/>
              <w:ind w:right="101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12.10</w:t>
            </w:r>
          </w:p>
        </w:tc>
        <w:tc>
          <w:tcPr>
            <w:tcW w:w="120" w:type="dxa"/>
            <w:vAlign w:val="bottom"/>
            <w:tcBorders>
              <w:bottom w:val="single" w:sz="8" w:color="CCECFF"/>
            </w:tcBorders>
            <w:shd w:val="clear" w:color="auto" w:fill="CCECFF"/>
          </w:tcPr>
          <w:p>
            <w:pPr>
              <w:spacing w:after="0"/>
              <w:rPr>
                <w:sz w:val="14"/>
                <w:szCs w:val="14"/>
                <w:color w:val="auto"/>
              </w:rPr>
            </w:pPr>
          </w:p>
        </w:tc>
      </w:tr>
      <w:tr>
        <w:trPr>
          <w:trHeight w:val="132"/>
        </w:trPr>
        <w:tc>
          <w:tcPr>
            <w:tcW w:w="6380" w:type="dxa"/>
            <w:vAlign w:val="bottom"/>
          </w:tcPr>
          <w:p>
            <w:pPr>
              <w:ind w:left="20"/>
              <w:spacing w:after="0" w:line="132" w:lineRule="exact"/>
              <w:rPr>
                <w:sz w:val="20"/>
                <w:szCs w:val="20"/>
                <w:color w:val="auto"/>
              </w:rPr>
            </w:pPr>
            <w:r>
              <w:rPr>
                <w:rFonts w:ascii="Times New Roman" w:cs="Times New Roman" w:eastAsia="Times New Roman" w:hAnsi="Times New Roman"/>
                <w:sz w:val="12"/>
                <w:szCs w:val="12"/>
                <w:color w:val="auto"/>
              </w:rPr>
              <w:t xml:space="preserve">Total return </w:t>
            </w:r>
            <w:r>
              <w:rPr>
                <w:rFonts w:ascii="Times New Roman" w:cs="Times New Roman" w:eastAsia="Times New Roman" w:hAnsi="Times New Roman"/>
                <w:sz w:val="15"/>
                <w:szCs w:val="15"/>
                <w:color w:val="auto"/>
                <w:vertAlign w:val="superscript"/>
              </w:rPr>
              <w:t>*(3)</w:t>
            </w:r>
          </w:p>
        </w:tc>
        <w:tc>
          <w:tcPr>
            <w:tcW w:w="1160" w:type="dxa"/>
            <w:vAlign w:val="bottom"/>
          </w:tcPr>
          <w:p>
            <w:pPr>
              <w:spacing w:after="0"/>
              <w:rPr>
                <w:sz w:val="11"/>
                <w:szCs w:val="11"/>
                <w:color w:val="auto"/>
              </w:rPr>
            </w:pPr>
          </w:p>
        </w:tc>
        <w:tc>
          <w:tcPr>
            <w:tcW w:w="104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-2.87 %</w:t>
            </w:r>
          </w:p>
        </w:tc>
        <w:tc>
          <w:tcPr>
            <w:tcW w:w="116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16.68%</w:t>
            </w:r>
          </w:p>
        </w:tc>
        <w:tc>
          <w:tcPr>
            <w:tcW w:w="120" w:type="dxa"/>
            <w:vAlign w:val="bottom"/>
          </w:tcPr>
          <w:p>
            <w:pPr>
              <w:spacing w:after="0"/>
              <w:rPr>
                <w:sz w:val="11"/>
                <w:szCs w:val="11"/>
                <w:color w:val="auto"/>
              </w:rPr>
            </w:pPr>
          </w:p>
        </w:tc>
      </w:tr>
      <w:tr>
        <w:trPr>
          <w:trHeight w:val="156"/>
        </w:trPr>
        <w:tc>
          <w:tcPr>
            <w:tcW w:w="6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Shares outstanding at end of period</w:t>
            </w:r>
          </w:p>
        </w:tc>
        <w:tc>
          <w:tcPr>
            <w:tcW w:w="11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84,855,896</w:t>
            </w:r>
          </w:p>
        </w:tc>
        <w:tc>
          <w:tcPr>
            <w:tcW w:w="340" w:type="dxa"/>
            <w:vAlign w:val="bottom"/>
            <w:shd w:val="clear" w:color="auto" w:fill="CCECFF"/>
          </w:tcPr>
          <w:p>
            <w:pPr>
              <w:spacing w:after="0"/>
              <w:rPr>
                <w:sz w:val="13"/>
                <w:szCs w:val="13"/>
                <w:color w:val="auto"/>
              </w:rPr>
            </w:pPr>
          </w:p>
        </w:tc>
        <w:tc>
          <w:tcPr>
            <w:tcW w:w="11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58,734,702</w:t>
            </w:r>
          </w:p>
        </w:tc>
        <w:tc>
          <w:tcPr>
            <w:tcW w:w="120" w:type="dxa"/>
            <w:vAlign w:val="bottom"/>
            <w:shd w:val="clear" w:color="auto" w:fill="CCECFF"/>
          </w:tcPr>
          <w:p>
            <w:pPr>
              <w:spacing w:after="0"/>
              <w:rPr>
                <w:sz w:val="13"/>
                <w:szCs w:val="13"/>
                <w:color w:val="auto"/>
              </w:rPr>
            </w:pPr>
          </w:p>
        </w:tc>
      </w:tr>
      <w:tr>
        <w:trPr>
          <w:trHeight w:val="156"/>
        </w:trPr>
        <w:tc>
          <w:tcPr>
            <w:tcW w:w="638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b w:val="1"/>
                <w:bCs w:val="1"/>
                <w:color w:val="auto"/>
              </w:rPr>
              <w:t>Ratios</w:t>
            </w:r>
            <w:r>
              <w:rPr>
                <w:rFonts w:ascii="Times New Roman" w:cs="Times New Roman" w:eastAsia="Times New Roman" w:hAnsi="Times New Roman"/>
                <w:sz w:val="16"/>
                <w:szCs w:val="16"/>
                <w:b w:val="1"/>
                <w:bCs w:val="1"/>
                <w:color w:val="auto"/>
                <w:vertAlign w:val="superscript"/>
              </w:rPr>
              <w:t>**</w:t>
            </w:r>
            <w:r>
              <w:rPr>
                <w:rFonts w:ascii="Times New Roman" w:cs="Times New Roman" w:eastAsia="Times New Roman" w:hAnsi="Times New Roman"/>
                <w:sz w:val="13"/>
                <w:szCs w:val="13"/>
                <w:b w:val="1"/>
                <w:bCs w:val="1"/>
                <w:color w:val="auto"/>
              </w:rPr>
              <w:t xml:space="preserve"> / Supplemental Data:</w:t>
            </w:r>
          </w:p>
        </w:tc>
        <w:tc>
          <w:tcPr>
            <w:tcW w:w="1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638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Ratio of operating expenses to average net assets** </w:t>
            </w:r>
            <w:r>
              <w:rPr>
                <w:rFonts w:ascii="Times New Roman" w:cs="Times New Roman" w:eastAsia="Times New Roman" w:hAnsi="Times New Roman"/>
                <w:sz w:val="16"/>
                <w:szCs w:val="16"/>
                <w:color w:val="auto"/>
                <w:vertAlign w:val="superscript"/>
              </w:rPr>
              <w:t>(4)</w:t>
            </w:r>
          </w:p>
        </w:tc>
        <w:tc>
          <w:tcPr>
            <w:tcW w:w="116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6.34 %</w:t>
            </w:r>
          </w:p>
        </w:tc>
        <w:tc>
          <w:tcPr>
            <w:tcW w:w="116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5.86 %</w:t>
            </w:r>
          </w:p>
        </w:tc>
      </w:tr>
      <w:tr>
        <w:trPr>
          <w:trHeight w:val="156"/>
        </w:trPr>
        <w:tc>
          <w:tcPr>
            <w:tcW w:w="638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Ratio of debt related expenses to average net assets** </w:t>
            </w:r>
            <w:r>
              <w:rPr>
                <w:rFonts w:ascii="Times New Roman" w:cs="Times New Roman" w:eastAsia="Times New Roman" w:hAnsi="Times New Roman"/>
                <w:sz w:val="16"/>
                <w:szCs w:val="16"/>
                <w:color w:val="auto"/>
                <w:vertAlign w:val="superscript"/>
              </w:rPr>
              <w:t>(5)</w:t>
            </w:r>
          </w:p>
        </w:tc>
        <w:tc>
          <w:tcPr>
            <w:tcW w:w="116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9.66 %</w:t>
            </w:r>
          </w:p>
        </w:tc>
        <w:tc>
          <w:tcPr>
            <w:tcW w:w="116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5.47 %</w:t>
            </w:r>
          </w:p>
        </w:tc>
      </w:tr>
      <w:tr>
        <w:trPr>
          <w:trHeight w:val="156"/>
        </w:trPr>
        <w:tc>
          <w:tcPr>
            <w:tcW w:w="638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Ratio of total expenses to average net assets** </w:t>
            </w:r>
            <w:r>
              <w:rPr>
                <w:rFonts w:ascii="Times New Roman" w:cs="Times New Roman" w:eastAsia="Times New Roman" w:hAnsi="Times New Roman"/>
                <w:sz w:val="16"/>
                <w:szCs w:val="16"/>
                <w:color w:val="auto"/>
                <w:vertAlign w:val="superscript"/>
              </w:rPr>
              <w:t>(5)</w:t>
            </w:r>
          </w:p>
        </w:tc>
        <w:tc>
          <w:tcPr>
            <w:tcW w:w="116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16.00 %</w:t>
            </w:r>
          </w:p>
        </w:tc>
        <w:tc>
          <w:tcPr>
            <w:tcW w:w="116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11.33 %</w:t>
            </w:r>
          </w:p>
        </w:tc>
      </w:tr>
      <w:tr>
        <w:trPr>
          <w:trHeight w:val="156"/>
        </w:trPr>
        <w:tc>
          <w:tcPr>
            <w:tcW w:w="638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Ratio of net investment income to average net assets** </w:t>
            </w:r>
            <w:r>
              <w:rPr>
                <w:rFonts w:ascii="Times New Roman" w:cs="Times New Roman" w:eastAsia="Times New Roman" w:hAnsi="Times New Roman"/>
                <w:sz w:val="16"/>
                <w:szCs w:val="16"/>
                <w:color w:val="auto"/>
                <w:vertAlign w:val="superscript"/>
              </w:rPr>
              <w:t>(5)</w:t>
            </w:r>
          </w:p>
        </w:tc>
        <w:tc>
          <w:tcPr>
            <w:tcW w:w="116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12.95 %</w:t>
            </w:r>
          </w:p>
        </w:tc>
        <w:tc>
          <w:tcPr>
            <w:tcW w:w="116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11.89 %</w:t>
            </w:r>
          </w:p>
        </w:tc>
      </w:tr>
      <w:tr>
        <w:trPr>
          <w:trHeight w:val="156"/>
        </w:trPr>
        <w:tc>
          <w:tcPr>
            <w:tcW w:w="6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assets at end of period</w:t>
            </w:r>
          </w:p>
        </w:tc>
        <w:tc>
          <w:tcPr>
            <w:tcW w:w="1160" w:type="dxa"/>
            <w:vAlign w:val="bottom"/>
            <w:shd w:val="clear" w:color="auto" w:fill="CCECFF"/>
          </w:tcPr>
          <w:p>
            <w:pPr>
              <w:jc w:val="right"/>
              <w:ind w:right="10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962,651</w:t>
            </w:r>
          </w:p>
        </w:tc>
        <w:tc>
          <w:tcPr>
            <w:tcW w:w="340" w:type="dxa"/>
            <w:vAlign w:val="bottom"/>
            <w:shd w:val="clear" w:color="auto" w:fill="CCECFF"/>
          </w:tcPr>
          <w:p>
            <w:pPr>
              <w:spacing w:after="0"/>
              <w:rPr>
                <w:sz w:val="13"/>
                <w:szCs w:val="13"/>
                <w:color w:val="auto"/>
              </w:rPr>
            </w:pPr>
          </w:p>
        </w:tc>
        <w:tc>
          <w:tcPr>
            <w:tcW w:w="1160" w:type="dxa"/>
            <w:vAlign w:val="bottom"/>
            <w:shd w:val="clear" w:color="auto" w:fill="CCECFF"/>
          </w:tcPr>
          <w:p>
            <w:pPr>
              <w:jc w:val="right"/>
              <w:ind w:right="10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658,013</w:t>
            </w:r>
          </w:p>
        </w:tc>
        <w:tc>
          <w:tcPr>
            <w:tcW w:w="120" w:type="dxa"/>
            <w:vAlign w:val="bottom"/>
            <w:shd w:val="clear" w:color="auto" w:fill="CCECFF"/>
          </w:tcPr>
          <w:p>
            <w:pPr>
              <w:spacing w:after="0"/>
              <w:rPr>
                <w:sz w:val="13"/>
                <w:szCs w:val="13"/>
                <w:color w:val="auto"/>
              </w:rPr>
            </w:pPr>
          </w:p>
        </w:tc>
      </w:tr>
      <w:tr>
        <w:trPr>
          <w:trHeight w:val="156"/>
        </w:trPr>
        <w:tc>
          <w:tcPr>
            <w:tcW w:w="6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debt outstanding</w:t>
            </w:r>
          </w:p>
        </w:tc>
        <w:tc>
          <w:tcPr>
            <w:tcW w:w="1160" w:type="dxa"/>
            <w:vAlign w:val="bottom"/>
          </w:tcPr>
          <w:p>
            <w:pPr>
              <w:jc w:val="right"/>
              <w:ind w:right="10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1,277,742</w:t>
            </w:r>
          </w:p>
        </w:tc>
        <w:tc>
          <w:tcPr>
            <w:tcW w:w="340" w:type="dxa"/>
            <w:vAlign w:val="bottom"/>
          </w:tcPr>
          <w:p>
            <w:pPr>
              <w:spacing w:after="0"/>
              <w:rPr>
                <w:sz w:val="13"/>
                <w:szCs w:val="13"/>
                <w:color w:val="auto"/>
              </w:rPr>
            </w:pPr>
          </w:p>
        </w:tc>
        <w:tc>
          <w:tcPr>
            <w:tcW w:w="1160" w:type="dxa"/>
            <w:vAlign w:val="bottom"/>
          </w:tcPr>
          <w:p>
            <w:pPr>
              <w:jc w:val="right"/>
              <w:ind w:right="10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528,462</w:t>
            </w:r>
          </w:p>
        </w:tc>
        <w:tc>
          <w:tcPr>
            <w:tcW w:w="120" w:type="dxa"/>
            <w:vAlign w:val="bottom"/>
          </w:tcPr>
          <w:p>
            <w:pPr>
              <w:spacing w:after="0"/>
              <w:rPr>
                <w:sz w:val="13"/>
                <w:szCs w:val="13"/>
                <w:color w:val="auto"/>
              </w:rPr>
            </w:pPr>
          </w:p>
        </w:tc>
      </w:tr>
      <w:tr>
        <w:trPr>
          <w:trHeight w:val="156"/>
        </w:trPr>
        <w:tc>
          <w:tcPr>
            <w:tcW w:w="638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Weighted average debt per share </w:t>
            </w:r>
            <w:r>
              <w:rPr>
                <w:rFonts w:ascii="Times New Roman" w:cs="Times New Roman" w:eastAsia="Times New Roman" w:hAnsi="Times New Roman"/>
                <w:sz w:val="16"/>
                <w:szCs w:val="16"/>
                <w:color w:val="auto"/>
                <w:vertAlign w:val="superscript"/>
              </w:rPr>
              <w:t>(1)</w:t>
            </w:r>
          </w:p>
        </w:tc>
        <w:tc>
          <w:tcPr>
            <w:tcW w:w="1160" w:type="dxa"/>
            <w:vAlign w:val="bottom"/>
            <w:shd w:val="clear" w:color="auto" w:fill="CCECFF"/>
          </w:tcPr>
          <w:p>
            <w:pPr>
              <w:jc w:val="right"/>
              <w:ind w:right="10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15.65</w:t>
            </w:r>
          </w:p>
        </w:tc>
        <w:tc>
          <w:tcPr>
            <w:tcW w:w="340" w:type="dxa"/>
            <w:vAlign w:val="bottom"/>
            <w:shd w:val="clear" w:color="auto" w:fill="CCECFF"/>
          </w:tcPr>
          <w:p>
            <w:pPr>
              <w:spacing w:after="0"/>
              <w:rPr>
                <w:sz w:val="13"/>
                <w:szCs w:val="13"/>
                <w:color w:val="auto"/>
              </w:rPr>
            </w:pPr>
          </w:p>
        </w:tc>
        <w:tc>
          <w:tcPr>
            <w:tcW w:w="1160" w:type="dxa"/>
            <w:vAlign w:val="bottom"/>
            <w:shd w:val="clear" w:color="auto" w:fill="CCECFF"/>
          </w:tcPr>
          <w:p>
            <w:pPr>
              <w:jc w:val="right"/>
              <w:ind w:right="10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120" w:type="dxa"/>
            <w:vAlign w:val="bottom"/>
            <w:shd w:val="clear" w:color="auto" w:fill="CCECFF"/>
          </w:tcPr>
          <w:p>
            <w:pPr>
              <w:spacing w:after="0"/>
              <w:rPr>
                <w:sz w:val="13"/>
                <w:szCs w:val="13"/>
                <w:color w:val="auto"/>
              </w:rPr>
            </w:pPr>
          </w:p>
        </w:tc>
      </w:tr>
      <w:tr>
        <w:trPr>
          <w:trHeight w:val="156"/>
        </w:trPr>
        <w:tc>
          <w:tcPr>
            <w:tcW w:w="638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Asset coverage per unit </w:t>
            </w:r>
            <w:r>
              <w:rPr>
                <w:rFonts w:ascii="Times New Roman" w:cs="Times New Roman" w:eastAsia="Times New Roman" w:hAnsi="Times New Roman"/>
                <w:sz w:val="16"/>
                <w:szCs w:val="16"/>
                <w:color w:val="auto"/>
                <w:vertAlign w:val="superscript"/>
              </w:rPr>
              <w:t>(6)</w:t>
            </w:r>
          </w:p>
        </w:tc>
        <w:tc>
          <w:tcPr>
            <w:tcW w:w="1160" w:type="dxa"/>
            <w:vAlign w:val="bottom"/>
          </w:tcPr>
          <w:p>
            <w:pPr>
              <w:jc w:val="right"/>
              <w:ind w:right="10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1,714</w:t>
            </w:r>
          </w:p>
        </w:tc>
        <w:tc>
          <w:tcPr>
            <w:tcW w:w="340" w:type="dxa"/>
            <w:vAlign w:val="bottom"/>
          </w:tcPr>
          <w:p>
            <w:pPr>
              <w:spacing w:after="0"/>
              <w:rPr>
                <w:sz w:val="13"/>
                <w:szCs w:val="13"/>
                <w:color w:val="auto"/>
              </w:rPr>
            </w:pPr>
          </w:p>
        </w:tc>
        <w:tc>
          <w:tcPr>
            <w:tcW w:w="1160" w:type="dxa"/>
            <w:vAlign w:val="bottom"/>
          </w:tcPr>
          <w:p>
            <w:pPr>
              <w:jc w:val="right"/>
              <w:ind w:right="10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1,972</w:t>
            </w:r>
          </w:p>
        </w:tc>
        <w:tc>
          <w:tcPr>
            <w:tcW w:w="120" w:type="dxa"/>
            <w:vAlign w:val="bottom"/>
          </w:tcPr>
          <w:p>
            <w:pPr>
              <w:spacing w:after="0"/>
              <w:rPr>
                <w:sz w:val="13"/>
                <w:szCs w:val="13"/>
                <w:color w:val="auto"/>
              </w:rPr>
            </w:pPr>
          </w:p>
        </w:tc>
      </w:tr>
      <w:tr>
        <w:trPr>
          <w:trHeight w:val="156"/>
        </w:trPr>
        <w:tc>
          <w:tcPr>
            <w:tcW w:w="638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Portfolio turnover rate</w:t>
            </w:r>
            <w:r>
              <w:rPr>
                <w:rFonts w:ascii="Times New Roman" w:cs="Times New Roman" w:eastAsia="Times New Roman" w:hAnsi="Times New Roman"/>
                <w:sz w:val="16"/>
                <w:szCs w:val="16"/>
                <w:color w:val="auto"/>
                <w:vertAlign w:val="superscript"/>
              </w:rPr>
              <w:t>*</w:t>
            </w:r>
          </w:p>
        </w:tc>
        <w:tc>
          <w:tcPr>
            <w:tcW w:w="116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17.69 %</w:t>
            </w:r>
          </w:p>
        </w:tc>
        <w:tc>
          <w:tcPr>
            <w:tcW w:w="116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7.98 %</w:t>
            </w: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Note: The expense and investment income ratios above do not reflect the Company's proportionate share of income and expenses of PSSL and PTSF</w:t>
      </w:r>
    </w:p>
    <w:p>
      <w:pPr>
        <w:spacing w:after="0" w:line="125" w:lineRule="exact"/>
        <w:rPr>
          <w:sz w:val="20"/>
          <w:szCs w:val="20"/>
          <w:color w:val="auto"/>
        </w:rPr>
      </w:pPr>
    </w:p>
    <w:p>
      <w:pPr>
        <w:ind w:left="80" w:hanging="74"/>
        <w:spacing w:after="0"/>
        <w:tabs>
          <w:tab w:leader="none" w:pos="80" w:val="left"/>
        </w:tabs>
        <w:numPr>
          <w:ilvl w:val="0"/>
          <w:numId w:val="9"/>
        </w:numPr>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color w:val="auto"/>
        </w:rPr>
        <w:t>Not annualized for periods less than one year.</w:t>
      </w:r>
    </w:p>
    <w:p>
      <w:pPr>
        <w:spacing w:after="0" w:line="9" w:lineRule="exact"/>
        <w:rPr>
          <w:sz w:val="20"/>
          <w:szCs w:val="20"/>
          <w:color w:val="auto"/>
        </w:rPr>
      </w:pPr>
    </w:p>
    <w:p>
      <w:pPr>
        <w:ind w:left="120" w:hanging="114"/>
        <w:spacing w:after="0"/>
        <w:tabs>
          <w:tab w:leader="none" w:pos="120" w:val="left"/>
        </w:tabs>
        <w:numPr>
          <w:ilvl w:val="0"/>
          <w:numId w:val="10"/>
        </w:numPr>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color w:val="auto"/>
        </w:rPr>
        <w:t>Re-occurring investment income and expenses included in these ratios are annualized for periods less than one year</w:t>
      </w:r>
    </w:p>
    <w:p>
      <w:pPr>
        <w:spacing w:after="0" w:line="5" w:lineRule="exact"/>
        <w:rPr>
          <w:rFonts w:ascii="Times New Roman" w:cs="Times New Roman" w:eastAsia="Times New Roman" w:hAnsi="Times New Roman"/>
          <w:sz w:val="10"/>
          <w:szCs w:val="10"/>
          <w:b w:val="1"/>
          <w:bCs w:val="1"/>
          <w:color w:val="auto"/>
        </w:rPr>
      </w:pPr>
    </w:p>
    <w:p>
      <w:pPr>
        <w:spacing w:after="0"/>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Based on the weighted average shares outstanding for the respective periods.</w:t>
      </w:r>
    </w:p>
    <w:p>
      <w:pPr>
        <w:spacing w:after="0" w:line="4" w:lineRule="exact"/>
        <w:rPr>
          <w:rFonts w:ascii="Times New Roman" w:cs="Times New Roman" w:eastAsia="Times New Roman" w:hAnsi="Times New Roman"/>
          <w:sz w:val="10"/>
          <w:szCs w:val="10"/>
          <w:b w:val="1"/>
          <w:bCs w:val="1"/>
          <w:color w:val="auto"/>
        </w:rPr>
      </w:pPr>
    </w:p>
    <w:p>
      <w:pPr>
        <w:spacing w:after="0" w:line="184" w:lineRule="auto"/>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0"/>
          <w:szCs w:val="10"/>
          <w:color w:val="auto"/>
        </w:rPr>
        <w:t>The tax status of distributions is calculated in accordance with income tax regulations, which may differ from amounts determined under GAAP, and reported on Form 1099-DIV each calendar year.</w:t>
      </w:r>
    </w:p>
    <w:p>
      <w:pPr>
        <w:spacing w:after="0" w:line="184" w:lineRule="auto"/>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0"/>
          <w:szCs w:val="10"/>
          <w:color w:val="auto"/>
        </w:rPr>
        <w:t>Based on the change in market price per share during the periods and assumes distributions, if any, are reinvested.</w:t>
      </w:r>
    </w:p>
    <w:p>
      <w:pPr>
        <w:spacing w:after="0" w:line="184" w:lineRule="auto"/>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9"/>
          <w:szCs w:val="19"/>
          <w:color w:val="auto"/>
          <w:vertAlign w:val="superscript"/>
        </w:rPr>
        <w:t>(4)</w:t>
      </w:r>
      <w:r>
        <w:rPr>
          <w:rFonts w:ascii="Times New Roman" w:cs="Times New Roman" w:eastAsia="Times New Roman" w:hAnsi="Times New Roman"/>
          <w:sz w:val="10"/>
          <w:szCs w:val="10"/>
          <w:color w:val="auto"/>
        </w:rPr>
        <w:t>Excludes debt-related costs.</w:t>
      </w:r>
    </w:p>
    <w:p>
      <w:pPr>
        <w:spacing w:after="0" w:line="192" w:lineRule="auto"/>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3"/>
          <w:szCs w:val="13"/>
          <w:color w:val="auto"/>
          <w:vertAlign w:val="superscript"/>
        </w:rPr>
        <w:t>(5)</w:t>
      </w:r>
      <w:r>
        <w:rPr>
          <w:rFonts w:ascii="Times New Roman" w:cs="Times New Roman" w:eastAsia="Times New Roman" w:hAnsi="Times New Roman"/>
          <w:sz w:val="7"/>
          <w:szCs w:val="7"/>
          <w:color w:val="auto"/>
        </w:rPr>
        <w:t>Includes interest and expenses on debt (annualized) as well as Credit Facility amendment and debt issuance costs, if any, (not annualized).</w:t>
      </w:r>
    </w:p>
    <w:p>
      <w:pPr>
        <w:ind w:right="360"/>
        <w:spacing w:after="0" w:line="202" w:lineRule="auto"/>
        <w:rPr>
          <w:sz w:val="20"/>
          <w:szCs w:val="20"/>
          <w:color w:val="auto"/>
        </w:rPr>
      </w:pP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0"/>
          <w:szCs w:val="10"/>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 DEBT</w:t>
      </w:r>
    </w:p>
    <w:p>
      <w:pPr>
        <w:spacing w:after="0" w:line="165"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The annualized weighted average cost of debt for the three months ended December 31, 2024 and 2023, inclusive of the fee on the undrawn commitment on the Credit Facility, amendment costs and debt issuance costs, was 7.0% and 6.8%, respectively.</w:t>
      </w:r>
    </w:p>
    <w:p>
      <w:pPr>
        <w:spacing w:after="0" w:line="112"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On April 5, 2018, our board of directors approved the application of the modified asset coverage requirements set forth in Section 61(a)(2) of the 1940 Act, as amended by the Consolidated Appropriations Act of 2018 (which includes the Small Business Credit Availability Act, or SBCAA). As a result, the asset coverage requirement applicable to us for senior securities was reduced from 200% (i.e., $1 of debt outstanding for each $ 1 of equity) to 150% (i.e., $2 of debt outstanding for each $ 1 of equity), effective as of April 5, 2019, subject to compliance with certain disclosure requirements. As of December 31, 2024 and September 30, 2024, our asset coverage ratio, as computed in accordance with the 1940 Act, was 171% and 174%,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Credit Facility</w:t>
      </w:r>
    </w:p>
    <w:p>
      <w:pPr>
        <w:spacing w:after="0" w:line="167"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Funding I’s multi-currency Credit Facility with affiliates of Truist Bank, or the Lenders, was upsized during the quarter ended December 31, 2024 to $736.0 million (increased from $ 636 million in December 2024) as of December 31, 2024, subject to satisfaction of certain conditions and the regulatory restrictions that the 1940 Act imposes on us as a BDC, has an interest rate spread above SOFR (or an alternative risk- free floating interest rate index) of 225 basis points, a maturity date of August 2029 and a revolving period that ends in August 2027. As of December 31, 2024 and September 30, 2024, Funding I had $608.8 million and $443.9 million of outstanding borrowings under the Credit Facility, respectively. The Credit Facility had a weighted average interest rate of 6.8% and 7.5%, exclusive of the fee on undrawn commitments as of December 31, 2024 and September 30, 2024, respectively. As of December 31, 2024 and September 30, 2024, we had $127.2 million and $192.1 million of unused borrowing capacity under the Credit Facility, respectively, subject to leverage and borrowing base restrictions.</w:t>
      </w:r>
    </w:p>
    <w:p>
      <w:pPr>
        <w:spacing w:after="0" w:line="132"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During the revolving period, the Credit Facility bears interest at SOFR (or an alternative risk- free floating interest rate index) plus 225 basis points and, after the revolving period, the rate will reset to Base Rate (or an alternative risk-free floating interest rate index) plus 250 basis points for the remaining two years, maturing in August 2029. The Credit Facility is secured by all of the assets of Funding I. Both, we and Funding I have made customary representations and warranties and are required to comply with various covenants, reporting requirements and other customary requirements for similar credit facilities.</w:t>
      </w:r>
    </w:p>
    <w:p>
      <w:pPr>
        <w:spacing w:after="0" w:line="127" w:lineRule="exact"/>
        <w:rPr>
          <w:sz w:val="20"/>
          <w:szCs w:val="20"/>
          <w:color w:val="auto"/>
        </w:rPr>
      </w:pPr>
    </w:p>
    <w:p>
      <w:pPr>
        <w:jc w:val="both"/>
        <w:ind w:right="80" w:firstLine="420"/>
        <w:spacing w:after="0" w:line="262" w:lineRule="auto"/>
        <w:rPr>
          <w:sz w:val="20"/>
          <w:szCs w:val="20"/>
          <w:color w:val="auto"/>
        </w:rPr>
      </w:pPr>
      <w:r>
        <w:rPr>
          <w:rFonts w:ascii="Times New Roman" w:cs="Times New Roman" w:eastAsia="Times New Roman" w:hAnsi="Times New Roman"/>
          <w:sz w:val="13"/>
          <w:szCs w:val="13"/>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December 31, 2024, we were in compliance with the covenants relating to the Credit Facility.</w:t>
      </w:r>
    </w:p>
    <w:p>
      <w:pPr>
        <w:spacing w:after="0" w:line="127" w:lineRule="exact"/>
        <w:rPr>
          <w:sz w:val="20"/>
          <w:szCs w:val="20"/>
          <w:color w:val="auto"/>
        </w:rPr>
      </w:pPr>
    </w:p>
    <w:p>
      <w:pPr>
        <w:ind w:right="180" w:firstLine="420"/>
        <w:spacing w:after="0" w:line="263" w:lineRule="auto"/>
        <w:rPr>
          <w:sz w:val="20"/>
          <w:szCs w:val="20"/>
          <w:color w:val="auto"/>
        </w:rPr>
      </w:pPr>
      <w:r>
        <w:rPr>
          <w:rFonts w:ascii="Times New Roman" w:cs="Times New Roman" w:eastAsia="Times New Roman" w:hAnsi="Times New Roman"/>
          <w:sz w:val="13"/>
          <w:szCs w:val="13"/>
          <w:color w:val="auto"/>
        </w:rPr>
        <w:t>We own 100% of the equity interest in Funding I and treat the indebtedness of Funding I as our leverage. Our Investment Adviser serves as collateral manager to Funding I under the Credit Facility.</w:t>
      </w: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408940</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44" w:name="page45"/>
    <w:bookmarkEnd w:id="44"/>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93"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2023 Notes</w:t>
      </w:r>
    </w:p>
    <w:p>
      <w:pPr>
        <w:spacing w:after="0" w:line="167" w:lineRule="exact"/>
        <w:rPr>
          <w:sz w:val="20"/>
          <w:szCs w:val="20"/>
          <w:color w:val="auto"/>
        </w:rPr>
      </w:pPr>
    </w:p>
    <w:p>
      <w:pPr>
        <w:ind w:right="80" w:firstLine="420"/>
        <w:spacing w:after="0" w:line="262" w:lineRule="auto"/>
        <w:rPr>
          <w:sz w:val="20"/>
          <w:szCs w:val="20"/>
          <w:color w:val="auto"/>
        </w:rPr>
      </w:pPr>
      <w:r>
        <w:rPr>
          <w:rFonts w:ascii="Times New Roman" w:cs="Times New Roman" w:eastAsia="Times New Roman" w:hAnsi="Times New Roman"/>
          <w:sz w:val="13"/>
          <w:szCs w:val="13"/>
          <w:color w:val="auto"/>
        </w:rPr>
        <w:t>In November 2017, we issued $138.6 million aggregate principal amount of our 2023 Notes that matured on December 15, 2023. The 2023 Notes were issued pursuant to a deed of trust between the Company and Mishmeret Trust Company, Ltd., as trustee, in November 2017. In connection with this offering, we have dual listed our common stock on the TASE. On February 7, 2024, the Company filed a notice with the Israel Securities Authority and the Tel Aviv Stock Exchange Ltd (the “TASE”) voluntarily requesting to delist the Company’s common stock from trading on the TASE. The last day of trading on the TASE was May 6, 2024 and the delisting of the Company’s common stock from the TASE took effect on May 8, 2024.</w:t>
      </w:r>
    </w:p>
    <w:p>
      <w:pPr>
        <w:spacing w:after="0" w:line="127" w:lineRule="exact"/>
        <w:rPr>
          <w:sz w:val="20"/>
          <w:szCs w:val="20"/>
          <w:color w:val="auto"/>
        </w:rPr>
      </w:pPr>
    </w:p>
    <w:p>
      <w:pPr>
        <w:ind w:right="120" w:firstLine="420"/>
        <w:spacing w:after="0" w:line="262" w:lineRule="auto"/>
        <w:rPr>
          <w:sz w:val="20"/>
          <w:szCs w:val="20"/>
          <w:color w:val="auto"/>
        </w:rPr>
      </w:pPr>
      <w:r>
        <w:rPr>
          <w:rFonts w:ascii="Times New Roman" w:cs="Times New Roman" w:eastAsia="Times New Roman" w:hAnsi="Times New Roman"/>
          <w:sz w:val="13"/>
          <w:szCs w:val="13"/>
          <w:color w:val="auto"/>
        </w:rPr>
        <w:t>The 2023 Notes paid interest at a rate of 4.3% per year. As a result of the downgrade of the 2023 Notes from “ilA+” to “ilA-” in March 2020, the interest rate of the 2023 Notes was increased to 4.3% from 3.8%. Interest on the 2023 Notes was payable semi-annually in arrears on June 15 and December 15 of each year, commencing June 15, 2018. The principal on the 2023 Notes was payable in four annual installments as follows: 15% of the original principal amount on December 15, 2020, 15% of the original principal amount on December 15, 2021, 15% of the original principal amount on December 15, 2022 and 55% of the original principal amount on December 15, 2023. On December 15, 2023, the remaining outstanding 2023 Notes were repaid in full.</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2026 Notes</w:t>
      </w:r>
    </w:p>
    <w:p>
      <w:pPr>
        <w:spacing w:after="0" w:line="167" w:lineRule="exact"/>
        <w:rPr>
          <w:sz w:val="20"/>
          <w:szCs w:val="20"/>
          <w:color w:val="auto"/>
        </w:rPr>
      </w:pPr>
    </w:p>
    <w:p>
      <w:pPr>
        <w:ind w:right="100" w:firstLine="420"/>
        <w:spacing w:after="0" w:line="257" w:lineRule="auto"/>
        <w:rPr>
          <w:sz w:val="20"/>
          <w:szCs w:val="20"/>
          <w:color w:val="auto"/>
        </w:rPr>
      </w:pPr>
      <w:r>
        <w:rPr>
          <w:rFonts w:ascii="Times New Roman" w:cs="Times New Roman" w:eastAsia="Times New Roman" w:hAnsi="Times New Roman"/>
          <w:sz w:val="13"/>
          <w:szCs w:val="13"/>
          <w:color w:val="auto"/>
        </w:rPr>
        <w:t>In March 2021 and in October 2021, we issued $100.0 million and $85.0 million, respectively, in aggregate principal amount of $185.0 million of our 2026 Notes at a public offering price per note of 99.4% and 101.5%, respectively. Interest on the 2026 Notes is paid semi-annually on April 1 and October 1 of each year, at a rate of 4.25% per year, commencing October 1, 2021. The 2026 Notes mature on April 1, 2026 and may be redeemed in whole or in part at our option subject to a make-whole premium if redeemed more than three months prior to maturity. The 2026 Notes are our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of our existing and future indebtedness and other obligations of any of our subsidiaries, financing vehicles, or similar facilities. We do not intend to list the 2026 Notes on any securities exchange or automated dealer quotation system.</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2031 Asset-Backed Debt / 2036-R Asset-Backed Debt</w:t>
      </w:r>
    </w:p>
    <w:p>
      <w:pPr>
        <w:spacing w:after="0" w:line="167" w:lineRule="exact"/>
        <w:rPr>
          <w:sz w:val="20"/>
          <w:szCs w:val="20"/>
          <w:color w:val="auto"/>
        </w:rPr>
      </w:pPr>
    </w:p>
    <w:p>
      <w:pPr>
        <w:ind w:right="160" w:firstLine="453"/>
        <w:spacing w:after="0" w:line="253" w:lineRule="auto"/>
        <w:rPr>
          <w:sz w:val="20"/>
          <w:szCs w:val="20"/>
          <w:color w:val="auto"/>
        </w:rPr>
      </w:pPr>
      <w:r>
        <w:rPr>
          <w:rFonts w:ascii="Times New Roman" w:cs="Times New Roman" w:eastAsia="Times New Roman" w:hAnsi="Times New Roman"/>
          <w:sz w:val="13"/>
          <w:szCs w:val="13"/>
          <w:color w:val="auto"/>
        </w:rPr>
        <w:t>In September 2019, the Company completed the $301.4 million term debt securitization. Term debt securitizations, also known as CLOs, are a form of secured financing incurred by the Company, which is consolidated by the Company and subject to the Company’s asset coverage requirements. The 2031 Asset-Backed Debt was issued by the Securitization Issuer. The 2031 Asset-Backed Debt is secured by the middle market loans, participation interests in middle market loans and other assets of the Securitization Issuer. The Debt Securitization was executed through (A) a private placement of: (i) $ 78.5 million Class A-1 Senior Secured Floating Rate Loans maturing 2031, which bear interest at the three-month SOFR plus 1.8%, (ii) $15.0 million Class A-2 Senior Secured Fixed Rate Notes due 2031, which bear interest at 3.7%, (iii) $14.0 million Class B-1 Senior Secured Floating Rate Notes due 2031, which bear interest at the three-month SOFR plus 2.9%,</w:t>
      </w:r>
    </w:p>
    <w:p>
      <w:pPr>
        <w:spacing w:after="0" w:line="1" w:lineRule="exact"/>
        <w:rPr>
          <w:sz w:val="20"/>
          <w:szCs w:val="20"/>
          <w:color w:val="auto"/>
        </w:rPr>
      </w:pPr>
    </w:p>
    <w:p>
      <w:pPr>
        <w:ind w:right="180" w:firstLine="6"/>
        <w:spacing w:after="0" w:line="157" w:lineRule="exact"/>
        <w:tabs>
          <w:tab w:leader="none" w:pos="223"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$16.0 million Class B-2 Senior Secured Fixed Rate Notes due 2031, which bear interest at 4.3%, (v) $19.0 million Class C</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1 Secured Deferrable Floating Rate Notes due 2031, which bear interest at the three-month SOFR plus 4.0%, (vi) $8.0 million Class C-2 Secured Deferrable Fixed Rate Notes due 2031, which bear interest at 5.4%, and (vii) $18.0 million Class D Secured Deferrable Floating Rate Loans due 2031, which bear interest at the three-month SOFR plus 4.8% and (B) the borrowing of $77.5 million Class A</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1 Senior Secured Floating Rate Notes due 2031, which bear interest at the three-month SOFR plus 1.8%, under a credit agreement by and among the Securitization Issuers, as borrowers, various financial institutions, as lenders, and U.S. Bank National Association, as collateral agent and as loan agent. The annualized interest on the 2031 Asset-Backed Debt will be paid, to the extent of funds available. The reinvestment period of the Debt Securitization ended on October 15, 2023 and the 2031 Asset-Backed Debt is scheduled to mature on October 15, 2031.</w:t>
      </w:r>
    </w:p>
    <w:p>
      <w:pPr>
        <w:spacing w:after="0" w:line="141" w:lineRule="exact"/>
        <w:rPr>
          <w:sz w:val="20"/>
          <w:szCs w:val="20"/>
          <w:color w:val="auto"/>
        </w:rPr>
      </w:pPr>
    </w:p>
    <w:p>
      <w:pPr>
        <w:ind w:right="200" w:firstLine="420"/>
        <w:spacing w:after="0" w:line="262" w:lineRule="auto"/>
        <w:rPr>
          <w:sz w:val="20"/>
          <w:szCs w:val="20"/>
          <w:color w:val="auto"/>
        </w:rPr>
      </w:pPr>
      <w:r>
        <w:rPr>
          <w:rFonts w:ascii="Times New Roman" w:cs="Times New Roman" w:eastAsia="Times New Roman" w:hAnsi="Times New Roman"/>
          <w:sz w:val="13"/>
          <w:szCs w:val="13"/>
          <w:color w:val="auto"/>
        </w:rPr>
        <w:t>On the closing date of the Debt Securitization, in consideration of our transfer to the Securitization Issuer of the initial closing date loan portfolio, which included loans distributed to us by certain of our wholly-owned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approximately $55.4 million at the closing of the Debt Securitization.</w:t>
      </w:r>
    </w:p>
    <w:p>
      <w:pPr>
        <w:spacing w:after="0" w:line="127" w:lineRule="exact"/>
        <w:rPr>
          <w:sz w:val="20"/>
          <w:szCs w:val="20"/>
          <w:color w:val="auto"/>
        </w:rPr>
      </w:pPr>
    </w:p>
    <w:p>
      <w:pPr>
        <w:ind w:right="360" w:firstLine="420"/>
        <w:spacing w:after="0" w:line="286" w:lineRule="auto"/>
        <w:rPr>
          <w:sz w:val="20"/>
          <w:szCs w:val="20"/>
          <w:color w:val="auto"/>
        </w:rPr>
      </w:pPr>
      <w:r>
        <w:rPr>
          <w:rFonts w:ascii="Times New Roman" w:cs="Times New Roman" w:eastAsia="Times New Roman" w:hAnsi="Times New Roman"/>
          <w:sz w:val="13"/>
          <w:szCs w:val="13"/>
          <w:color w:val="auto"/>
        </w:rPr>
        <w:t>The 2031 Asset-Backed Debt is included in the Consolidated Statement of Assets and Liabilities as debt of the Company and the Class D Secured Deferrable Floating Rate Notes and the Preferred Shares of the Securitization Issuer were eliminated in consolidation. As of December 31, 2024 and September 30, 2024, the Company had zero 2031 Asset-Backed Debt outstanding.</w:t>
      </w:r>
    </w:p>
    <w:p>
      <w:pPr>
        <w:spacing w:after="0" w:line="112" w:lineRule="exact"/>
        <w:rPr>
          <w:sz w:val="20"/>
          <w:szCs w:val="20"/>
          <w:color w:val="auto"/>
        </w:rPr>
      </w:pPr>
    </w:p>
    <w:p>
      <w:pPr>
        <w:ind w:right="120" w:firstLine="420"/>
        <w:spacing w:after="0" w:line="286" w:lineRule="auto"/>
        <w:rPr>
          <w:sz w:val="20"/>
          <w:szCs w:val="20"/>
          <w:color w:val="auto"/>
        </w:rPr>
      </w:pPr>
      <w:r>
        <w:rPr>
          <w:rFonts w:ascii="Times New Roman" w:cs="Times New Roman" w:eastAsia="Times New Roman" w:hAnsi="Times New Roman"/>
          <w:sz w:val="13"/>
          <w:szCs w:val="13"/>
          <w:color w:val="auto"/>
        </w:rPr>
        <w:t>Our Investment Adviser serves as collateral manager to the Securitization Issuer pursuant to the Collateral Management Agreement. For so long as our Investment Adviser serves as collateral manager, it will elect to irrevocably waive any collateral management fee to which it may be entitled under the Collateral Management Agreement.</w:t>
      </w:r>
    </w:p>
    <w:p>
      <w:pPr>
        <w:spacing w:after="0" w:line="112" w:lineRule="exact"/>
        <w:rPr>
          <w:sz w:val="20"/>
          <w:szCs w:val="20"/>
          <w:color w:val="auto"/>
        </w:rPr>
      </w:pPr>
    </w:p>
    <w:p>
      <w:pPr>
        <w:ind w:right="100" w:firstLine="696"/>
        <w:spacing w:after="0" w:line="258" w:lineRule="auto"/>
        <w:rPr>
          <w:sz w:val="20"/>
          <w:szCs w:val="20"/>
          <w:color w:val="auto"/>
        </w:rPr>
      </w:pPr>
      <w:r>
        <w:rPr>
          <w:rFonts w:ascii="Times New Roman" w:cs="Times New Roman" w:eastAsia="Times New Roman" w:hAnsi="Times New Roman"/>
          <w:sz w:val="13"/>
          <w:szCs w:val="13"/>
          <w:color w:val="auto"/>
        </w:rPr>
        <w:t>On July 25, 2024, the Company closed the refinancing and upsize of a four-year reinvestment period, twelve-year final maturity $351.0 million debt securitization in the form of a collateralized loan obligation (the “2036-R Asset-Backed Debt”). The 2036 -R Asset-Backed Debt was executed through: (A) the issuance by the Issuers of the following classes of notes pursuant that certain indenture, dated September 19, 2019, by and among the Issuers and U.S. Bank Trust Company, National Association, as amended by the second supplemental indenture, dated June 25, 2024):</w:t>
      </w:r>
    </w:p>
    <w:p>
      <w:pPr>
        <w:ind w:right="120" w:firstLine="6"/>
        <w:spacing w:after="0" w:line="253" w:lineRule="auto"/>
        <w:tabs>
          <w:tab w:leader="none" w:pos="157"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$203 million of A-1-R Notes, which bear interest at the three-month SOFR plus 1.75%, (ii) $10.5 million of A-2-R Notes, which bear interest at three-month SOFR plus 1.90%, (iii) $12 million of Class B-R Notes, which bear interest at three-month SOFR plus 2.05%, (iv) $28 million of C-R Notes, which bear interest at three-month SOFR plus 2.75% and (v) $21 million of D-R Notes, which bear interest at three-month SOFR plus 4.30%, (B) the issuance by the Issuer of $64 million of subordinated notes pursuant to the Indenture and (C) the borrowing by the Issuer of $12.5 million of Class B-R Loans, which bear interest at three-month SOFR plus 2.05%, pursuant to a credit agreement, dated the closing date, by and among the Issuers, the various financial institutions and other persons party thereto, as lenders and U.S. Bank Trust Company, National Association, as loan agent and as trustee. The Replacement Debt matures in July 2036. The Replacement Debt was 100% funded at closing.</w:t>
      </w:r>
    </w:p>
    <w:p>
      <w:pPr>
        <w:spacing w:after="0" w:line="133" w:lineRule="exact"/>
        <w:rPr>
          <w:sz w:val="20"/>
          <w:szCs w:val="20"/>
          <w:color w:val="auto"/>
        </w:rPr>
      </w:pPr>
    </w:p>
    <w:p>
      <w:pPr>
        <w:ind w:right="60" w:firstLine="696"/>
        <w:spacing w:after="0" w:line="268" w:lineRule="auto"/>
        <w:rPr>
          <w:sz w:val="20"/>
          <w:szCs w:val="20"/>
          <w:color w:val="auto"/>
        </w:rPr>
      </w:pPr>
      <w:r>
        <w:rPr>
          <w:rFonts w:ascii="Times New Roman" w:cs="Times New Roman" w:eastAsia="Times New Roman" w:hAnsi="Times New Roman"/>
          <w:sz w:val="13"/>
          <w:szCs w:val="13"/>
          <w:color w:val="auto"/>
        </w:rPr>
        <w:t>The obligations of the Issuers under the Replacement are non-recourse to the Company. The Company will retain the Class D- R Notes and the Subordinated Notes through a consolidated subsidiary. As of December 31, 2024 and September 30, 2024, the Company had $266.0 million, respectively, 2036-R Asset-Backed Debt outstanding with a weighted average interest rate of 6.5% and 7.2%, respectively. As of December 31, 2024 and September 30, 2024, the unamortized fees on the 2036-R Asset-Backed Debt were $0.7 million and $0.8 million, respectively.</w:t>
      </w:r>
    </w:p>
    <w:p>
      <w:pPr>
        <w:spacing w:after="0" w:line="1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32" w:right="640" w:bottom="1440" w:gutter="0" w:footer="0" w:header="0"/>
        </w:sectPr>
      </w:pPr>
    </w:p>
    <w:bookmarkStart w:id="45" w:name="page46"/>
    <w:bookmarkEnd w:id="45"/>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2036 Asset-Backed Debt</w:t>
      </w:r>
    </w:p>
    <w:p>
      <w:pPr>
        <w:spacing w:after="0" w:line="167" w:lineRule="exact"/>
        <w:rPr>
          <w:sz w:val="20"/>
          <w:szCs w:val="20"/>
          <w:color w:val="auto"/>
        </w:rPr>
      </w:pPr>
    </w:p>
    <w:p>
      <w:pPr>
        <w:ind w:right="20" w:firstLine="453"/>
        <w:spacing w:after="0" w:line="254" w:lineRule="auto"/>
        <w:rPr>
          <w:sz w:val="20"/>
          <w:szCs w:val="20"/>
          <w:color w:val="auto"/>
        </w:rPr>
      </w:pPr>
      <w:r>
        <w:rPr>
          <w:rFonts w:ascii="Times New Roman" w:cs="Times New Roman" w:eastAsia="Times New Roman" w:hAnsi="Times New Roman"/>
          <w:sz w:val="13"/>
          <w:szCs w:val="13"/>
          <w:color w:val="auto"/>
        </w:rPr>
        <w:t>In February 2024, the Company completed the $350.6 million term debt securitization. Term debt securitizations, also known as CLOs, are a form of secured financing incurred by the Company, which is consolidated by the Company and subject to the Company’s asset coverage requirements. The 2036 Asset-Backed Debt was issued by the 2036 Securitization Issuer. The 2036 Asset-Backed Debt is secured by the middle market loans, participation interests in middle market loans and other assets of the 2036 Securitization Issuer. The Debt Securitization was executed through (A) a private placement of: (i) $139.5 million of AAA(sf) Class A-1 Notes, which bear interest at the three-month SOFR plus 2.30%, (ii) $14 million of AAA(sf) Class A-2 Notes, which bear interest at three-month SOFR plus 2.70%, (iii) $24.5 million of AA(sf) Class B Notes, which bear interest at three-month SOFR plus 2.90%, (iv) $28 million of A(sf) Class C Notes, which bear interest at three-month SOFR plus 3.90%, (v) $ 21 million of BBB -(sf) Class D Notes, which bear interest at three-month SOFR plus 5.90%, (together, the “Secured Notes”), and (vi) $63.6 million of subordinated notes (“Subordinated Notes”) and (B) the borrowing of $60.0 million AAA(sf) Class A-1 Senior Secured Floating Rate Loans (the “Class A-1 Loans” and together with the Secured Notes and Subordinated Notes, the “Debt”), which bear interest at three-month SOFR plus 2.30%, under a credit agreement (the “Credit Agreement”), dated as of the Closing Date, by and among the Issuer, as borrower, various financial institutions, as lenders, and Wilmington Trust, National Association, as collateral agent and as loan agent. The annualized interest on the 2036 Asset-Backed Debt will be paid, to the extent of funds available. The Debt is scheduled to mature on April 18, 2036.</w:t>
      </w:r>
    </w:p>
    <w:p>
      <w:pPr>
        <w:spacing w:after="0" w:line="134" w:lineRule="exact"/>
        <w:rPr>
          <w:sz w:val="20"/>
          <w:szCs w:val="20"/>
          <w:color w:val="auto"/>
        </w:rPr>
      </w:pPr>
    </w:p>
    <w:p>
      <w:pPr>
        <w:ind w:right="180" w:firstLine="420"/>
        <w:spacing w:after="0" w:line="268" w:lineRule="auto"/>
        <w:rPr>
          <w:sz w:val="20"/>
          <w:szCs w:val="20"/>
          <w:color w:val="auto"/>
        </w:rPr>
      </w:pPr>
      <w:r>
        <w:rPr>
          <w:rFonts w:ascii="Times New Roman" w:cs="Times New Roman" w:eastAsia="Times New Roman" w:hAnsi="Times New Roman"/>
          <w:sz w:val="13"/>
          <w:szCs w:val="13"/>
          <w:color w:val="auto"/>
        </w:rPr>
        <w:t>The 2036 Asset-Backed Debt is included in the Consolidated Statement of Assets and Liabilities as debt of the Company and the Subordinated Notes of the 2036-Securitization Issuer were eliminated in consolidation. As of December 31, 2024 and September 30, 2024, the Company had $287.0 million of 2036 Asset-Backed Debt outstanding with a weighted average interest rate of 7.4% and 8.1%, respectively. As of December 31, 2024 and September 30, 2024, the unamortized fees on the 2036 Asset-Backed Debt were $2.8 million and $2.9 million, respectively.</w:t>
      </w:r>
    </w:p>
    <w:p>
      <w:pPr>
        <w:spacing w:after="0" w:line="123" w:lineRule="exact"/>
        <w:rPr>
          <w:sz w:val="20"/>
          <w:szCs w:val="20"/>
          <w:color w:val="auto"/>
        </w:rPr>
      </w:pPr>
    </w:p>
    <w:p>
      <w:pPr>
        <w:ind w:right="240" w:firstLine="420"/>
        <w:spacing w:after="0" w:line="286" w:lineRule="auto"/>
        <w:rPr>
          <w:sz w:val="20"/>
          <w:szCs w:val="20"/>
          <w:color w:val="auto"/>
        </w:rPr>
      </w:pPr>
      <w:r>
        <w:rPr>
          <w:rFonts w:ascii="Times New Roman" w:cs="Times New Roman" w:eastAsia="Times New Roman" w:hAnsi="Times New Roman"/>
          <w:sz w:val="13"/>
          <w:szCs w:val="13"/>
          <w:color w:val="auto"/>
        </w:rPr>
        <w:t>Our Investment Adviser serves as collateral manager to the 2036-Securitization Issuer pursuant to the Collateral Management Agreement. For so long as our Investment Adviser serves as collateral manager, it will elect to irrevocably waive any collateral management fee to which it may be entitled under the Collateral Management Agreement.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11. COMMITMENTS AND CONTINGENCIES</w:t>
      </w:r>
    </w:p>
    <w:p>
      <w:pPr>
        <w:spacing w:after="0" w:line="165"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From time to time, we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As of December 31, 2024 and September 30, 2024, we had $695.8 million and $632.2 million, respectively, in commitments to fund investments. Additionally, as described in Note 4, the Company had unfunded commitments of $87.5 million and zero to PSSL as of December 31, 2024 and September 30, 2024, respectively, that may be contributed primarily for the purpose of funding new investments approved by the PSSL board of directors or investment committee.</w:t>
      </w:r>
    </w:p>
    <w:p>
      <w:pPr>
        <w:spacing w:after="0" w:line="1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132" w:right="720" w:bottom="1440" w:gutter="0" w:footer="0" w:header="0"/>
        </w:sectPr>
      </w:pPr>
    </w:p>
    <w:bookmarkStart w:id="46" w:name="page47"/>
    <w:bookmarkEnd w:id="46"/>
    <w:p>
      <w:pPr>
        <w:ind w:left="3640"/>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Stockholders and Board of Directors of PennantPark Floating Rate Capital Ltd. and its Subsidiaries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Results of Review of Interim Financial Statements</w:t>
      </w:r>
    </w:p>
    <w:p>
      <w:pPr>
        <w:spacing w:after="0" w:line="16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3"/>
          <w:szCs w:val="13"/>
          <w:color w:val="auto"/>
        </w:rPr>
        <w:t>We have reviewed the accompanying consolidated statement of assets and liabilities of PennantPark Floating Rate Capital, Ltd. and its Subsidiaries (the Company), including the consolidated schedule of investments, as of December 31, 2024, the related consolidated statements of operations and changes in net assets for the three-month periods ended December 31, 2024 and 2023, and cash flows for the three-month periods ended December 31, 2024 and 2023, and the related notes to the consolidated financial statements (collectively, the interim financial information or financial statements). Based on our reviews, we are not aware of any material modifications that should be made to the accompanying interim financial information for them to be in conformity with accounting principles generally accepted in the United States of America.</w:t>
      </w:r>
    </w:p>
    <w:p>
      <w:pPr>
        <w:spacing w:after="0" w:line="13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3"/>
          <w:szCs w:val="13"/>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2024, and the related consolidated statements of operations, changes in net assets, and cash flows for the year then ended (not presented herein); and in our report dated November 25, 2024, we expressed an unqualified opinion on those consolidated financial statements. In our opinion, the information set forth in the accompanying consolidated statement of assets and liabilities, including the consolidated schedule of investments, as of September 30, 2024, is fairly stated, in all material respects, in relation to the consolidated statement of assets and liabilities, including the consolidated schedule of investments, from which it has been derived.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for Review Results</w:t>
      </w:r>
    </w:p>
    <w:p>
      <w:pPr>
        <w:spacing w:after="0" w:line="16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3"/>
          <w:szCs w:val="13"/>
          <w:color w:val="auto"/>
        </w:rPr>
        <w:t>These interim financial statements are the responsibility of the Company’s management. We conducted our reviews in accordance with the standards of the Public Company Accounting Oversight Board (United States)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RSM US LLP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February 10, 2025</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88" w:right="660" w:bottom="1440" w:gutter="0" w:footer="0" w:header="0"/>
        </w:sectPr>
      </w:pPr>
    </w:p>
    <w:bookmarkStart w:id="47" w:name="page48"/>
    <w:bookmarkEnd w:id="47"/>
    <w:p>
      <w:pPr>
        <w:spacing w:after="0" w:line="2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3"/>
          <w:szCs w:val="13"/>
          <w:b w:val="1"/>
          <w:bCs w:val="1"/>
          <w:color w:val="auto"/>
        </w:rPr>
        <w:t>Awareness Letter of Independent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Board of Directors and Stockholders of PennantPark Floating Rate Capital Ltd. and its Subsidiaries</w:t>
      </w:r>
    </w:p>
    <w:p>
      <w:pPr>
        <w:spacing w:after="0" w:line="16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3"/>
          <w:szCs w:val="13"/>
          <w:color w:val="auto"/>
        </w:rPr>
        <w:t>We have reviewed, in accordance with the standards of the Public Company Accounting Oversight Board (United States), the unaudited interim financial information of PennantPark Floating Rate Capital Ltd. and its Subsidiaries for the periods ended December 31, 2024 and 2023, as indicated in our report dated February 10, 2025; because we did not perform an audit, we expressed no opinion on that information.</w:t>
      </w:r>
    </w:p>
    <w:p>
      <w:pPr>
        <w:spacing w:after="0" w:line="12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3"/>
          <w:szCs w:val="13"/>
          <w:color w:val="auto"/>
        </w:rPr>
        <w:t>We are aware that our report referred to above, which is included in your Quarterly Report on Form 10-Q for the quarter ended December 31, 2024, is incorporated by reference in Registration Statement No.333-279726 on Form N-2.</w:t>
      </w:r>
    </w:p>
    <w:p>
      <w:pPr>
        <w:spacing w:after="0" w:line="11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3"/>
          <w:szCs w:val="13"/>
          <w:color w:val="auto"/>
        </w:rPr>
        <w:t>We are also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RSM US LLP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February 10, 2025</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408940</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b w:val="1"/>
          <w:bCs w:val="1"/>
          <w:color w:val="auto"/>
        </w:rPr>
        <w:t>Item 2. MANAGEMENT’S DISCUSSION AND ANALYSIS OF FINANCIAL CONDITION AND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165"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future operating results;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business prospects and the prospects of our prospective portfolio companies;</w:t>
      </w:r>
    </w:p>
    <w:p>
      <w:pPr>
        <w:spacing w:after="0" w:line="163" w:lineRule="exact"/>
        <w:rPr>
          <w:sz w:val="20"/>
          <w:szCs w:val="20"/>
          <w:color w:val="auto"/>
        </w:rPr>
      </w:pPr>
    </w:p>
    <w:p>
      <w:pPr>
        <w:ind w:left="420" w:right="500"/>
        <w:spacing w:after="0" w:line="286" w:lineRule="auto"/>
        <w:rPr>
          <w:sz w:val="20"/>
          <w:szCs w:val="20"/>
          <w:color w:val="auto"/>
        </w:rPr>
      </w:pPr>
      <w:r>
        <w:rPr>
          <w:rFonts w:ascii="Times New Roman" w:cs="Times New Roman" w:eastAsia="Times New Roman" w:hAnsi="Times New Roman"/>
          <w:sz w:val="13"/>
          <w:szCs w:val="13"/>
          <w:color w:val="auto"/>
        </w:rPr>
        <w:t>•changes in political, economic or industry conditions, such as the impact of the ongoing invasion of Ukraine by Russia and other world economic and political issues, the interest rate environment or conditions affecting the financial and capital markets that could result in changes to the value of our assets;</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dependence of our future success on the general economy and its impact on the industries in which we invest;</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impact of a protracted decline in the liquidity of credit markets on our business;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impact of investments that we expect to make;</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impact of fluctuations in interest rates and foreign exchange rates on our business and our portfolio companies;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contractual arrangements and relationships with third parties;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valuation of our investments in portfolio companies, particularly those having no liquid trading market;</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ability of our prospective portfolio companies to achieve their objectives;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expected financings and investments and ability to fund capital commitments to PSSL;</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adequacy of our cash resources and working capital;</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timing of cash flows, if any, from the operations of our prospective portfolio companies;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impact of price and volume fluctuations in the stock market;</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•increasing levels of inflation, and its impact on us and our portfolio companies;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ability of our Investment Adviser to locate suitable investments for us and to monitor and administer our investments;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impact of future legislation and regulation on our business and our portfolio companies; and</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inability to develop and maintain effective internal control over financial reporting.</w:t>
      </w:r>
    </w:p>
    <w:p>
      <w:pPr>
        <w:spacing w:after="0" w:line="163" w:lineRule="exact"/>
        <w:rPr>
          <w:sz w:val="20"/>
          <w:szCs w:val="20"/>
          <w:color w:val="auto"/>
        </w:rPr>
      </w:pPr>
    </w:p>
    <w:p>
      <w:pPr>
        <w:ind w:right="20" w:firstLine="420"/>
        <w:spacing w:after="0" w:line="268" w:lineRule="auto"/>
        <w:rPr>
          <w:sz w:val="20"/>
          <w:szCs w:val="20"/>
          <w:color w:val="auto"/>
        </w:rPr>
      </w:pPr>
      <w:r>
        <w:rPr>
          <w:rFonts w:ascii="Times New Roman" w:cs="Times New Roman" w:eastAsia="Times New Roman" w:hAnsi="Times New Roman"/>
          <w:sz w:val="13"/>
          <w:szCs w:val="13"/>
          <w:color w:val="auto"/>
        </w:rPr>
        <w:t>We use words such as “anticipates,” “believes,” “expects,” “intends,” “seeks,” “plans,” “estimates” and similar expressions to identify forward- 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23" w:lineRule="exact"/>
        <w:rPr>
          <w:sz w:val="20"/>
          <w:szCs w:val="20"/>
          <w:color w:val="auto"/>
        </w:rPr>
      </w:pPr>
    </w:p>
    <w:p>
      <w:pPr>
        <w:jc w:val="both"/>
        <w:ind w:right="300" w:firstLine="420"/>
        <w:spacing w:after="0" w:line="262" w:lineRule="auto"/>
        <w:rPr>
          <w:sz w:val="20"/>
          <w:szCs w:val="20"/>
          <w:color w:val="auto"/>
        </w:rPr>
      </w:pPr>
      <w:r>
        <w:rPr>
          <w:rFonts w:ascii="Times New Roman" w:cs="Times New Roman" w:eastAsia="Times New Roman" w:hAnsi="Times New Roman"/>
          <w:sz w:val="13"/>
          <w:szCs w:val="13"/>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27" w:lineRule="exact"/>
        <w:rPr>
          <w:sz w:val="20"/>
          <w:szCs w:val="20"/>
          <w:color w:val="auto"/>
        </w:rPr>
      </w:pPr>
    </w:p>
    <w:p>
      <w:pPr>
        <w:ind w:right="40" w:firstLine="420"/>
        <w:spacing w:after="0" w:line="265" w:lineRule="auto"/>
        <w:rPr>
          <w:sz w:val="20"/>
          <w:szCs w:val="20"/>
          <w:color w:val="auto"/>
        </w:rPr>
      </w:pPr>
      <w:r>
        <w:rPr>
          <w:rFonts w:ascii="Times New Roman" w:cs="Times New Roman" w:eastAsia="Times New Roman" w:hAnsi="Times New Roman"/>
          <w:sz w:val="13"/>
          <w:szCs w:val="13"/>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 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 K.</w:t>
      </w:r>
    </w:p>
    <w:p>
      <w:pPr>
        <w:spacing w:after="0" w:line="285" w:lineRule="exact"/>
        <w:rPr>
          <w:sz w:val="20"/>
          <w:szCs w:val="20"/>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12"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The following analysis of our financial condition and results of operations should be read in conjunction with our Consolidated Financial Statements and the related notes thereto contained elsewhere in this Report.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Overview</w:t>
      </w:r>
    </w:p>
    <w:p>
      <w:pPr>
        <w:spacing w:after="0" w:line="167" w:lineRule="exact"/>
        <w:rPr>
          <w:sz w:val="20"/>
          <w:szCs w:val="20"/>
          <w:color w:val="auto"/>
        </w:rPr>
      </w:pPr>
    </w:p>
    <w:p>
      <w:pPr>
        <w:ind w:right="300" w:firstLine="420"/>
        <w:spacing w:after="0" w:line="286" w:lineRule="auto"/>
        <w:rPr>
          <w:sz w:val="20"/>
          <w:szCs w:val="20"/>
          <w:color w:val="auto"/>
        </w:rPr>
      </w:pPr>
      <w:r>
        <w:rPr>
          <w:rFonts w:ascii="Times New Roman" w:cs="Times New Roman" w:eastAsia="Times New Roman" w:hAnsi="Times New Roman"/>
          <w:sz w:val="13"/>
          <w:szCs w:val="13"/>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12" w:lineRule="exact"/>
        <w:rPr>
          <w:sz w:val="20"/>
          <w:szCs w:val="20"/>
          <w:color w:val="auto"/>
        </w:rPr>
      </w:pPr>
    </w:p>
    <w:p>
      <w:pPr>
        <w:ind w:right="80" w:firstLine="420"/>
        <w:spacing w:after="0" w:line="256" w:lineRule="auto"/>
        <w:rPr>
          <w:sz w:val="20"/>
          <w:szCs w:val="20"/>
          <w:color w:val="auto"/>
        </w:rPr>
      </w:pPr>
      <w:r>
        <w:rPr>
          <w:rFonts w:ascii="Times New Roman" w:cs="Times New Roman" w:eastAsia="Times New Roman" w:hAnsi="Times New Roman"/>
          <w:sz w:val="13"/>
          <w:szCs w:val="13"/>
          <w:color w:val="auto"/>
        </w:rPr>
        <w:t>We believe that floating rate loans to U.S. middle-market companies offer attractive risk- reward to investors due to a limited amount of capital available for such companies. We use the term “middle- market” to refer to companies with annual revenues between $50 million and $1 billion. Our investments are typically rated below investment grade. Securities rated below investment grade are often referred to as “leveraged loans,” “high yield” securities or “junk bonds” and are often higher risk compared to debt instruments that are rated above investment grade and have speculative characteristics. However, when compared to junk bonds and other non-investment grade debt,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408940</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88" w:right="680" w:bottom="1440" w:gutter="0" w:footer="0" w:header="0"/>
        </w:sectPr>
      </w:pPr>
    </w:p>
    <w:bookmarkStart w:id="49" w:name="page50"/>
    <w:bookmarkEnd w:id="49"/>
    <w:p>
      <w:pPr>
        <w:ind w:right="120"/>
        <w:spacing w:after="0" w:line="268" w:lineRule="auto"/>
        <w:rPr>
          <w:sz w:val="20"/>
          <w:szCs w:val="20"/>
          <w:color w:val="auto"/>
        </w:rPr>
      </w:pPr>
      <w:r>
        <w:rPr>
          <w:rFonts w:ascii="Times New Roman" w:cs="Times New Roman" w:eastAsia="Times New Roman" w:hAnsi="Times New Roman"/>
          <w:sz w:val="13"/>
          <w:szCs w:val="13"/>
          <w:color w:val="auto"/>
        </w:rPr>
        <w:t>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23"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27" w:lineRule="exact"/>
        <w:rPr>
          <w:sz w:val="20"/>
          <w:szCs w:val="20"/>
          <w:color w:val="auto"/>
        </w:rPr>
      </w:pPr>
    </w:p>
    <w:p>
      <w:pPr>
        <w:ind w:right="20" w:firstLine="420"/>
        <w:spacing w:after="0" w:line="268" w:lineRule="auto"/>
        <w:rPr>
          <w:sz w:val="20"/>
          <w:szCs w:val="20"/>
          <w:color w:val="auto"/>
        </w:rPr>
      </w:pPr>
      <w:r>
        <w:rPr>
          <w:rFonts w:ascii="Times New Roman" w:cs="Times New Roman" w:eastAsia="Times New Roman" w:hAnsi="Times New Roman"/>
          <w:sz w:val="13"/>
          <w:szCs w:val="13"/>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Organization and Structure of PennantPark Floating Rate Capital Ltd.</w:t>
      </w:r>
    </w:p>
    <w:p>
      <w:pPr>
        <w:spacing w:after="0" w:line="167" w:lineRule="exact"/>
        <w:rPr>
          <w:sz w:val="20"/>
          <w:szCs w:val="20"/>
          <w:color w:val="auto"/>
        </w:rPr>
      </w:pPr>
    </w:p>
    <w:p>
      <w:pPr>
        <w:ind w:right="240" w:firstLine="420"/>
        <w:spacing w:after="0" w:line="286" w:lineRule="auto"/>
        <w:rPr>
          <w:sz w:val="20"/>
          <w:szCs w:val="20"/>
          <w:color w:val="auto"/>
        </w:rPr>
      </w:pPr>
      <w:r>
        <w:rPr>
          <w:rFonts w:ascii="Times New Roman" w:cs="Times New Roman" w:eastAsia="Times New Roman" w:hAnsi="Times New Roman"/>
          <w:sz w:val="13"/>
          <w:szCs w:val="13"/>
          <w:color w:val="auto"/>
        </w:rPr>
        <w:t>PennantPark Floating Rate Capital Ltd., a Maryland corporation organized in October 2010, is a closed -end, externally managed, non-diversified investment company that has elected to be treated as a BDC under the 1940 Act. In addition, for federal income tax purposes we elected to be treated, and intend to qualify annually, as a RIC under the Code.</w:t>
      </w:r>
    </w:p>
    <w:p>
      <w:pPr>
        <w:spacing w:after="0" w:line="112"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We execute our investment strategy directly and through our wholly owned subsidiaries, our unconsolidated joint venture and unconsolidated limited partnership. The term “subsidiary” means entities that primarily engage in investments activities in securities or other assets that are wholly owned by us. The Company does not intend to create or acquire primary control of an entity which primarily engages in investment activities of securities or other assets other than entities wholly owned by the Company. We comply with the provisions of Section 18 of the 1940 Act governing capital structure and leverage on an aggregate basis with our subsidiaries. Our subsidiaries comply with the provisions of Section 17 of the 1940 Act related to affiliated transactions and custody. To the extent that the Company forms a subsidiary advised by an investment adviser other than the Investment Adviser, the investment adviser to such subsidiaries will comply with the provisions of the 1940 Act relating to investment advisory contracts, including but not limited to, Section 15, as if it were an investment adviser to the Company under Section 2(a)(20) of the 1940 Act.</w:t>
      </w:r>
    </w:p>
    <w:p>
      <w:pPr>
        <w:spacing w:after="0" w:line="132" w:lineRule="exact"/>
        <w:rPr>
          <w:sz w:val="20"/>
          <w:szCs w:val="20"/>
          <w:color w:val="auto"/>
        </w:rPr>
      </w:pPr>
    </w:p>
    <w:p>
      <w:pPr>
        <w:ind w:right="40" w:firstLine="420"/>
        <w:spacing w:after="0" w:line="258" w:lineRule="auto"/>
        <w:rPr>
          <w:sz w:val="20"/>
          <w:szCs w:val="20"/>
          <w:color w:val="auto"/>
        </w:rPr>
      </w:pPr>
      <w:r>
        <w:rPr>
          <w:rFonts w:ascii="Times New Roman" w:cs="Times New Roman" w:eastAsia="Times New Roman" w:hAnsi="Times New Roman"/>
          <w:sz w:val="13"/>
          <w:szCs w:val="13"/>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Financial Officer, Chief Compliance Officer, Corporate Counsel and their respective staffs. Our board of directors, a majority of whom are independent of us, provides overall supervision of our activities, and the Investment Adviser supervises our day-to-day activities.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Revenues</w:t>
      </w:r>
    </w:p>
    <w:p>
      <w:pPr>
        <w:spacing w:after="0" w:line="167" w:lineRule="exact"/>
        <w:rPr>
          <w:sz w:val="20"/>
          <w:szCs w:val="20"/>
          <w:color w:val="auto"/>
        </w:rPr>
      </w:pPr>
    </w:p>
    <w:p>
      <w:pPr>
        <w:ind w:right="20" w:firstLine="420"/>
        <w:spacing w:after="0" w:line="254" w:lineRule="auto"/>
        <w:rPr>
          <w:sz w:val="20"/>
          <w:szCs w:val="20"/>
          <w:color w:val="auto"/>
        </w:rPr>
      </w:pPr>
      <w:r>
        <w:rPr>
          <w:rFonts w:ascii="Times New Roman" w:cs="Times New Roman" w:eastAsia="Times New Roman" w:hAnsi="Times New Roman"/>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floating or fixed rate. Interest on debt securities is generally payable quarterly or semiannually.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may or may not be non-recurring in nature. Such fees include loan prepayment penalties, structuring fees and amendment fees and agency fees, and are recorded as other investment income when earned. Litigation settlements are accounted for in accordance with the gain contingency provisions of ASC Subtopic 450-30, Gain Contingencies, or ASC 450-30.</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Expenses</w:t>
      </w:r>
    </w:p>
    <w:p>
      <w:pPr>
        <w:spacing w:after="0" w:line="167" w:lineRule="exact"/>
        <w:rPr>
          <w:sz w:val="20"/>
          <w:szCs w:val="20"/>
          <w:color w:val="auto"/>
        </w:rPr>
      </w:pPr>
    </w:p>
    <w:p>
      <w:pPr>
        <w:jc w:val="both"/>
        <w:ind w:right="160" w:firstLine="420"/>
        <w:spacing w:after="0" w:line="262" w:lineRule="auto"/>
        <w:rPr>
          <w:sz w:val="20"/>
          <w:szCs w:val="20"/>
          <w:color w:val="auto"/>
        </w:rPr>
      </w:pPr>
      <w:r>
        <w:rPr>
          <w:rFonts w:ascii="Times New Roman" w:cs="Times New Roman" w:eastAsia="Times New Roman" w:hAnsi="Times New Roman"/>
          <w:sz w:val="13"/>
          <w:szCs w:val="13"/>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cost of calculating our NAV, including the cost of any third-party valuation services;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cost of effecting sales and repurchases of shares of our common stock and other securities;</w:t>
      </w:r>
    </w:p>
    <w:p>
      <w:pPr>
        <w:spacing w:after="0" w:line="163" w:lineRule="exact"/>
        <w:rPr>
          <w:sz w:val="20"/>
          <w:szCs w:val="20"/>
          <w:color w:val="auto"/>
        </w:rPr>
      </w:pPr>
    </w:p>
    <w:p>
      <w:pPr>
        <w:ind w:left="420" w:right="80"/>
        <w:spacing w:after="0" w:line="286" w:lineRule="auto"/>
        <w:rPr>
          <w:sz w:val="20"/>
          <w:szCs w:val="20"/>
          <w:color w:val="auto"/>
        </w:rPr>
      </w:pPr>
      <w:r>
        <w:rPr>
          <w:rFonts w:ascii="Times New Roman" w:cs="Times New Roman" w:eastAsia="Times New Roman" w:hAnsi="Times New Roman"/>
          <w:sz w:val="13"/>
          <w:szCs w:val="13"/>
          <w:color w:val="auto"/>
        </w:rPr>
        <w:t>•fees payable to third parties relating to, or associated with, making investments, including fees and expenses associated with performing due diligence and reviews of prospective investments or complementary businesses;</w:t>
      </w:r>
    </w:p>
    <w:p>
      <w:pPr>
        <w:spacing w:after="0" w:line="112" w:lineRule="exact"/>
        <w:rPr>
          <w:sz w:val="20"/>
          <w:szCs w:val="20"/>
          <w:color w:val="auto"/>
        </w:rPr>
      </w:pPr>
    </w:p>
    <w:p>
      <w:pPr>
        <w:ind w:left="420" w:right="140"/>
        <w:spacing w:after="0" w:line="268" w:lineRule="auto"/>
        <w:rPr>
          <w:sz w:val="20"/>
          <w:szCs w:val="20"/>
          <w:color w:val="auto"/>
        </w:rPr>
      </w:pPr>
      <w:r>
        <w:rPr>
          <w:rFonts w:ascii="Times New Roman" w:cs="Times New Roman" w:eastAsia="Times New Roman" w:hAnsi="Times New Roman"/>
          <w:sz w:val="13"/>
          <w:szCs w:val="13"/>
          <w:color w:val="auto"/>
        </w:rPr>
        <w:t>•expenses incurred by the Investment Adviser payable to third parties, including agents, consultants or other advisors, in monitoring our financial and legal affairs for the Company's and in monitoring the Company's investments; and performing due diligence (including related legal expenses) on its prospective portfolio companies and expenses related to unsuccessful portfolio acquisition efforts;</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•transfer agent and custodial fees;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•fees and expenses associated with marketing efforts;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•federal and state registration fees and any exchange listing fees;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•federal, state, local and foreign taxes;</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90" w:right="660" w:bottom="1440" w:gutter="0" w:footer="0" w:header="0"/>
        </w:sectPr>
      </w:pPr>
    </w:p>
    <w:bookmarkStart w:id="50" w:name="page51"/>
    <w:bookmarkEnd w:id="50"/>
    <w:p>
      <w:pPr>
        <w:ind w:left="420"/>
        <w:spacing w:after="0"/>
        <w:rPr>
          <w:sz w:val="20"/>
          <w:szCs w:val="20"/>
          <w:color w:val="auto"/>
        </w:rPr>
      </w:pPr>
      <w:r>
        <w:rPr>
          <w:rFonts w:ascii="Times New Roman" w:cs="Times New Roman" w:eastAsia="Times New Roman" w:hAnsi="Times New Roman"/>
          <w:sz w:val="13"/>
          <w:szCs w:val="13"/>
          <w:color w:val="auto"/>
        </w:rPr>
        <w:t>•independent directors’ fees and expenses;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•brokerage commissions;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•fidelity bond, directors and officers, errors and omissions liability insurance and other insurance premiums;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•direct costs such as printing, mailing, long distance telephone and staff;</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•fees and expenses associated with independent audits and outside legal costs;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•costs associated with our reporting and compliance obligations under the 1940 Act and applicable federal and state securities laws; and</w:t>
      </w:r>
    </w:p>
    <w:p>
      <w:pPr>
        <w:spacing w:after="0" w:line="163" w:lineRule="exact"/>
        <w:rPr>
          <w:sz w:val="20"/>
          <w:szCs w:val="20"/>
          <w:color w:val="auto"/>
        </w:rPr>
      </w:pPr>
    </w:p>
    <w:p>
      <w:pPr>
        <w:ind w:left="420"/>
        <w:spacing w:after="0" w:line="268" w:lineRule="auto"/>
        <w:rPr>
          <w:sz w:val="20"/>
          <w:szCs w:val="20"/>
          <w:color w:val="auto"/>
        </w:rPr>
      </w:pPr>
      <w:r>
        <w:rPr>
          <w:rFonts w:ascii="Times New Roman" w:cs="Times New Roman" w:eastAsia="Times New Roman" w:hAnsi="Times New Roman"/>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Corporate Counsel and their respective staffs.</w:t>
      </w:r>
    </w:p>
    <w:p>
      <w:pPr>
        <w:spacing w:after="0" w:line="123" w:lineRule="exact"/>
        <w:rPr>
          <w:sz w:val="20"/>
          <w:szCs w:val="20"/>
          <w:color w:val="auto"/>
        </w:rPr>
      </w:pPr>
    </w:p>
    <w:p>
      <w:pPr>
        <w:ind w:right="100" w:firstLine="420"/>
        <w:spacing w:after="0" w:line="286" w:lineRule="auto"/>
        <w:rPr>
          <w:sz w:val="20"/>
          <w:szCs w:val="20"/>
          <w:color w:val="auto"/>
        </w:rPr>
      </w:pPr>
      <w:r>
        <w:rPr>
          <w:rFonts w:ascii="Times New Roman" w:cs="Times New Roman" w:eastAsia="Times New Roman" w:hAnsi="Times New Roman"/>
          <w:sz w:val="13"/>
          <w:szCs w:val="13"/>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PORTFOLIO AND INVESTMENT ACTIVITY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w:t>
      </w:r>
    </w:p>
    <w:p>
      <w:pPr>
        <w:spacing w:after="0" w:line="129" w:lineRule="exact"/>
        <w:rPr>
          <w:sz w:val="20"/>
          <w:szCs w:val="20"/>
          <w:color w:val="auto"/>
        </w:rPr>
      </w:pPr>
    </w:p>
    <w:p>
      <w:pPr>
        <w:ind w:right="60" w:firstLine="420"/>
        <w:spacing w:after="0" w:line="257" w:lineRule="auto"/>
        <w:rPr>
          <w:sz w:val="20"/>
          <w:szCs w:val="20"/>
          <w:color w:val="auto"/>
        </w:rPr>
      </w:pPr>
      <w:r>
        <w:rPr>
          <w:rFonts w:ascii="Times New Roman" w:cs="Times New Roman" w:eastAsia="Times New Roman" w:hAnsi="Times New Roman"/>
          <w:sz w:val="13"/>
          <w:szCs w:val="13"/>
          <w:color w:val="auto"/>
        </w:rPr>
        <w:t>As of December 31, 2024, our portfolio totaled $ 2,193.9 million, and consisted of $1,963.8 million of first lien secured debt (including $237.7 million in PSSL), $3.4 million of subordinated debt and $226.7 million of preferred and common equity (including $48.9 million in PSSL) . Our debt portfolio consisted of approximately 100% variable-rate investments. As of December 31, 2024, we had two portfolio companies on non-accrual, representing 0.4% and 0.1% of our overall portfolio on a cost and fair value basis, respectively. As of December 31, 2024, the portfolio had net unrealized depreciation of $40.4 million. Our overall portfolio consisted of 159 companies with an average investment size of $ 13.8 million and had a weighted average yield on debt investments of 10.6%, and was invested 90% in first lien secured debt (including 11% in PSSL), zero in second lien secured debt and less than 1% in subordinate debt and 10% in preferred and common equity (including 2% in PSSL). As of December 31, 2024, approximately 100% of the investments held by PSSL were first lien secured debt.</w:t>
      </w:r>
    </w:p>
    <w:p>
      <w:pPr>
        <w:spacing w:after="0" w:line="96" w:lineRule="exact"/>
        <w:rPr>
          <w:sz w:val="20"/>
          <w:szCs w:val="20"/>
          <w:color w:val="auto"/>
        </w:rPr>
      </w:pPr>
    </w:p>
    <w:p>
      <w:pPr>
        <w:ind w:right="60" w:firstLine="420"/>
        <w:spacing w:after="0" w:line="257" w:lineRule="auto"/>
        <w:rPr>
          <w:sz w:val="20"/>
          <w:szCs w:val="20"/>
          <w:color w:val="auto"/>
        </w:rPr>
      </w:pPr>
      <w:r>
        <w:rPr>
          <w:rFonts w:ascii="Times New Roman" w:cs="Times New Roman" w:eastAsia="Times New Roman" w:hAnsi="Times New Roman"/>
          <w:sz w:val="13"/>
          <w:szCs w:val="13"/>
          <w:color w:val="auto"/>
        </w:rPr>
        <w:t>As of September 30, 2024, our portfolio totaled $1,983.5 million and consisted of $1,746.7 million of first lien secured debt (including $237.7 million in PSSL), $ 2.7 million of second lien secured debt and subordinated debt and $234.1 million of preferred and common equity (including $56.5 million in PSSL). Our debt portfolio consisted of approximately 100% variable-rate investments. As of September 30, 2024, we had two portfolio companies on non-accrual, representing 0.4% and 0.2% of our overall portfolio on a cost and fair value basis, respectively. As of September 30, 2024, the portfolio had net unrealized depreciation of $ 11.4 million. Our overall portfolio consisted of 158 companies with an average investment size of $12.6 million, had a weighted average yield on debt investments of 11.5%, and was invested 88% in first lien secured debt (including 12% in PSSL), less than 1% in second lien secured debt and subordinated debt and 12% in preferred and common equity (including 3% in PSSL). As of September 30, 2024, over 99% of the investments held by PSSL were first lien secured debt.</w:t>
      </w:r>
    </w:p>
    <w:p>
      <w:pPr>
        <w:spacing w:after="0" w:line="132" w:lineRule="exact"/>
        <w:rPr>
          <w:sz w:val="20"/>
          <w:szCs w:val="20"/>
          <w:color w:val="auto"/>
        </w:rPr>
      </w:pPr>
    </w:p>
    <w:p>
      <w:pPr>
        <w:ind w:right="100" w:firstLine="420"/>
        <w:spacing w:after="0" w:line="286" w:lineRule="auto"/>
        <w:rPr>
          <w:sz w:val="20"/>
          <w:szCs w:val="20"/>
          <w:color w:val="auto"/>
        </w:rPr>
      </w:pPr>
      <w:r>
        <w:rPr>
          <w:rFonts w:ascii="Times New Roman" w:cs="Times New Roman" w:eastAsia="Times New Roman" w:hAnsi="Times New Roman"/>
          <w:sz w:val="13"/>
          <w:szCs w:val="13"/>
          <w:color w:val="auto"/>
        </w:rPr>
        <w:t>For the three months ended December 31, 2024, we invested $606.9 million in 11 new and 58 existing portfolio companies at a weighted average yield on debt investments of 10.3%. For the three months ended December 31, 2024, sales and repayments of investments totaled $401.3 million, including $187.7 million of sales to PSSL.</w:t>
      </w:r>
    </w:p>
    <w:p>
      <w:pPr>
        <w:spacing w:after="0" w:line="112" w:lineRule="exact"/>
        <w:rPr>
          <w:sz w:val="20"/>
          <w:szCs w:val="20"/>
          <w:color w:val="auto"/>
        </w:rPr>
      </w:pPr>
    </w:p>
    <w:p>
      <w:pPr>
        <w:ind w:right="100" w:firstLine="420"/>
        <w:spacing w:after="0" w:line="286" w:lineRule="auto"/>
        <w:rPr>
          <w:sz w:val="20"/>
          <w:szCs w:val="20"/>
          <w:color w:val="auto"/>
        </w:rPr>
      </w:pPr>
      <w:r>
        <w:rPr>
          <w:rFonts w:ascii="Times New Roman" w:cs="Times New Roman" w:eastAsia="Times New Roman" w:hAnsi="Times New Roman"/>
          <w:sz w:val="13"/>
          <w:szCs w:val="13"/>
          <w:color w:val="auto"/>
        </w:rPr>
        <w:t>For the three months ended December 31, 2023, we invested $302.6 million in 13 new and 34 existing portfolio companies at a weighted average yield on debt investments of 11.9%. For the three months ended December 31, 2023, sales and repayments of investments totaled $103.8 million, including $62.7 million of sales to PSSL.</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PennantPark Senior Secured Loan Fund I LLC</w:t>
      </w:r>
    </w:p>
    <w:p>
      <w:pPr>
        <w:spacing w:after="0" w:line="165" w:lineRule="exact"/>
        <w:rPr>
          <w:sz w:val="20"/>
          <w:szCs w:val="20"/>
          <w:color w:val="auto"/>
        </w:rPr>
      </w:pPr>
    </w:p>
    <w:p>
      <w:pPr>
        <w:ind w:right="20" w:firstLine="420"/>
        <w:spacing w:after="0" w:line="268" w:lineRule="auto"/>
        <w:rPr>
          <w:sz w:val="20"/>
          <w:szCs w:val="20"/>
          <w:color w:val="auto"/>
        </w:rPr>
      </w:pPr>
      <w:r>
        <w:rPr>
          <w:rFonts w:ascii="Times New Roman" w:cs="Times New Roman" w:eastAsia="Times New Roman" w:hAnsi="Times New Roman"/>
          <w:sz w:val="13"/>
          <w:szCs w:val="13"/>
          <w:color w:val="auto"/>
        </w:rPr>
        <w:t>As of December 31, 2024, PSSL’s portfolio totaled $1,046.2 million and consisted of 118 companies with an average investment size of $8.9 million and at a weighted average yield on debt investments of 10.8%. As of September 30, 2024, PSSL’s portfolio totaled $913.3 million, consisted of 109 companies with an average investment size of $8.4 million and at a weighted average yield on debt investments of 11.4%.</w:t>
      </w:r>
    </w:p>
    <w:p>
      <w:pPr>
        <w:spacing w:after="0" w:line="123" w:lineRule="exact"/>
        <w:rPr>
          <w:sz w:val="20"/>
          <w:szCs w:val="20"/>
          <w:color w:val="auto"/>
        </w:rPr>
      </w:pPr>
    </w:p>
    <w:p>
      <w:pPr>
        <w:ind w:right="80" w:firstLine="420"/>
        <w:spacing w:after="0" w:line="286" w:lineRule="auto"/>
        <w:rPr>
          <w:sz w:val="20"/>
          <w:szCs w:val="20"/>
          <w:color w:val="auto"/>
        </w:rPr>
      </w:pPr>
      <w:r>
        <w:rPr>
          <w:rFonts w:ascii="Times New Roman" w:cs="Times New Roman" w:eastAsia="Times New Roman" w:hAnsi="Times New Roman"/>
          <w:sz w:val="13"/>
          <w:szCs w:val="13"/>
          <w:color w:val="auto"/>
        </w:rPr>
        <w:t>For the three months ended December 31, 2024, PSSL invested $224.9 million (including $187.7 million purchased from the Company) in 17 new and eight existing portfolio companies at a weighted average yield on debt investments of 10.3%. Sales and repayments of investments for the three months ended December 31, 2024 totaled $86.6 million.</w:t>
      </w:r>
    </w:p>
    <w:p>
      <w:pPr>
        <w:spacing w:after="0" w:line="112" w:lineRule="exact"/>
        <w:rPr>
          <w:sz w:val="20"/>
          <w:szCs w:val="20"/>
          <w:color w:val="auto"/>
        </w:rPr>
      </w:pPr>
    </w:p>
    <w:p>
      <w:pPr>
        <w:ind w:right="180" w:firstLine="420"/>
        <w:spacing w:after="0" w:line="286" w:lineRule="auto"/>
        <w:rPr>
          <w:sz w:val="20"/>
          <w:szCs w:val="20"/>
          <w:color w:val="auto"/>
        </w:rPr>
      </w:pPr>
      <w:r>
        <w:rPr>
          <w:rFonts w:ascii="Times New Roman" w:cs="Times New Roman" w:eastAsia="Times New Roman" w:hAnsi="Times New Roman"/>
          <w:sz w:val="13"/>
          <w:szCs w:val="13"/>
          <w:color w:val="auto"/>
        </w:rPr>
        <w:t>For the three months ended December 31, 2023, PSSL invested $75.7 million (including $62.7 million purchased from the Company) in four new and nine existing portfolio companies at a weighted average yield on debt investments of 12.3%. For the three months ended December 31, 2023, sales and repayments of investments totaled $27.7 million</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290" w:right="70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3"/>
          <w:szCs w:val="13"/>
          <w:b w:val="1"/>
          <w:bCs w:val="1"/>
          <w:color w:val="auto"/>
        </w:rPr>
        <w:t>At-the-Market Offering</w:t>
      </w:r>
    </w:p>
    <w:p>
      <w:pPr>
        <w:spacing w:after="0" w:line="165" w:lineRule="exact"/>
        <w:rPr>
          <w:sz w:val="20"/>
          <w:szCs w:val="20"/>
          <w:color w:val="auto"/>
        </w:rPr>
      </w:pPr>
    </w:p>
    <w:p>
      <w:pPr>
        <w:ind w:firstLine="492"/>
        <w:spacing w:after="0" w:line="255" w:lineRule="auto"/>
        <w:rPr>
          <w:sz w:val="20"/>
          <w:szCs w:val="20"/>
          <w:color w:val="auto"/>
        </w:rPr>
      </w:pPr>
      <w:r>
        <w:rPr>
          <w:rFonts w:ascii="Times New Roman" w:cs="Times New Roman" w:eastAsia="Times New Roman" w:hAnsi="Times New Roman"/>
          <w:sz w:val="13"/>
          <w:szCs w:val="13"/>
          <w:color w:val="auto"/>
        </w:rPr>
        <w:t>On July 17, 2024, we entered into new equity distribution agreements with Citizens JMP Securities, LLC, Raymond James &amp; Associates, Inc. and Truist Securities, Inc. as the sales agents (the "Sale Agents"), (together, the "Equity Distribution Agreements") in connection with the sale of our shares of common stock, with an aggregate offering price of up to $500 million under an at-the-market offering program ("ATM Program") . The Equity Distribution agreements provide that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 The Investment Adviser may, from time to time, in its sole discretion, pay some or all of the commissions payable under the Equity Distribution Agreements or make additional supplemental payments to ensure that the sales price per share of our common stock in connection with all of the ATM Program offerings, net of any commissions of Sale Agents, will not be less than our then current NAV per share. Any such payments made by the Investment Adviser will not be subject to reimbursement by us. In connection with the entry into the Equity Distribution Agreements, the Company terminated the equity distribution agreements with each of Citizens JMP Securities LLC, Raymond James &amp; Associates, Inc. and Truist Securities, Inc. in connection with the Company’s prior $250 million ATM Program.</w:t>
      </w:r>
    </w:p>
    <w:p>
      <w:pPr>
        <w:spacing w:after="0" w:line="290" w:lineRule="exact"/>
        <w:rPr>
          <w:sz w:val="20"/>
          <w:szCs w:val="20"/>
          <w:color w:val="auto"/>
        </w:rPr>
      </w:pPr>
    </w:p>
    <w:p>
      <w:pPr>
        <w:jc w:val="both"/>
        <w:ind w:right="180" w:firstLine="420"/>
        <w:spacing w:after="0" w:line="268" w:lineRule="auto"/>
        <w:rPr>
          <w:sz w:val="20"/>
          <w:szCs w:val="20"/>
          <w:color w:val="auto"/>
        </w:rPr>
      </w:pPr>
      <w:r>
        <w:rPr>
          <w:rFonts w:ascii="Times New Roman" w:cs="Times New Roman" w:eastAsia="Times New Roman" w:hAnsi="Times New Roman"/>
          <w:sz w:val="13"/>
          <w:szCs w:val="13"/>
          <w:color w:val="auto"/>
        </w:rPr>
        <w:t>During the three months ended December 31, 2024 and 2023, we issued 7,276,000 and zero shares of common stock through the ATM Program at an average price of $11.30, raising $82.2 million of net proceeds after commissions to the sales agents and inclusive of proceeds from the Investment Adviser to ensure that all shares were sold at or above NAV, respectively. In connection with the share issuance, we expensed $0.1 million of deferred offering costs incurred related to establishing the ATM Program to additional paid in capital.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CRITICAL ACCOUNTING POLICIES AND ESTIMATES</w:t>
      </w:r>
    </w:p>
    <w:p>
      <w:pPr>
        <w:spacing w:after="0" w:line="165" w:lineRule="exact"/>
        <w:rPr>
          <w:sz w:val="20"/>
          <w:szCs w:val="20"/>
          <w:color w:val="auto"/>
        </w:rPr>
      </w:pPr>
    </w:p>
    <w:p>
      <w:pPr>
        <w:ind w:right="40" w:firstLine="420"/>
        <w:spacing w:after="0" w:line="255" w:lineRule="auto"/>
        <w:rPr>
          <w:sz w:val="20"/>
          <w:szCs w:val="20"/>
          <w:color w:val="auto"/>
        </w:rPr>
      </w:pPr>
      <w:r>
        <w:rPr>
          <w:rFonts w:ascii="Times New Roman" w:cs="Times New Roman" w:eastAsia="Times New Roman" w:hAnsi="Times New Roman"/>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 We discuss our critical accounting estimates in Management’s Discussion and Analysis of Financial Condition and Results of Operations in our 2024 Annual Report on Form 10-K. There have been no significant changes in our critical accounting estimates during the three months from those disclosed in our 2024 Annual Report on Form 10-K.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Valuations</w:t>
      </w:r>
    </w:p>
    <w:p>
      <w:pPr>
        <w:spacing w:after="0" w:line="167"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32"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12" w:lineRule="exact"/>
        <w:rPr>
          <w:sz w:val="20"/>
          <w:szCs w:val="20"/>
          <w:color w:val="auto"/>
        </w:rPr>
      </w:pPr>
    </w:p>
    <w:p>
      <w:pPr>
        <w:ind w:left="420" w:right="340"/>
        <w:spacing w:after="0" w:line="286" w:lineRule="auto"/>
        <w:rPr>
          <w:sz w:val="20"/>
          <w:szCs w:val="20"/>
          <w:color w:val="auto"/>
        </w:rPr>
      </w:pPr>
      <w:r>
        <w:rPr>
          <w:rFonts w:ascii="Times New Roman" w:cs="Times New Roman" w:eastAsia="Times New Roman" w:hAnsi="Times New Roman"/>
          <w:sz w:val="13"/>
          <w:szCs w:val="13"/>
          <w:color w:val="auto"/>
        </w:rPr>
        <w:t>(1)Our quarterly valuation process begins with each portfolio company or investment being initially valued by the investment professionals of our Investment Adviser responsible for the portfolio investment;</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(2)Preliminary valuation conclusions are then documented and discussed with the management of our Investment Adviser;</w:t>
      </w:r>
    </w:p>
    <w:p>
      <w:pPr>
        <w:spacing w:after="0" w:line="163" w:lineRule="exact"/>
        <w:rPr>
          <w:sz w:val="20"/>
          <w:szCs w:val="20"/>
          <w:color w:val="auto"/>
        </w:rPr>
      </w:pPr>
    </w:p>
    <w:p>
      <w:pPr>
        <w:ind w:left="420" w:right="180"/>
        <w:spacing w:after="0" w:line="268" w:lineRule="auto"/>
        <w:rPr>
          <w:sz w:val="20"/>
          <w:szCs w:val="20"/>
          <w:color w:val="auto"/>
        </w:rPr>
      </w:pPr>
      <w:r>
        <w:rPr>
          <w:rFonts w:ascii="Times New Roman" w:cs="Times New Roman" w:eastAsia="Times New Roman" w:hAnsi="Times New Roman"/>
          <w:sz w:val="13"/>
          <w:szCs w:val="13"/>
          <w:color w:val="auto"/>
        </w:rPr>
        <w:t>(3)Our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23" w:lineRule="exact"/>
        <w:rPr>
          <w:sz w:val="20"/>
          <w:szCs w:val="20"/>
          <w:color w:val="auto"/>
        </w:rPr>
      </w:pPr>
    </w:p>
    <w:p>
      <w:pPr>
        <w:ind w:left="420" w:right="140"/>
        <w:spacing w:after="0" w:line="268" w:lineRule="auto"/>
        <w:rPr>
          <w:sz w:val="20"/>
          <w:szCs w:val="20"/>
          <w:color w:val="auto"/>
        </w:rPr>
      </w:pPr>
      <w:r>
        <w:rPr>
          <w:rFonts w:ascii="Times New Roman" w:cs="Times New Roman" w:eastAsia="Times New Roman" w:hAnsi="Times New Roman"/>
          <w:sz w:val="13"/>
          <w:szCs w:val="13"/>
          <w:color w:val="auto"/>
        </w:rPr>
        <w:t>(4)The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23" w:lineRule="exact"/>
        <w:rPr>
          <w:sz w:val="20"/>
          <w:szCs w:val="20"/>
          <w:color w:val="auto"/>
        </w:rPr>
      </w:pPr>
    </w:p>
    <w:p>
      <w:pPr>
        <w:ind w:left="420" w:right="20"/>
        <w:spacing w:after="0" w:line="286" w:lineRule="auto"/>
        <w:rPr>
          <w:sz w:val="20"/>
          <w:szCs w:val="20"/>
          <w:color w:val="auto"/>
        </w:rPr>
      </w:pPr>
      <w:r>
        <w:rPr>
          <w:rFonts w:ascii="Times New Roman" w:cs="Times New Roman" w:eastAsia="Times New Roman" w:hAnsi="Times New Roman"/>
          <w:sz w:val="13"/>
          <w:szCs w:val="13"/>
          <w:color w:val="auto"/>
        </w:rPr>
        <w:t>(5)Our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12" w:lineRule="exact"/>
        <w:rPr>
          <w:sz w:val="20"/>
          <w:szCs w:val="20"/>
          <w:color w:val="auto"/>
        </w:rPr>
      </w:pPr>
    </w:p>
    <w:p>
      <w:pPr>
        <w:ind w:right="300" w:firstLine="420"/>
        <w:spacing w:after="0" w:line="262" w:lineRule="auto"/>
        <w:rPr>
          <w:sz w:val="20"/>
          <w:szCs w:val="20"/>
          <w:color w:val="auto"/>
        </w:rPr>
      </w:pPr>
      <w:r>
        <w:rPr>
          <w:rFonts w:ascii="Times New Roman" w:cs="Times New Roman" w:eastAsia="Times New Roman" w:hAnsi="Times New Roman"/>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88" w:right="680" w:bottom="1440" w:gutter="0" w:footer="0" w:header="0"/>
        </w:sectPr>
      </w:pPr>
    </w:p>
    <w:bookmarkStart w:id="52" w:name="page53"/>
    <w:bookmarkEnd w:id="52"/>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ASC 820 classifies the inputs used to measure these fair values into the following hierarchies: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Level 1: Inputs that are quoted prices (unadjusted) in active markets for identical assets or liabilities, accessible by us at the measurement date.</w:t>
      </w:r>
    </w:p>
    <w:p>
      <w:pPr>
        <w:spacing w:after="0" w:line="163" w:lineRule="exact"/>
        <w:rPr>
          <w:sz w:val="20"/>
          <w:szCs w:val="20"/>
          <w:color w:val="auto"/>
        </w:rPr>
      </w:pPr>
    </w:p>
    <w:p>
      <w:pPr>
        <w:ind w:left="740" w:right="360" w:hanging="347"/>
        <w:spacing w:after="0" w:line="286" w:lineRule="auto"/>
        <w:rPr>
          <w:sz w:val="20"/>
          <w:szCs w:val="20"/>
          <w:color w:val="auto"/>
        </w:rPr>
      </w:pPr>
      <w:r>
        <w:rPr>
          <w:rFonts w:ascii="Times New Roman" w:cs="Times New Roman" w:eastAsia="Times New Roman" w:hAnsi="Times New Roman"/>
          <w:sz w:val="13"/>
          <w:szCs w:val="13"/>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Level 3: Inputs that are unobservable for an asset or liability because they are based on our own assumptions about how market participants would price the asset or liability.</w:t>
      </w:r>
    </w:p>
    <w:p>
      <w:pPr>
        <w:spacing w:after="0" w:line="163"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A financial instrument’s categorization within the valuation hierarchy is based upon the lowest level of input that is significant to the fair value measurement. Generally, most of our investments, our 2031 Asset-Backed Debt, 2036 Asset-Backed Debt, 2036-R Asset-Backed Debt, and our Credit Facility are classified as Level 3. Our 2026 Notes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27" w:lineRule="exact"/>
        <w:rPr>
          <w:sz w:val="20"/>
          <w:szCs w:val="20"/>
          <w:color w:val="auto"/>
        </w:rPr>
      </w:pPr>
    </w:p>
    <w:p>
      <w:pPr>
        <w:ind w:right="60" w:firstLine="420"/>
        <w:spacing w:after="0" w:line="257" w:lineRule="auto"/>
        <w:rPr>
          <w:sz w:val="20"/>
          <w:szCs w:val="20"/>
          <w:color w:val="auto"/>
        </w:rPr>
      </w:pPr>
      <w:r>
        <w:rPr>
          <w:rFonts w:ascii="Times New Roman" w:cs="Times New Roman" w:eastAsia="Times New Roman" w:hAnsi="Times New Roman"/>
          <w:sz w:val="13"/>
          <w:szCs w:val="13"/>
          <w:color w:val="auto"/>
        </w:rPr>
        <w:t>On December 3, 2020, the SEC adopted Rule 2a -5 under the 1940 Act, which establishes an updated regulatory framework for determining fair value in good faith for purposes of the 1940 Act. The new rule clarifies how fund boards of directors can satisfy their valuation obligations and requires, among other things, the boards of directors to periodically assess material valuation risks and take steps to manage those risks. The rule also permits boards of directors, subject to board oversight and certain other conditions, to designate the fund’s investment adviser to perform fair value determinations. The new rule went into effect on March 8, 2021 and had a compliance date of September 8, 2022. We came into compliance with Rule 2a-5 under the 1940 Act before the compliance date. While our board of directors has not elected to designate the Investment Adviser as the valuation designee at this time, we have adopted certain revisions to our valuation policies and procedures in order comply with the applicable requirements of Rule 2a-5 under the 1940 Act.</w:t>
      </w:r>
    </w:p>
    <w:p>
      <w:pPr>
        <w:spacing w:after="0" w:line="132" w:lineRule="exact"/>
        <w:rPr>
          <w:sz w:val="20"/>
          <w:szCs w:val="20"/>
          <w:color w:val="auto"/>
        </w:rPr>
      </w:pPr>
    </w:p>
    <w:p>
      <w:pPr>
        <w:ind w:right="120" w:firstLine="420"/>
        <w:spacing w:after="0" w:line="268" w:lineRule="auto"/>
        <w:rPr>
          <w:sz w:val="20"/>
          <w:szCs w:val="20"/>
          <w:color w:val="auto"/>
        </w:rPr>
      </w:pPr>
      <w:r>
        <w:rPr>
          <w:rFonts w:ascii="Times New Roman" w:cs="Times New Roman" w:eastAsia="Times New Roman" w:hAnsi="Times New Roman"/>
          <w:sz w:val="13"/>
          <w:szCs w:val="13"/>
          <w:color w:val="auto"/>
        </w:rPr>
        <w:t>In addition to using the above inputs to value cash equivalents, investments, our 2026 Notes, our 2031 Asset-Backed Debt, our 2036 Asset-Backed Debt, our 2036-R Asset-Backed Debt, and our Credit Facility,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23" w:lineRule="exact"/>
        <w:rPr>
          <w:sz w:val="20"/>
          <w:szCs w:val="20"/>
          <w:color w:val="auto"/>
        </w:rPr>
      </w:pPr>
    </w:p>
    <w:p>
      <w:pPr>
        <w:ind w:firstLine="420"/>
        <w:spacing w:after="0" w:line="255" w:lineRule="auto"/>
        <w:rPr>
          <w:sz w:val="20"/>
          <w:szCs w:val="20"/>
          <w:color w:val="auto"/>
        </w:rPr>
      </w:pPr>
      <w:r>
        <w:rPr>
          <w:rFonts w:ascii="Times New Roman" w:cs="Times New Roman" w:eastAsia="Times New Roman" w:hAnsi="Times New Roman"/>
          <w:sz w:val="13"/>
          <w:szCs w:val="13"/>
          <w:color w:val="auto"/>
        </w:rPr>
        <w:t>Generally, the carrying value of our consolidated financial liabilities approximates fair value. We have adopted the principles ASC Subtopic 825-10, Financial Instruments, or ASC 825 -10, which provides companies with an option to report selected financial assets and liabilities at fair value, and made an irrevocable election to apply ASC 825-10 to the Credit Facility. We elected to use the fair value option for the Credit Facility and the 2023 Notes to align the measurement attributes of both our assets and liabilities while mitigating volatility in earnings from using different measurement attributes. Due to that election and in accordance with GAAP, we did not incur any expenses relating to amendment costs on the Credit Facility during the three months ended December 31, 2024 and 2023,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including the 2026 Notes, 2031 Asset-Backed Debt, 2036 Asset-Backed Debt, and the 2036-R Asset-Backed Debt.</w:t>
      </w:r>
    </w:p>
    <w:p>
      <w:pPr>
        <w:spacing w:after="0" w:line="290" w:lineRule="exact"/>
        <w:rPr>
          <w:sz w:val="20"/>
          <w:szCs w:val="20"/>
          <w:color w:val="auto"/>
        </w:rPr>
      </w:pPr>
    </w:p>
    <w:p>
      <w:pPr>
        <w:ind w:right="100" w:firstLine="420"/>
        <w:spacing w:after="0" w:line="259" w:lineRule="auto"/>
        <w:rPr>
          <w:sz w:val="20"/>
          <w:szCs w:val="20"/>
          <w:color w:val="auto"/>
        </w:rPr>
      </w:pPr>
      <w:r>
        <w:rPr>
          <w:rFonts w:ascii="Times New Roman" w:cs="Times New Roman" w:eastAsia="Times New Roman" w:hAnsi="Times New Roman"/>
          <w:sz w:val="13"/>
          <w:szCs w:val="13"/>
          <w:color w:val="auto"/>
        </w:rPr>
        <w:t>For the three months ended December 31, 2024, the Credit Facility had a net change in unrealized appreciation (depreciation) of $0.1 million. For the three months ended December 31, 2023, the Credit Facility had a net change in unrealized appreciation (depreciation) of less than $(0.1) million. As of December 31, 2024 and September 30, 2024, the net unrealized appreciation (depreciation) on the Credit Facility totaled approximately $0.1 million and zero, respectively. We use a nationally recognized independent valuation service to measure the fair value of the Credit Facility in a manner consistent with the valuation process that our board of directors uses to value our investments. Our 2023 Notes traded on the TASE and were fully paid off during in December 2023.</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On February 7, 2024, the Company filed a notice with the Israel Securities Authority and “TASE” voluntarily requesting to delist the Company’s common stock from trading on the TASE.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last day of trading on the TASE was May 6, 2024 and the delisting of the Company’s common stock from the TASE took effect on May 8,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Revenue Recognition</w:t>
      </w:r>
    </w:p>
    <w:p>
      <w:pPr>
        <w:spacing w:after="0" w:line="167" w:lineRule="exact"/>
        <w:rPr>
          <w:sz w:val="20"/>
          <w:szCs w:val="20"/>
          <w:color w:val="auto"/>
        </w:rPr>
      </w:pPr>
    </w:p>
    <w:p>
      <w:pPr>
        <w:ind w:right="80" w:firstLine="420"/>
        <w:spacing w:after="0" w:line="256" w:lineRule="auto"/>
        <w:rPr>
          <w:sz w:val="20"/>
          <w:szCs w:val="20"/>
          <w:color w:val="auto"/>
        </w:rPr>
      </w:pPr>
      <w:r>
        <w:rPr>
          <w:rFonts w:ascii="Times New Roman" w:cs="Times New Roman" w:eastAsia="Times New Roman" w:hAnsi="Times New Roman"/>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may or may not be non-recurring in nature. Such fees include loan prepayment penalties, structuring fees, amendment fees and agency fees, and are recorded as other investment income when earned.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Realized Gains or Losses and Net Change in Unrealized Appreciation or Depreciation</w:t>
      </w:r>
    </w:p>
    <w:p>
      <w:pPr>
        <w:spacing w:after="0" w:line="167"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our Credit Facility, during the reporting period, including any reversal of previously recorded unrealized appreciation or depreciation, when gains or losses are realized.</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90" w:right="66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3"/>
          <w:szCs w:val="13"/>
          <w:b w:val="1"/>
          <w:bCs w:val="1"/>
          <w:i w:val="1"/>
          <w:iCs w:val="1"/>
          <w:color w:val="auto"/>
        </w:rPr>
        <w:t>Foreign Currency Translation</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books and records are maintained in U.S. dollars. Any foreign currency amounts are translated into U.S. dollars on the following basis: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1.Fair value of investment securities, other assets and liabilities – at the exchange rates prevailing at the end of the applicable period; and</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2.Purchases and sales of investment securities, income and expenses – at the exchange rates prevailing on the respective dates of such transactions.</w:t>
      </w:r>
    </w:p>
    <w:p>
      <w:pPr>
        <w:spacing w:after="0" w:line="163" w:lineRule="exact"/>
        <w:rPr>
          <w:sz w:val="20"/>
          <w:szCs w:val="20"/>
          <w:color w:val="auto"/>
        </w:rPr>
      </w:pPr>
    </w:p>
    <w:p>
      <w:pPr>
        <w:ind w:right="160" w:firstLine="420"/>
        <w:spacing w:after="0" w:line="268" w:lineRule="auto"/>
        <w:rPr>
          <w:sz w:val="20"/>
          <w:szCs w:val="20"/>
          <w:color w:val="auto"/>
        </w:rPr>
      </w:pPr>
      <w:r>
        <w:rPr>
          <w:rFonts w:ascii="Times New Roman" w:cs="Times New Roman" w:eastAsia="Times New Roman" w:hAnsi="Times New Roman"/>
          <w:sz w:val="13"/>
          <w:szCs w:val="13"/>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Payment -in-kind, or PIK Interest</w:t>
      </w:r>
    </w:p>
    <w:p>
      <w:pPr>
        <w:spacing w:after="0" w:line="167" w:lineRule="exact"/>
        <w:rPr>
          <w:sz w:val="20"/>
          <w:szCs w:val="20"/>
          <w:color w:val="auto"/>
        </w:rPr>
      </w:pPr>
    </w:p>
    <w:p>
      <w:pPr>
        <w:ind w:right="180" w:firstLine="420"/>
        <w:spacing w:after="0" w:line="268" w:lineRule="auto"/>
        <w:rPr>
          <w:sz w:val="20"/>
          <w:szCs w:val="20"/>
          <w:color w:val="auto"/>
        </w:rPr>
      </w:pPr>
      <w:r>
        <w:rPr>
          <w:rFonts w:ascii="Times New Roman" w:cs="Times New Roman" w:eastAsia="Times New Roman" w:hAnsi="Times New Roman"/>
          <w:sz w:val="13"/>
          <w:szCs w:val="13"/>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federal income tax purposes, even though we may not have collected any cash with respect to interest on PIK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Federal Income Taxes</w:t>
      </w:r>
    </w:p>
    <w:p>
      <w:pPr>
        <w:spacing w:after="0" w:line="167"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27"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on which we did not incur any corporate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32" w:lineRule="exact"/>
        <w:rPr>
          <w:sz w:val="20"/>
          <w:szCs w:val="20"/>
          <w:color w:val="auto"/>
        </w:rPr>
      </w:pPr>
    </w:p>
    <w:p>
      <w:pPr>
        <w:ind w:right="340" w:firstLine="420"/>
        <w:spacing w:after="0" w:line="268" w:lineRule="auto"/>
        <w:rPr>
          <w:sz w:val="20"/>
          <w:szCs w:val="20"/>
          <w:color w:val="auto"/>
        </w:rPr>
      </w:pPr>
      <w:r>
        <w:rPr>
          <w:rFonts w:ascii="Times New Roman" w:cs="Times New Roman" w:eastAsia="Times New Roman" w:hAnsi="Times New Roman"/>
          <w:sz w:val="13"/>
          <w:szCs w:val="13"/>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23" w:lineRule="exact"/>
        <w:rPr>
          <w:sz w:val="20"/>
          <w:szCs w:val="20"/>
          <w:color w:val="auto"/>
        </w:rPr>
      </w:pPr>
    </w:p>
    <w:p>
      <w:pPr>
        <w:ind w:right="360" w:firstLine="453"/>
        <w:spacing w:after="0" w:line="286" w:lineRule="auto"/>
        <w:rPr>
          <w:sz w:val="20"/>
          <w:szCs w:val="20"/>
          <w:color w:val="auto"/>
        </w:rPr>
      </w:pPr>
      <w:r>
        <w:rPr>
          <w:rFonts w:ascii="Times New Roman" w:cs="Times New Roman" w:eastAsia="Times New Roman" w:hAnsi="Times New Roman"/>
          <w:sz w:val="13"/>
          <w:szCs w:val="13"/>
          <w:color w:val="auto"/>
        </w:rPr>
        <w:t>For the three months ended December 31, 2024, we recorded a provision for taxes on net investment income of $0.2 million pertaining to federal excise tax. For the three months ended December 31, 2023, we recorded a provision for taxes on net investment income of $0.2 million pertaining to federal excise tax.</w:t>
      </w:r>
    </w:p>
    <w:p>
      <w:pPr>
        <w:spacing w:after="0" w:line="112" w:lineRule="exact"/>
        <w:rPr>
          <w:sz w:val="20"/>
          <w:szCs w:val="20"/>
          <w:color w:val="auto"/>
        </w:rPr>
      </w:pPr>
    </w:p>
    <w:p>
      <w:pPr>
        <w:ind w:right="120" w:firstLine="420"/>
        <w:spacing w:after="0" w:line="259" w:lineRule="auto"/>
        <w:rPr>
          <w:sz w:val="20"/>
          <w:szCs w:val="20"/>
          <w:color w:val="auto"/>
        </w:rPr>
      </w:pPr>
      <w:r>
        <w:rPr>
          <w:rFonts w:ascii="Times New Roman" w:cs="Times New Roman" w:eastAsia="Times New Roman" w:hAnsi="Times New Roman"/>
          <w:sz w:val="13"/>
          <w:szCs w:val="13"/>
          <w:color w:val="auto"/>
        </w:rPr>
        <w:t>On February 4, 2022, we formed PFLT Investment Holdings II, LLC, a Delaware limited liability company (“Holdings II”), as a wholly owned subsidiary. On December 31, 2022, we contributed 100% of our interests in PFLT Investment Holdings, LLC ( “Holdings”) to Holdings II. Effective as of January 1, 2024, Holdings II elected to be treated as a corporation for U.S. federal income tax purposes. On January 3, 2024, we purchased an equity interest in Holdings from Holdings II and Holdings became a partnership for U.S. federal income tax purposes. The company and Holdings II entered into a limited liability company agreement with respect to Holdings that provides for certain payments and the sharing of income, gain, loss and deductions attributable to Holdings’ investments.</w:t>
      </w:r>
    </w:p>
    <w:p>
      <w:pPr>
        <w:spacing w:after="0" w:line="130" w:lineRule="exact"/>
        <w:rPr>
          <w:sz w:val="20"/>
          <w:szCs w:val="20"/>
          <w:color w:val="auto"/>
        </w:rPr>
      </w:pPr>
    </w:p>
    <w:p>
      <w:pPr>
        <w:ind w:firstLine="420"/>
        <w:spacing w:after="0" w:line="255" w:lineRule="auto"/>
        <w:rPr>
          <w:sz w:val="20"/>
          <w:szCs w:val="20"/>
          <w:color w:val="auto"/>
        </w:rPr>
      </w:pPr>
      <w:r>
        <w:rPr>
          <w:rFonts w:ascii="Times New Roman" w:cs="Times New Roman" w:eastAsia="Times New Roman" w:hAnsi="Times New Roman"/>
          <w:sz w:val="13"/>
          <w:szCs w:val="13"/>
          <w:color w:val="auto"/>
        </w:rPr>
        <w:t>For the three months ended December 31, 2024, the Company recognized a provision for taxes of $0.6 million on unrealized appreciation (depreciation) on investments by the Taxable Subsidiary. For the three months ended December 31, 2023, the Company recognized a provision reduction for taxes of zero on unrealized appreciation (depreciation) on investments by the Taxable Subsidiary. The provision for taxes on unrealized appreciation (depreciation) on investments is the result of netting (i) the expected tax liability on gains from sales of investments and (ii) the expected tax benefit from the use of losses in the current year. As of December 31, 2024 and September 30, 2024, $1.1 million and $1.7 million, respectively, was accrued as a deferred tax liability on the Consolidated Statements of Assets and Liabilities relating to unrealized gain on investments held by the Taxable Subsidiary. For the three months ended December 31, 2024 and 2023, $0.1 million and zero, respectively, was accrued as a provision for taxes on the Consolidated Statements of Operations relating to realized gain on investments held by the Taxable Subsidiary. During the three months ended December 31, 2024, the Company paid zero in taxes on realized gains on the sale of investments held by the Taxable Subsidiary. During the three months ended December 31, 2023, the Company paid zero in taxes on realized gains on the sale of investments held by the Taxable Subsidiary.</w:t>
      </w:r>
    </w:p>
    <w:p>
      <w:pPr>
        <w:spacing w:after="0" w:line="134" w:lineRule="exact"/>
        <w:rPr>
          <w:sz w:val="20"/>
          <w:szCs w:val="20"/>
          <w:color w:val="auto"/>
        </w:rPr>
      </w:pPr>
    </w:p>
    <w:p>
      <w:pPr>
        <w:ind w:right="100" w:firstLine="420"/>
        <w:spacing w:after="0" w:line="268" w:lineRule="auto"/>
        <w:rPr>
          <w:sz w:val="20"/>
          <w:szCs w:val="20"/>
          <w:color w:val="auto"/>
        </w:rPr>
      </w:pPr>
      <w:r>
        <w:rPr>
          <w:rFonts w:ascii="Times New Roman" w:cs="Times New Roman" w:eastAsia="Times New Roman" w:hAnsi="Times New Roman"/>
          <w:sz w:val="13"/>
          <w:szCs w:val="13"/>
          <w:color w:val="auto"/>
        </w:rPr>
        <w:t>We operate in a manner to maintain our election to be subject to tax as a RIC and to eliminate corporate-level U.S. federal income tax (other than the 4% excise tax) by distributing sufficient investment company taxable income and capital gain net income (if any). As a result, we will have an effective tax rate equal to 0% before the excise tax and income taxes incurred by the Taxable Subsidiary. As such, a reconciliation of the differences between our reported income tax expense and its tax expense at the federal statutory rate of 21% is not meaningful.</w:t>
      </w:r>
    </w:p>
    <w:p>
      <w:pPr>
        <w:spacing w:after="0" w:line="123" w:lineRule="exact"/>
        <w:rPr>
          <w:sz w:val="20"/>
          <w:szCs w:val="20"/>
          <w:color w:val="auto"/>
        </w:rPr>
      </w:pPr>
    </w:p>
    <w:p>
      <w:pPr>
        <w:ind w:right="240" w:firstLine="420"/>
        <w:spacing w:after="0" w:line="286" w:lineRule="auto"/>
        <w:rPr>
          <w:sz w:val="20"/>
          <w:szCs w:val="20"/>
          <w:color w:val="auto"/>
        </w:rPr>
      </w:pPr>
      <w:r>
        <w:rPr>
          <w:rFonts w:ascii="Times New Roman" w:cs="Times New Roman" w:eastAsia="Times New Roman" w:hAnsi="Times New Roman"/>
          <w:sz w:val="13"/>
          <w:szCs w:val="13"/>
          <w:color w:val="auto"/>
        </w:rPr>
        <w:t>We have formed and expect to continue to form certain taxable subsidiaries, including the Taxable Subsidiary, which are taxed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286" w:right="70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3"/>
          <w:szCs w:val="13"/>
          <w:b w:val="1"/>
          <w:bCs w:val="1"/>
          <w:color w:val="auto"/>
        </w:rPr>
        <w:t>RESULTS OF OPERATIONS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Set forth below are the results of operations for the three months ended December 31, 2024 and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Income</w:t>
      </w:r>
    </w:p>
    <w:p>
      <w:pPr>
        <w:spacing w:after="0" w:line="167" w:lineRule="exact"/>
        <w:rPr>
          <w:sz w:val="20"/>
          <w:szCs w:val="20"/>
          <w:color w:val="auto"/>
        </w:rPr>
      </w:pPr>
    </w:p>
    <w:p>
      <w:pPr>
        <w:ind w:right="180" w:firstLine="420"/>
        <w:spacing w:after="0" w:line="268" w:lineRule="auto"/>
        <w:rPr>
          <w:sz w:val="20"/>
          <w:szCs w:val="20"/>
          <w:color w:val="auto"/>
        </w:rPr>
      </w:pPr>
      <w:r>
        <w:rPr>
          <w:rFonts w:ascii="Times New Roman" w:cs="Times New Roman" w:eastAsia="Times New Roman" w:hAnsi="Times New Roman"/>
          <w:sz w:val="13"/>
          <w:szCs w:val="13"/>
          <w:color w:val="auto"/>
        </w:rPr>
        <w:t>For the three months ended December 31, 2024, investment income was $67.0 million, which was attributable to $61.0 million from first lien secured debt and $6.0 million from other investments. For the three months ended December 31, 2023, investment income was $38.0 million, which was attributable to $ 33.2 million from first lien secured debt and $4.8 million from other investments. The increase in investment income compared to the same period in the prior year was primarily due to the increase in the size of our debt portfolio.</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Expenses</w:t>
      </w:r>
    </w:p>
    <w:p>
      <w:pPr>
        <w:spacing w:after="0" w:line="167" w:lineRule="exact"/>
        <w:rPr>
          <w:sz w:val="20"/>
          <w:szCs w:val="20"/>
          <w:color w:val="auto"/>
        </w:rPr>
      </w:pPr>
    </w:p>
    <w:p>
      <w:pPr>
        <w:ind w:right="40" w:firstLine="420"/>
        <w:spacing w:after="0" w:line="259" w:lineRule="auto"/>
        <w:rPr>
          <w:sz w:val="20"/>
          <w:szCs w:val="20"/>
          <w:color w:val="auto"/>
        </w:rPr>
      </w:pPr>
      <w:r>
        <w:rPr>
          <w:rFonts w:ascii="Times New Roman" w:cs="Times New Roman" w:eastAsia="Times New Roman" w:hAnsi="Times New Roman"/>
          <w:sz w:val="13"/>
          <w:szCs w:val="13"/>
          <w:color w:val="auto"/>
        </w:rPr>
        <w:t>For the three months ended December 31, 2024, expenses totaled $ 37.0 million and were comprised of: $22.4 million of debt related interest and expenses, $5.3 million of base management fees, $7.5 million of performance-based incentive fees, and $ 1.7 million of general and administrative expenses and $0.2 million of taxes. For the three months ended December 31, 2023, expenses totaled $18.5 million and were comprised of; $8.9 million of debt related interest and expenses, $3.0 million of base management fee, $4.9 million of performance-based incentive fee, $1.6 million of general and administrative expenses and $0.2 million of taxes. The increase in expenses compared to the same period in the prior year was primarily due to the increase in interest expense from increased borrowings and an increase in base management fee and incentive fee as a result of the increase in our investment portfolio.</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Investment Income</w:t>
      </w:r>
    </w:p>
    <w:p>
      <w:pPr>
        <w:spacing w:after="0" w:line="167" w:lineRule="exact"/>
        <w:rPr>
          <w:sz w:val="20"/>
          <w:szCs w:val="20"/>
          <w:color w:val="auto"/>
        </w:rPr>
      </w:pPr>
    </w:p>
    <w:p>
      <w:pPr>
        <w:ind w:right="380" w:firstLine="420"/>
        <w:spacing w:after="0" w:line="286" w:lineRule="auto"/>
        <w:rPr>
          <w:sz w:val="20"/>
          <w:szCs w:val="20"/>
          <w:color w:val="auto"/>
        </w:rPr>
      </w:pPr>
      <w:r>
        <w:rPr>
          <w:rFonts w:ascii="Times New Roman" w:cs="Times New Roman" w:eastAsia="Times New Roman" w:hAnsi="Times New Roman"/>
          <w:sz w:val="13"/>
          <w:szCs w:val="13"/>
          <w:color w:val="auto"/>
        </w:rPr>
        <w:t>For the three months ended December 31, 2024, net investment income totaled $30.0 million or $0.37 per share. For the three months ended December 31, 2023, net investment income totaled $19.4 million or $0.33 per share. The increase in net investment income was primarily due to an increase in investment income partially offset by an increase in expenses.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Realized Gains or Losses</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For the three months ended December 31, 2024, net realized gains (losses) totaled $26.7 million. For the three months ended December 31, 2023, net realized (losses) totaled $(3.1) million.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change in net realized gains (losses) was primarily due to changes in the market conditions of our investments and the values at which they were realized.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Unrealized Appreciation or Depreciation on Investments and Debt</w:t>
      </w:r>
    </w:p>
    <w:p>
      <w:pPr>
        <w:spacing w:after="0" w:line="323" w:lineRule="exact"/>
        <w:rPr>
          <w:sz w:val="20"/>
          <w:szCs w:val="20"/>
          <w:color w:val="auto"/>
        </w:rPr>
      </w:pPr>
    </w:p>
    <w:p>
      <w:pPr>
        <w:ind w:right="60" w:firstLine="336"/>
        <w:spacing w:after="0" w:line="262" w:lineRule="auto"/>
        <w:rPr>
          <w:sz w:val="20"/>
          <w:szCs w:val="20"/>
          <w:color w:val="auto"/>
        </w:rPr>
      </w:pPr>
      <w:r>
        <w:rPr>
          <w:rFonts w:ascii="Times New Roman" w:cs="Times New Roman" w:eastAsia="Times New Roman" w:hAnsi="Times New Roman"/>
          <w:sz w:val="13"/>
          <w:szCs w:val="13"/>
          <w:color w:val="auto"/>
        </w:rPr>
        <w:t>For the three months ended December 31, 2024, we reported net change in unrealized appreciation (depreciation) on investments of $(29.0) million. For the three months ended December 31, 2023, we reported net change in unrealized appreciation (depreciation) on investments of $6.2 million. As of December 31, 2024 and September 30, 2024, our net unrealized appreciation (depreciation) on investments totaled $(40.4) million and $(11.4) million, respectively. The net change in unrealized appreciation (depreciation) on our investments was primarily due to the operating performance of the portfolio companies within our portfolio, changes in the capital market conditions of our investments and realization of investments.</w:t>
      </w:r>
    </w:p>
    <w:p>
      <w:pPr>
        <w:spacing w:after="0" w:line="127" w:lineRule="exact"/>
        <w:rPr>
          <w:sz w:val="20"/>
          <w:szCs w:val="20"/>
          <w:color w:val="auto"/>
        </w:rPr>
      </w:pPr>
    </w:p>
    <w:p>
      <w:pPr>
        <w:ind w:firstLine="420"/>
        <w:spacing w:after="0" w:line="265" w:lineRule="auto"/>
        <w:rPr>
          <w:sz w:val="20"/>
          <w:szCs w:val="20"/>
          <w:color w:val="auto"/>
        </w:rPr>
      </w:pPr>
      <w:r>
        <w:rPr>
          <w:rFonts w:ascii="Times New Roman" w:cs="Times New Roman" w:eastAsia="Times New Roman" w:hAnsi="Times New Roman"/>
          <w:sz w:val="13"/>
          <w:szCs w:val="13"/>
          <w:color w:val="auto"/>
        </w:rPr>
        <w:t>For the three months ended December 31, 2024, our Credit Facility had a net change in unrealized appreciation (depreciation) of $0.1 million. For the three months ended December 31, 2023, our Credit Facility had a net change in unrealized appreciation (depreciation) of less than $(0.1) million. As of December 31, 2024 and September 30, 2024, the net unrealized appreciation (depreciation) on the Credit Facility totaled approximately $0.1 million and zero, respectively. The net change in net unrealized (appreciation) or depreciation was primarily due to changes in the capital markets.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Change in Net Assets Resulting from Operations</w:t>
      </w:r>
    </w:p>
    <w:p>
      <w:pPr>
        <w:spacing w:after="0" w:line="167"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For the three months ended December 31, 2024, net increase (decrease) in net assets resulting from operations totaled $28.3 million or $0.35 per share. For the three months ended December 31, 2023, net increase (decrease) in net assets resulting from operations totaled $22.5 million or $0.38 per share. The net increase or (decrease) from operations compared to the same period in the prior year was primarily due to operating performance of our portfolio and changes in capital market conditions of our investments along with change in size and cost yield of our debt portfolio and costs of financing.</w:t>
      </w: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color w:val="auto"/>
        </w:rPr>
        <w:t>LIQUIDITY AND CAPITAL RESOURCES</w:t>
      </w:r>
    </w:p>
    <w:p>
      <w:pPr>
        <w:spacing w:after="0" w:line="165"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Our liquidity and capital resources are derived primarily from cash flows from operations, including income earned, proceeds from investment sales and repayments, and proceeds of securities offerings and debt financings. Our primary use of funds from operations includes investments in portfolio companies and payments of fees and other operating expenses we incur. We have used, and expect to continue to use, our debt capital, proceeds from our portfolio and proceeds from public and private offerings of securities to finance our investment objectives and operations. As of December 31, 2024, in accordance with the 1940 Act, with certain limited exceptions, we are only allowed to borrow amounts such that we are in compliance with a 150% asset coverage ratio requirement after such borrowing.</w:t>
      </w:r>
    </w:p>
    <w:p>
      <w:pPr>
        <w:spacing w:after="0" w:line="130" w:lineRule="exact"/>
        <w:rPr>
          <w:sz w:val="20"/>
          <w:szCs w:val="20"/>
          <w:color w:val="auto"/>
        </w:rPr>
      </w:pPr>
    </w:p>
    <w:p>
      <w:pPr>
        <w:ind w:right="80" w:firstLine="420"/>
        <w:spacing w:after="0" w:line="262" w:lineRule="auto"/>
        <w:rPr>
          <w:sz w:val="20"/>
          <w:szCs w:val="20"/>
          <w:color w:val="auto"/>
        </w:rPr>
      </w:pPr>
      <w:r>
        <w:rPr>
          <w:rFonts w:ascii="Times New Roman" w:cs="Times New Roman" w:eastAsia="Times New Roman" w:hAnsi="Times New Roman"/>
          <w:sz w:val="13"/>
          <w:szCs w:val="13"/>
          <w:color w:val="auto"/>
        </w:rPr>
        <w:t>On April 5, 2018, our board of directors approved the application of the modified asset coverage requirements set forth in Section 61(a)(2) of the 1940 Act, as amended by the Consolidated Appropriations Act of 2018 (which includes the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December 31, 2024 and September 30, 2024, our asset coverage ratio, as computed in accordance with the 1940 Act, was 171% and 174%, respectively.</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288" w:right="700" w:bottom="1440" w:gutter="0" w:footer="0" w:header="0"/>
        </w:sectPr>
      </w:pPr>
    </w:p>
    <w:bookmarkStart w:id="55" w:name="page56"/>
    <w:bookmarkEnd w:id="55"/>
    <w:p>
      <w:pPr>
        <w:ind w:right="60" w:firstLine="420"/>
        <w:spacing w:after="0" w:line="268" w:lineRule="auto"/>
        <w:rPr>
          <w:sz w:val="20"/>
          <w:szCs w:val="20"/>
          <w:color w:val="auto"/>
        </w:rPr>
      </w:pPr>
      <w:r>
        <w:rPr>
          <w:rFonts w:ascii="Times New Roman" w:cs="Times New Roman" w:eastAsia="Times New Roman" w:hAnsi="Times New Roman"/>
          <w:sz w:val="13"/>
          <w:szCs w:val="13"/>
          <w:color w:val="auto"/>
        </w:rPr>
        <w:t>For the three months ended December 31, 2024 and 2023, the annualized weighted average cost of debt, inclusive of the fee on the undrawn commitment on the Credit Facility, amendment costs and debt issuance costs, was 7.0% and 6.8%, respectively. As of December 31, 2024 and September 30, 2024, we had $127.1 million and $192.1 million of unused borrowing capacity under the Credit Facility, respectively, subject to leverage and borrowing base restrictions.</w:t>
      </w:r>
    </w:p>
    <w:p>
      <w:pPr>
        <w:spacing w:after="0" w:line="123"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Funding I’s multi-currency Credit Facility with the Lenders was $736.0 million (increased from $636 million in December 2024) as of December 31, 2024 subject to satisfaction of certain conditions and regulatory restrictions that the 1940 Act imposes on us as a BDC, has an interest rate spread above SOFR (or an alternative risk-free floating interest rate index) of 225 basis points, a maturity date of August 2029 and a revolving period that ends in August 2027. As of December 31, 2024 and September 30, 2024, PennantPark Floating Rate Funding I, LLC, our wholly -owned subsidiary, borrowed $608.9 million and $ 443.9 million under the Credit Facility, respectively, and the weighted average interest rate, exclusive of the fee on undrawn commitments, was of 6.8% and 7.5%, respectively, exclusive of the fee on undrawn commitments.</w:t>
      </w:r>
    </w:p>
    <w:p>
      <w:pPr>
        <w:spacing w:after="0" w:line="130"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During the revolving period, the Credit Facility bears interest at SOFR (or an alternative risk- free floating interest rate index) plus 225 basis points and, after the revolving period, the rate will reset to Base Rate (or an alternative risk- free floating interest rate index) plus 250 basis points for the remaining two years, maturing in August 2029.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27"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December 31, 2024, we were in compliance with the covenants relating to our Credit Facility.</w:t>
      </w:r>
    </w:p>
    <w:p>
      <w:pPr>
        <w:spacing w:after="0" w:line="127" w:lineRule="exact"/>
        <w:rPr>
          <w:sz w:val="20"/>
          <w:szCs w:val="20"/>
          <w:color w:val="auto"/>
        </w:rPr>
      </w:pPr>
    </w:p>
    <w:p>
      <w:pPr>
        <w:ind w:right="180" w:firstLine="420"/>
        <w:spacing w:after="0" w:line="286" w:lineRule="auto"/>
        <w:rPr>
          <w:sz w:val="20"/>
          <w:szCs w:val="20"/>
          <w:color w:val="auto"/>
        </w:rPr>
      </w:pPr>
      <w:r>
        <w:rPr>
          <w:rFonts w:ascii="Times New Roman" w:cs="Times New Roman" w:eastAsia="Times New Roman" w:hAnsi="Times New Roman"/>
          <w:sz w:val="13"/>
          <w:szCs w:val="13"/>
          <w:color w:val="auto"/>
        </w:rPr>
        <w:t>We own 100% of the equity interest in Funding I and treat the indebtedness of Funding I as our leverage. Our Investment Adviser serves as collateral manager to Funding I under the Credit Facility.</w:t>
      </w:r>
    </w:p>
    <w:p>
      <w:pPr>
        <w:spacing w:after="0" w:line="112"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130" w:lineRule="exact"/>
        <w:rPr>
          <w:sz w:val="20"/>
          <w:szCs w:val="20"/>
          <w:color w:val="auto"/>
        </w:rPr>
      </w:pPr>
    </w:p>
    <w:p>
      <w:pPr>
        <w:ind w:right="140" w:firstLine="420"/>
        <w:spacing w:after="0" w:line="257" w:lineRule="auto"/>
        <w:rPr>
          <w:sz w:val="20"/>
          <w:szCs w:val="20"/>
          <w:color w:val="auto"/>
        </w:rPr>
      </w:pPr>
      <w:r>
        <w:rPr>
          <w:rFonts w:ascii="Times New Roman" w:cs="Times New Roman" w:eastAsia="Times New Roman" w:hAnsi="Times New Roman"/>
          <w:sz w:val="13"/>
          <w:szCs w:val="13"/>
          <w:color w:val="auto"/>
        </w:rPr>
        <w:t>In March 2021 and in October 2021, we issued $100.0 million and $85.0 million, respectively, in aggregate principal amount of our 2026 Notes at a public offering price per note of 99.4% and 101.5%, respectively. Interest on the 2026 Notes is paid semi-annually on April 1 and October 1 of each year, at a rate of 4.25% per year, commencing October 1, 2021. The 2026 Notes mature on April 1, 2026 and may be redeemed in whole or in part at our option subject to a make-whole premium if redeemed more than three months prior to maturity. The 2026 Notes are our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32" w:lineRule="exact"/>
        <w:rPr>
          <w:sz w:val="20"/>
          <w:szCs w:val="20"/>
          <w:color w:val="auto"/>
        </w:rPr>
      </w:pPr>
    </w:p>
    <w:p>
      <w:pPr>
        <w:ind w:right="20" w:firstLine="420"/>
        <w:spacing w:after="0" w:line="254" w:lineRule="auto"/>
        <w:rPr>
          <w:sz w:val="20"/>
          <w:szCs w:val="20"/>
          <w:color w:val="auto"/>
        </w:rPr>
      </w:pPr>
      <w:r>
        <w:rPr>
          <w:rFonts w:ascii="Times New Roman" w:cs="Times New Roman" w:eastAsia="Times New Roman" w:hAnsi="Times New Roman"/>
          <w:sz w:val="13"/>
          <w:szCs w:val="13"/>
          <w:color w:val="auto"/>
        </w:rPr>
        <w:t>In September 2019, the Securitization Issuers completed the Debt Securitization. The 2031 Asset-Backed Debt is secured by the middle market loans, participation interests in middle market loans and other assets of the Securitization Issuer. The Debt Securitization was executed through (A) a private placement of: (i) $ 78.5 million Class A-1 Senior Secured Floating Rate Notes maturing 2031, which bear interest at the three-month SOFR plus 1.8%, (ii) $15.0 million Class A- 2 Senior Secured Fixed Rate Notes due 2031, which bear interest at 3.7%, (iii) $14.0 million Class B- 1 Senior Secured Floating Rate Notes due 2031, which bear interest at the three-month SOFR plus 2.9%, (iv) $16.0 million Class B-2 Senior Secured Fixed Rate Notes due 2031, which bear interest at 4.3%,</w:t>
      </w:r>
    </w:p>
    <w:p>
      <w:pPr>
        <w:ind w:right="140" w:firstLine="6"/>
        <w:spacing w:after="0" w:line="157" w:lineRule="exact"/>
        <w:tabs>
          <w:tab w:leader="none" w:pos="187"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$19.0 million Class C</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1 Secured Deferrable Floating Rate Notes due 2031, which bear interest at the three-month SOFR plus 4.0%, (vi) $8.0 million Class C-2 Secured Deferrable Fixed Rate Notes due 2031, which bear interest at 5.4%, and (vii) $18.0 million Class D Secured Deferrable Floating Rate Notes due 2031, which bear interest at the three-month SOFR plus 4.8% and (B) the borrowing of $77.5 million Class A</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1 Senior Secured Floating Rate Loans due 2031, which bear interest at the three-month SOFR plus 1.8%, under a credit agreement by and among the Securitization Issuers, as borrowers, various financial institutions, as lenders, and U.S. Bank National Association, as collateral agent and as loan agent. The 2031 Asset-Backed Debt is scheduled to mature on October 15, 2031. As of December 31, 2024 and September 30, 2024, the Company had zero of 2031 Asset-Backed Debt outstanding.</w:t>
      </w:r>
    </w:p>
    <w:p>
      <w:pPr>
        <w:spacing w:after="0" w:line="142"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On the closing date of the Debt Securitization, in consideration of our transfer to the Securitization Issuer of the initial closing date loan portfolio, which included loans distributed to us by our wholly-owned subsidiary,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$55.4 million at the closing of the Debt Securitization.</w:t>
      </w:r>
    </w:p>
    <w:p>
      <w:pPr>
        <w:spacing w:after="0" w:line="127" w:lineRule="exact"/>
        <w:rPr>
          <w:sz w:val="20"/>
          <w:szCs w:val="20"/>
          <w:color w:val="auto"/>
        </w:rPr>
      </w:pPr>
    </w:p>
    <w:p>
      <w:pPr>
        <w:jc w:val="both"/>
        <w:ind w:right="80" w:firstLine="420"/>
        <w:spacing w:after="0" w:line="268" w:lineRule="auto"/>
        <w:rPr>
          <w:sz w:val="20"/>
          <w:szCs w:val="20"/>
          <w:color w:val="auto"/>
        </w:rPr>
      </w:pPr>
      <w:r>
        <w:rPr>
          <w:rFonts w:ascii="Times New Roman" w:cs="Times New Roman" w:eastAsia="Times New Roman" w:hAnsi="Times New Roman"/>
          <w:sz w:val="13"/>
          <w:szCs w:val="13"/>
          <w:color w:val="auto"/>
        </w:rPr>
        <w:t>The 2031 Asset-Backed Debt constitutes secured obligations of the Securitization Issuers, and the indenture governing the 2031 Asset-Backed Debt includes customary covenants and events of default. The 2031 Asset- Backed Debt has not been, and will not be, registered under the Securities Act or any state securities or “blue sky” laws and may not be offered or sold in the United States absent registration with the SEC or an applicable exemption from registration.</w:t>
      </w:r>
    </w:p>
    <w:p>
      <w:pPr>
        <w:spacing w:after="0" w:line="123" w:lineRule="exact"/>
        <w:rPr>
          <w:sz w:val="20"/>
          <w:szCs w:val="20"/>
          <w:color w:val="auto"/>
        </w:rPr>
      </w:pPr>
    </w:p>
    <w:p>
      <w:pPr>
        <w:ind w:right="60" w:firstLine="420"/>
        <w:spacing w:after="0" w:line="268" w:lineRule="auto"/>
        <w:rPr>
          <w:sz w:val="20"/>
          <w:szCs w:val="20"/>
          <w:color w:val="auto"/>
        </w:rPr>
      </w:pPr>
      <w:r>
        <w:rPr>
          <w:rFonts w:ascii="Times New Roman" w:cs="Times New Roman" w:eastAsia="Times New Roman" w:hAnsi="Times New Roman"/>
          <w:sz w:val="13"/>
          <w:szCs w:val="13"/>
          <w:color w:val="auto"/>
        </w:rPr>
        <w:t>Our Investment Adviser serves as collateral manager to the Securitization Issuer pursuant to a collateral management agreement between our Investment Adviser and the Securitization Issuer, or the Collateral Management Agreement. For so long as our Investment Adviser serves as collateral manager, it will elect to irrevocably waive any collateral management fee to which it may be entitled under the Collateral Management Agreement.</w:t>
      </w:r>
    </w:p>
    <w:p>
      <w:pPr>
        <w:spacing w:after="0" w:line="123" w:lineRule="exact"/>
        <w:rPr>
          <w:sz w:val="20"/>
          <w:szCs w:val="20"/>
          <w:color w:val="auto"/>
        </w:rPr>
      </w:pPr>
    </w:p>
    <w:p>
      <w:pPr>
        <w:ind w:right="20" w:firstLine="696"/>
        <w:spacing w:after="0" w:line="254" w:lineRule="auto"/>
        <w:rPr>
          <w:sz w:val="20"/>
          <w:szCs w:val="20"/>
          <w:color w:val="auto"/>
        </w:rPr>
      </w:pPr>
      <w:r>
        <w:rPr>
          <w:rFonts w:ascii="Times New Roman" w:cs="Times New Roman" w:eastAsia="Times New Roman" w:hAnsi="Times New Roman"/>
          <w:sz w:val="13"/>
          <w:szCs w:val="13"/>
          <w:color w:val="auto"/>
        </w:rPr>
        <w:t>In July 2024, the 2031 Asset-Backed Debt was refinanced through a $351.0 million debt securitization in the form of a collateralized loan obligation, or the "2036 -R Asset-Backed Debt". The Company retained $85.0 million of the debt securitization. The 2036-R Asset-Backed Debt was executed through: (A) the issuance by the 2036-R Securitization Issuers of the following classes of notes pursuant that certain indenture, dated September 19, 2019, by and among the 2036-R Securitization Issuers and U.S. Bank Trust Company, National Association, as amended by the second supplemental indenture, dated June 25, 2024): (i) $ 203 million of A-1-R Notes, which bear interest at the three -month SOFR plus 1.75%, (ii) $10.5 million of A- 2-R Notes, which bear interest at three-month SOFR plus 1.90%, (iii) $12 million of Class B-R Notes, which bear interest at three-month SOFR plus 2.05%, (iv) $28 million of C- R Notes, which bear interest at three-month SOFR plus 2.75% and (v) $21 million of D-R Notes, which bear interest at three-month SOFR plus 4.30%, (B) the issuance by the issuer of $64 million of subordinated notes pursuant to the Indenture and</w:t>
      </w:r>
    </w:p>
    <w:p>
      <w:pPr>
        <w:spacing w:after="0" w:line="1" w:lineRule="exact"/>
        <w:rPr>
          <w:sz w:val="20"/>
          <w:szCs w:val="20"/>
          <w:color w:val="auto"/>
        </w:rPr>
      </w:pPr>
    </w:p>
    <w:p>
      <w:pPr>
        <w:ind w:right="20" w:firstLine="6"/>
        <w:spacing w:after="0" w:line="253" w:lineRule="auto"/>
        <w:tabs>
          <w:tab w:leader="none" w:pos="209"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borrowing by one of the 2036-R Securitization Issuers of $12.5 million of Class B-R Loans, which bear interest at three-month SOFR plus 2.05%, pursuant to a credit agreement, by and among the 2036-R Securitization Issuers, the various financial institutions and other persons party thereto, as lenders and U.S. Bank Trust Company, National Association, as loan agent and as trustee. The 2036-R Asset-Backed Debt matures in July 2036. As of December 31, 2024 and September 30, 2024, the Company had $266 million and $266.0 million of 2036-R Asset-Backed Debt outstanding with a weighted average interest rate of 6.5% and7.2%, respectively. As of December 31, 2024 and September 30, 2024, the unamortized fees on the 2036-R Asset-Backed Debt were $0.7 million and $ 0.8 million, respectively.</w:t>
      </w:r>
    </w:p>
    <w:p>
      <w:pPr>
        <w:spacing w:after="0" w:line="134" w:lineRule="exact"/>
        <w:rPr>
          <w:sz w:val="20"/>
          <w:szCs w:val="20"/>
          <w:color w:val="auto"/>
        </w:rPr>
      </w:pPr>
    </w:p>
    <w:p>
      <w:pPr>
        <w:ind w:right="240" w:firstLine="420"/>
        <w:spacing w:after="0" w:line="256" w:lineRule="auto"/>
        <w:rPr>
          <w:sz w:val="20"/>
          <w:szCs w:val="20"/>
          <w:color w:val="auto"/>
        </w:rPr>
      </w:pPr>
      <w:r>
        <w:rPr>
          <w:rFonts w:ascii="Times New Roman" w:cs="Times New Roman" w:eastAsia="Times New Roman" w:hAnsi="Times New Roman"/>
          <w:sz w:val="13"/>
          <w:szCs w:val="13"/>
          <w:color w:val="auto"/>
        </w:rPr>
        <w:t>In February 2024, the Company completed the $350.6 million term debt securitization. Term debt securitizations, also known as CLOs, are a form of secured financing incurred by the Company, which is consolidated by the Company and subject to the Company’s asset coverage requirements. The 2036 Asset-Backed Debt was issued by the 2036 Securitization Issuer. The 2036 Asset-Backed Debt is secured by the middle market loans, participation interests in middle market loans and other assets of the 2036 Securitization Issuer. The Debt Securitization was executed through (A) a private placement of: (i) $139.5 million of AAA(sf) Class A-1 Notes, which bear interest at the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408940</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90" w:right="680" w:bottom="1440" w:gutter="0" w:footer="0" w:header="0"/>
        </w:sectPr>
      </w:pPr>
    </w:p>
    <w:bookmarkStart w:id="56" w:name="page57"/>
    <w:bookmarkEnd w:id="56"/>
    <w:p>
      <w:pPr>
        <w:ind w:right="40"/>
        <w:spacing w:after="0" w:line="256" w:lineRule="auto"/>
        <w:rPr>
          <w:sz w:val="20"/>
          <w:szCs w:val="20"/>
          <w:color w:val="auto"/>
        </w:rPr>
      </w:pPr>
      <w:r>
        <w:rPr>
          <w:rFonts w:ascii="Times New Roman" w:cs="Times New Roman" w:eastAsia="Times New Roman" w:hAnsi="Times New Roman"/>
          <w:sz w:val="13"/>
          <w:szCs w:val="13"/>
          <w:color w:val="auto"/>
        </w:rPr>
        <w:t>three-month secured overnight financing rate published by the Federal Reserve Bank of New York (“SOFR”) plus 2.30%, (ii) $14 million of AAA(sf) Class A-2 Notes, which bear interest at three-month SOFR plus 2.70%, (iii) $24.5 million of AA(sf) Class B Notes, which bear interest at three -month SOFR plus 2.90%, (iv) $28 million of A(sf) Class C Notes, which bear interest at three-month SOFR plus 3.90%, (v) $ 21 million of BBB-(sf) Class D Notes, which bear interest at three- month SOFR plus 5.90%, (together, the “Secured Notes”), and (vi) $63.6 million of subordinated notes (“Subordinated Notes”) and (B) the borrowing of $60.0 million AAA(sf) Class A- 1 Senior Secured Floating Rate Loans (the “Class A- 1 Loans” and together with the Secured Notes and Subordinated Notes, the “Debt”), which bear interest at three-month SOFR plus 2.30%, under a credit agreement (the “Credit Agreement”), dated as of the Closing Date, by and among the Issuer, as borrower, various financial institutions, as lenders, and Wilmington Trust, National Association, as collateral agent and as loan agent. The annualized interest on the 2036 Asset-Backed Debt will be paid, to the extent of funds available. The Debt is scheduled to mature on April 18, 2036.</w:t>
      </w:r>
    </w:p>
    <w:p>
      <w:pPr>
        <w:spacing w:after="0" w:line="132" w:lineRule="exact"/>
        <w:rPr>
          <w:sz w:val="20"/>
          <w:szCs w:val="20"/>
          <w:color w:val="auto"/>
        </w:rPr>
      </w:pPr>
    </w:p>
    <w:p>
      <w:pPr>
        <w:jc w:val="both"/>
        <w:ind w:right="340" w:firstLine="420"/>
        <w:spacing w:after="0" w:line="268" w:lineRule="auto"/>
        <w:rPr>
          <w:sz w:val="20"/>
          <w:szCs w:val="20"/>
          <w:color w:val="auto"/>
        </w:rPr>
      </w:pPr>
      <w:r>
        <w:rPr>
          <w:rFonts w:ascii="Times New Roman" w:cs="Times New Roman" w:eastAsia="Times New Roman" w:hAnsi="Times New Roman"/>
          <w:sz w:val="13"/>
          <w:szCs w:val="13"/>
          <w:color w:val="auto"/>
        </w:rPr>
        <w:t>The 2036 Asset-Backed Debt is included in the Consolidated Statement of Assets and Liabilities as debt of the Company and the Preferred Shares of the 2036-Securitization Issuer were eliminated in consolidation. As of December 31, 2024 and September 30, 2024, the Company had $287.0 million of 2036 Asset-Backed Debt outstanding with a weighted average interest rate of 7.4% and 8.1%, respectively. As of December 31, 2024, and September 30, 2024 the unamortized fees on the 2036 Asset-Backed Debt were $2.8 million and $2.9 million, respectively.</w:t>
      </w:r>
    </w:p>
    <w:p>
      <w:pPr>
        <w:spacing w:after="0" w:line="123" w:lineRule="exact"/>
        <w:rPr>
          <w:sz w:val="20"/>
          <w:szCs w:val="20"/>
          <w:color w:val="auto"/>
        </w:rPr>
      </w:pPr>
    </w:p>
    <w:p>
      <w:pPr>
        <w:ind w:right="300" w:firstLine="420"/>
        <w:spacing w:after="0" w:line="286" w:lineRule="auto"/>
        <w:rPr>
          <w:sz w:val="20"/>
          <w:szCs w:val="20"/>
          <w:color w:val="auto"/>
        </w:rPr>
      </w:pPr>
      <w:r>
        <w:rPr>
          <w:rFonts w:ascii="Times New Roman" w:cs="Times New Roman" w:eastAsia="Times New Roman" w:hAnsi="Times New Roman"/>
          <w:sz w:val="13"/>
          <w:szCs w:val="13"/>
          <w:color w:val="auto"/>
        </w:rPr>
        <w:t>Our Investment Adviser serves as collateral manager to the 2036-Securitization Issuer pursuant to the Collateral Management Agreement. For so long as our Investment Adviser serves as collateral manager, it will elect to irrevocably waive any collateral management fee to which it may be entitled under the Collateral Management Agreement.</w:t>
      </w:r>
    </w:p>
    <w:p>
      <w:pPr>
        <w:spacing w:after="0" w:line="112" w:lineRule="exact"/>
        <w:rPr>
          <w:sz w:val="20"/>
          <w:szCs w:val="20"/>
          <w:color w:val="auto"/>
        </w:rPr>
      </w:pPr>
    </w:p>
    <w:p>
      <w:pPr>
        <w:ind w:right="40" w:firstLine="420"/>
        <w:spacing w:after="0" w:line="254" w:lineRule="auto"/>
        <w:rPr>
          <w:sz w:val="20"/>
          <w:szCs w:val="20"/>
          <w:color w:val="auto"/>
        </w:rPr>
      </w:pPr>
      <w:r>
        <w:rPr>
          <w:rFonts w:ascii="Times New Roman" w:cs="Times New Roman" w:eastAsia="Times New Roman" w:hAnsi="Times New Roman"/>
          <w:sz w:val="13"/>
          <w:szCs w:val="13"/>
          <w:color w:val="auto"/>
        </w:rPr>
        <w:t>On July 17, 2024, we entered into new equity distribution agreements with Citizens JMP Securities, LLC, Raymond James &amp; Associates, Inc. and Truist Securities, Inc. as the sales agents (the "Sale Agents"), (together, the "Equity Distribution Agreements") in connection with the sale of our shares of common stock, with an aggregate offering price of up to $500 million under an at-the-market offering program ("ATM Program") . The Equity Distribution agreements provide that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 The Investment Adviser may, from time to time, in its sole discretion, pay some or all of the commissions payable under the Equity Distribution Agreements or make additional supplemental payments to ensure that the sales price per share of our common stock in connection with all of the ATM Program offerings, net of any commissions of Sale Agents, will not be less than our then current NAV per share. Any such payments made by the Investment Adviser will not be subject to reimbursement by us. In connection with the entry into the Equity Distribution Agreements, the Company terminated the equity distribution agreements with each of Citizens JMP Securities LLC, Raymond James &amp; Associates, Inc. and Truist Securities, Inc. in connection with the Company’s prior $250 million ATM Program.</w:t>
      </w:r>
    </w:p>
    <w:p>
      <w:pPr>
        <w:spacing w:after="0" w:line="137" w:lineRule="exact"/>
        <w:rPr>
          <w:sz w:val="20"/>
          <w:szCs w:val="20"/>
          <w:color w:val="auto"/>
        </w:rPr>
      </w:pPr>
    </w:p>
    <w:p>
      <w:pPr>
        <w:jc w:val="both"/>
        <w:ind w:right="200" w:firstLine="420"/>
        <w:spacing w:after="0" w:line="268" w:lineRule="auto"/>
        <w:rPr>
          <w:sz w:val="20"/>
          <w:szCs w:val="20"/>
          <w:color w:val="auto"/>
        </w:rPr>
      </w:pPr>
      <w:r>
        <w:rPr>
          <w:rFonts w:ascii="Times New Roman" w:cs="Times New Roman" w:eastAsia="Times New Roman" w:hAnsi="Times New Roman"/>
          <w:sz w:val="13"/>
          <w:szCs w:val="13"/>
          <w:color w:val="auto"/>
        </w:rPr>
        <w:t>During the three months ended December 31, 2024 and 2023, we issued 7,276,000 and zero shares of common stock through the ATM Program at an average price of $11.30, raising $82.2 million of net proceeds after commissions to the sales agents and inclusive of proceeds from the Investment Adviser to ensure that all shares were sold at or above NAV, respectively. In connection with the share issuance, we expensed $0.1 million of deferred offering costs incurred related to establishing the ATM Program to additional paid in capital.</w:t>
      </w:r>
    </w:p>
    <w:p>
      <w:pPr>
        <w:spacing w:after="0" w:line="123" w:lineRule="exact"/>
        <w:rPr>
          <w:sz w:val="20"/>
          <w:szCs w:val="20"/>
          <w:color w:val="auto"/>
        </w:rPr>
      </w:pPr>
    </w:p>
    <w:p>
      <w:pPr>
        <w:ind w:right="80" w:firstLine="420"/>
        <w:spacing w:after="0" w:line="262" w:lineRule="auto"/>
        <w:rPr>
          <w:sz w:val="20"/>
          <w:szCs w:val="20"/>
          <w:color w:val="auto"/>
        </w:rPr>
      </w:pPr>
      <w:r>
        <w:rPr>
          <w:rFonts w:ascii="Times New Roman" w:cs="Times New Roman" w:eastAsia="Times New Roman" w:hAnsi="Times New Roman"/>
          <w:sz w:val="13"/>
          <w:szCs w:val="13"/>
          <w:color w:val="auto"/>
        </w:rPr>
        <w:t>We may raise equity or debt capital through both registered offerings off our shelf registration statement and private offerings of securities, securitizing a portion of our investments among other considerations or mergers and acquisitions. Furthermore, the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w:t>
      </w:r>
    </w:p>
    <w:p>
      <w:pPr>
        <w:spacing w:after="0" w:line="127" w:lineRule="exact"/>
        <w:rPr>
          <w:sz w:val="20"/>
          <w:szCs w:val="20"/>
          <w:color w:val="auto"/>
        </w:rPr>
      </w:pPr>
    </w:p>
    <w:p>
      <w:pPr>
        <w:ind w:right="140" w:firstLine="420"/>
        <w:spacing w:after="0" w:line="262" w:lineRule="auto"/>
        <w:rPr>
          <w:sz w:val="20"/>
          <w:szCs w:val="20"/>
          <w:color w:val="auto"/>
        </w:rPr>
      </w:pPr>
      <w:r>
        <w:rPr>
          <w:rFonts w:ascii="Times New Roman" w:cs="Times New Roman" w:eastAsia="Times New Roman" w:hAnsi="Times New Roman"/>
          <w:sz w:val="13"/>
          <w:szCs w:val="13"/>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May 2024, PennantPark Investment Advisers serves as our investment adviser. Payments under our Investment Management Agreement in each reporting period are equal to (1) a management fee equal to a percentage of the value of our average adjusted gross assets and (2) an incentive fee based on our performance.</w:t>
      </w:r>
    </w:p>
    <w:p>
      <w:pPr>
        <w:spacing w:after="0" w:line="284" w:lineRule="exact"/>
        <w:rPr>
          <w:sz w:val="20"/>
          <w:szCs w:val="20"/>
          <w:color w:val="auto"/>
        </w:rPr>
      </w:pPr>
    </w:p>
    <w:p>
      <w:pPr>
        <w:ind w:right="140" w:firstLine="420"/>
        <w:spacing w:after="0" w:line="259" w:lineRule="auto"/>
        <w:rPr>
          <w:sz w:val="20"/>
          <w:szCs w:val="20"/>
          <w:color w:val="auto"/>
        </w:rPr>
      </w:pPr>
      <w:r>
        <w:rPr>
          <w:rFonts w:ascii="Times New Roman" w:cs="Times New Roman" w:eastAsia="Times New Roman" w:hAnsi="Times New Roman"/>
          <w:sz w:val="13"/>
          <w:szCs w:val="13"/>
          <w:color w:val="auto"/>
        </w:rPr>
        <w:t>Under our Administration Agreement, which was most recently reapproved by our board of directors, including a majority of our directors who are not interested persons of us, in May 2024, the Administrator furnishes us with office facilities and administrative services necessary to conduct our day-to -day operations. The Administration Agreement was amended on July 1, 2022.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Financial Officer, Chief Compliance Officer, Corporate Counsel and their respective staffs.</w:t>
      </w:r>
    </w:p>
    <w:p>
      <w:pPr>
        <w:spacing w:after="0" w:line="286"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279" w:lineRule="exact"/>
        <w:rPr>
          <w:sz w:val="20"/>
          <w:szCs w:val="20"/>
          <w:color w:val="auto"/>
        </w:rPr>
      </w:pPr>
    </w:p>
    <w:p>
      <w:pPr>
        <w:ind w:right="540" w:firstLine="420"/>
        <w:spacing w:after="0" w:line="286" w:lineRule="auto"/>
        <w:rPr>
          <w:sz w:val="20"/>
          <w:szCs w:val="20"/>
          <w:color w:val="auto"/>
        </w:rPr>
      </w:pPr>
      <w:r>
        <w:rPr>
          <w:rFonts w:ascii="Times New Roman" w:cs="Times New Roman" w:eastAsia="Times New Roman" w:hAnsi="Times New Roman"/>
          <w:sz w:val="13"/>
          <w:szCs w:val="13"/>
          <w:color w:val="auto"/>
        </w:rPr>
        <w:t>As of December 31, 2024 and September 30, 2024, we had cash and cash equivalents of $102.3 million and $112.1 million, respectively, available for investing and general corporate purposes. We believe our liquidity and capital resources are sufficient to take advantage of market opportunities.</w:t>
      </w:r>
    </w:p>
    <w:p>
      <w:pPr>
        <w:spacing w:after="0" w:line="112" w:lineRule="exact"/>
        <w:rPr>
          <w:sz w:val="20"/>
          <w:szCs w:val="20"/>
          <w:color w:val="auto"/>
        </w:rPr>
      </w:pPr>
    </w:p>
    <w:p>
      <w:pPr>
        <w:ind w:right="80" w:firstLine="420"/>
        <w:spacing w:after="0" w:line="286" w:lineRule="auto"/>
        <w:rPr>
          <w:sz w:val="20"/>
          <w:szCs w:val="20"/>
          <w:color w:val="auto"/>
        </w:rPr>
      </w:pPr>
      <w:r>
        <w:rPr>
          <w:rFonts w:ascii="Times New Roman" w:cs="Times New Roman" w:eastAsia="Times New Roman" w:hAnsi="Times New Roman"/>
          <w:sz w:val="13"/>
          <w:szCs w:val="13"/>
          <w:color w:val="auto"/>
        </w:rPr>
        <w:t>For the three months ended December 31, 2024, our operating activities used cash of $232.7 million and our financing activities provided cash of $222.9 million. Our operating activities used cash primarily due to our investment activities and our financing activities provided cash primarily due to borrowings under our Credit Facility.</w:t>
      </w:r>
    </w:p>
    <w:p>
      <w:pPr>
        <w:spacing w:after="0" w:line="112" w:lineRule="exact"/>
        <w:rPr>
          <w:sz w:val="20"/>
          <w:szCs w:val="20"/>
          <w:color w:val="auto"/>
        </w:rPr>
      </w:pPr>
    </w:p>
    <w:p>
      <w:pPr>
        <w:ind w:right="80" w:firstLine="420"/>
        <w:spacing w:after="0" w:line="286" w:lineRule="auto"/>
        <w:rPr>
          <w:sz w:val="20"/>
          <w:szCs w:val="20"/>
          <w:color w:val="auto"/>
        </w:rPr>
      </w:pPr>
      <w:r>
        <w:rPr>
          <w:rFonts w:ascii="Times New Roman" w:cs="Times New Roman" w:eastAsia="Times New Roman" w:hAnsi="Times New Roman"/>
          <w:sz w:val="13"/>
          <w:szCs w:val="13"/>
          <w:color w:val="auto"/>
        </w:rPr>
        <w:t>For the three months ended December 31, 2023, our operating activities used cash of $181.9 million and our financing activities provided cash of $157.2 million. Our operating activities used cash primarily due to our investment activities and our financing activities provided cash primarily due to borrowings under our Credit Facility partially offset by the repayment of the 2023 Notes.</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90" w:right="66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3"/>
          <w:szCs w:val="13"/>
          <w:b w:val="1"/>
          <w:bCs w:val="1"/>
          <w:color w:val="auto"/>
        </w:rPr>
        <w:t>PennantPark Senior Secured Loan Fund I LLC</w:t>
      </w:r>
    </w:p>
    <w:p>
      <w:pPr>
        <w:spacing w:after="0" w:line="129" w:lineRule="exact"/>
        <w:rPr>
          <w:sz w:val="20"/>
          <w:szCs w:val="20"/>
          <w:color w:val="auto"/>
        </w:rPr>
      </w:pPr>
    </w:p>
    <w:p>
      <w:pPr>
        <w:ind w:right="140" w:firstLine="420"/>
        <w:spacing w:after="0" w:line="259" w:lineRule="auto"/>
        <w:rPr>
          <w:sz w:val="20"/>
          <w:szCs w:val="20"/>
          <w:color w:val="auto"/>
        </w:rPr>
      </w:pPr>
      <w:r>
        <w:rPr>
          <w:rFonts w:ascii="Times New Roman" w:cs="Times New Roman" w:eastAsia="Times New Roman" w:hAnsi="Times New Roman"/>
          <w:sz w:val="13"/>
          <w:szCs w:val="13"/>
          <w:color w:val="auto"/>
        </w:rPr>
        <w:t>In May 2017, we and Kemper formed PSSL, an unconsolidated joint venture. PSSL invests primarily in middle-market and other corporate debt securities consistent with our strategy. PSSL was formed as a Delaware limited liability company. As of December 31, 2024 and September 30, 2024, PSSL had total assets of $1,110 million and $988.1 million, respectively, and its investment portfolio consisted of investments in 118 and 109 portfolio companies, respectively. As of December 31, 2024, at fair value, the largest investment in a single portfolio company in PSSL was $21.2 million and the five largest investments totaled $98.6 million. As of September 30, 2024, at fair value, the largest investment in a single portfolio company in PSSL was $21.3 million and the five largest investments totaled $97.3 million. PSSL invests in portfolio companies in the same industries in which we may directly invest.</w:t>
      </w:r>
    </w:p>
    <w:p>
      <w:pPr>
        <w:spacing w:after="0" w:line="130" w:lineRule="exact"/>
        <w:rPr>
          <w:sz w:val="20"/>
          <w:szCs w:val="20"/>
          <w:color w:val="auto"/>
        </w:rPr>
      </w:pPr>
    </w:p>
    <w:p>
      <w:pPr>
        <w:ind w:right="180" w:firstLine="420"/>
        <w:spacing w:after="0" w:line="262" w:lineRule="auto"/>
        <w:rPr>
          <w:sz w:val="20"/>
          <w:szCs w:val="20"/>
          <w:color w:val="auto"/>
        </w:rPr>
      </w:pPr>
      <w:r>
        <w:rPr>
          <w:rFonts w:ascii="Times New Roman" w:cs="Times New Roman" w:eastAsia="Times New Roman" w:hAnsi="Times New Roman"/>
          <w:sz w:val="13"/>
          <w:szCs w:val="13"/>
          <w:color w:val="auto"/>
        </w:rPr>
        <w:t>We and Kemper provide capital to PSSL in the form of first lien secured debt and equity interests. As of December 31, 2024 and September 30, 2024, we and Kemper owned 87.5% and 12.5%, respectively, of each of the outstanding first lien secured debt and equity interests. As of the same dates, our investment in PSSL consisted of first lien secured debt of $237.7 million (zero remaining unfunded) and $237.7 million (zero remaining unfunded), respectively, and equity interests of $101.9 million ($87.5 remaining unfunded) and $101.9 million (zero remaining unfunded), respectively.</w:t>
      </w:r>
    </w:p>
    <w:p>
      <w:pPr>
        <w:spacing w:after="0" w:line="127" w:lineRule="exact"/>
        <w:rPr>
          <w:sz w:val="20"/>
          <w:szCs w:val="20"/>
          <w:color w:val="auto"/>
        </w:rPr>
      </w:pPr>
    </w:p>
    <w:p>
      <w:pPr>
        <w:ind w:firstLine="420"/>
        <w:spacing w:after="0" w:line="258" w:lineRule="auto"/>
        <w:rPr>
          <w:sz w:val="20"/>
          <w:szCs w:val="20"/>
          <w:color w:val="auto"/>
        </w:rPr>
      </w:pPr>
      <w:r>
        <w:rPr>
          <w:rFonts w:ascii="Times New Roman" w:cs="Times New Roman" w:eastAsia="Times New Roman" w:hAnsi="Times New Roman"/>
          <w:sz w:val="13"/>
          <w:szCs w:val="13"/>
          <w:color w:val="auto"/>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289" w:lineRule="exact"/>
        <w:rPr>
          <w:sz w:val="20"/>
          <w:szCs w:val="20"/>
          <w:color w:val="auto"/>
        </w:rPr>
      </w:pPr>
    </w:p>
    <w:p>
      <w:pPr>
        <w:jc w:val="both"/>
        <w:ind w:right="20" w:firstLine="420"/>
        <w:spacing w:after="0" w:line="286" w:lineRule="auto"/>
        <w:rPr>
          <w:sz w:val="20"/>
          <w:szCs w:val="20"/>
          <w:color w:val="auto"/>
        </w:rPr>
      </w:pPr>
      <w:r>
        <w:rPr>
          <w:rFonts w:ascii="Times New Roman" w:cs="Times New Roman" w:eastAsia="Times New Roman" w:hAnsi="Times New Roman"/>
          <w:sz w:val="13"/>
          <w:szCs w:val="13"/>
          <w:color w:val="auto"/>
        </w:rPr>
        <w:t>In December 2024, PSSL entered into a $325.0 million (increased from $260.0 million) senior secured revolving credit facility which bears interest at SOFR plus 225 basis points (including a spread adjustment) with Ally Bank through its wholly-owned subsidiary, PennantPark Senior Secured Loan Facility LLC II, or PSSL Subsidiary II, subject to leverage and borrowing base restrictions.</w:t>
      </w:r>
    </w:p>
    <w:p>
      <w:pPr>
        <w:spacing w:after="0" w:line="112"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In January 2021, PSSL completed a $300.7 million debt securitization in the form of a collateralized loan obligation, or the “2032 Asset-Backed Debt”. The 2032 Asset-Backed Debt is secured by a diversified portfolio of PennantPark CLO II, Ltd., a wholly-owned and consolidated subsidiary of PSSL, consisting primarily of middle market loans and participation interests in middle market loans. The 2032 Asset-Backed Debt is scheduled to mature in January 2032. On the closing date of the transaction, in consideration of PSSL’s transfer to PennantPark CLO II, Ltd. of the initial closing date loan portfolio, which included loans distributed to PSSL by certain of its wholly owned subsidiaries and us, PennantPark CLO II, Ltd. transferred to PSSL 100% of the Preferred Shares of PennantPark CLO II, Ltd. and 100% of the Class E Notes issued by PennantPark CLO II, Ltd.</w:t>
      </w:r>
    </w:p>
    <w:p>
      <w:pPr>
        <w:spacing w:after="0" w:line="130"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In May 2024, PSSL completed the refinancing of the 2032 Asset-Backed Debt through a $300.7 million debt securitization in the form of a collateralized loan obligation, or the "2036 PSSL Asset -Backed Debt". The 2036 PSSL Asset-Backed Debt is secured by a diversified portfolio of PennantPark CLO II, Ltd., a wholly-owned subsidiary of PSSL, consisting primarily of middle market loans and participation interest in middle market loans. The 2036 PSSL Asset-Backed Debt is scheduled to mature in April 2036. PSSL retained the preferred shares and Class E-R Notes through a consolidated subsidiary.</w:t>
      </w:r>
    </w:p>
    <w:p>
      <w:pPr>
        <w:spacing w:after="0" w:line="127"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In April 2023, PSSL completed a $297.8 million debt securitization in the form of a collateralized loan obligation, or the “2035 Asset- Backed Debt”. The 2035 Asset -Backed Debt is secured by a diversified portfolio of PennantPark CLO VI, LLC, a wholly-owned and consolidated subsidiary of PSSL, consisting primarily of middle market loans and participation interests in middle market loans. The 2035 Asset-Backed Debt is scheduled to mature in April 2035. On the closing date of the transaction, in consideration of PSSL’s transfer to PennantPark CLO VI, LLC of the initial closing date loan portfolio, which included loans distributed to PSSL by certain of its wholly owned subsidiaries and us, PennantPark CLO VI, LLC transferred to PSSL 100% of the Preferred Shares of CLO VI, LLC</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is a summary of PSSL’s portfolio at fair value:</w:t>
            </w:r>
          </w:p>
        </w:tc>
        <w:tc>
          <w:tcPr>
            <w:tcW w:w="2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24"/>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thousands)</w:t>
            </w:r>
          </w:p>
        </w:tc>
        <w:tc>
          <w:tcPr>
            <w:tcW w:w="2080" w:type="dxa"/>
            <w:vAlign w:val="bottom"/>
          </w:tcPr>
          <w:p>
            <w:pPr>
              <w:spacing w:after="0"/>
              <w:rPr>
                <w:sz w:val="19"/>
                <w:szCs w:val="19"/>
                <w:color w:val="auto"/>
              </w:rPr>
            </w:pPr>
          </w:p>
        </w:tc>
        <w:tc>
          <w:tcPr>
            <w:tcW w:w="154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00" w:type="dxa"/>
            <w:vAlign w:val="bottom"/>
          </w:tcPr>
          <w:p>
            <w:pPr>
              <w:spacing w:after="0"/>
              <w:rPr>
                <w:sz w:val="19"/>
                <w:szCs w:val="19"/>
                <w:color w:val="auto"/>
              </w:rPr>
            </w:pPr>
          </w:p>
        </w:tc>
        <w:tc>
          <w:tcPr>
            <w:tcW w:w="146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September 30, 2024</w:t>
            </w:r>
          </w:p>
        </w:tc>
      </w:tr>
      <w:tr>
        <w:trPr>
          <w:trHeight w:val="156"/>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investments</w:t>
            </w:r>
          </w:p>
        </w:tc>
        <w:tc>
          <w:tcPr>
            <w:tcW w:w="2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1,046,178</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913,281</w:t>
            </w:r>
          </w:p>
        </w:tc>
      </w:tr>
      <w:tr>
        <w:trPr>
          <w:trHeight w:val="156"/>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cost yield on income producing investments</w:t>
            </w:r>
          </w:p>
        </w:tc>
        <w:tc>
          <w:tcPr>
            <w:tcW w:w="2080" w:type="dxa"/>
            <w:vAlign w:val="bottom"/>
          </w:tcPr>
          <w:p>
            <w:pPr>
              <w:spacing w:after="0"/>
              <w:rPr>
                <w:sz w:val="13"/>
                <w:szCs w:val="13"/>
                <w:color w:val="auto"/>
              </w:rPr>
            </w:pPr>
          </w:p>
        </w:tc>
        <w:tc>
          <w:tcPr>
            <w:tcW w:w="15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10.8 %</w:t>
            </w:r>
          </w:p>
        </w:tc>
        <w:tc>
          <w:tcPr>
            <w:tcW w:w="2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11.4 %</w:t>
            </w:r>
          </w:p>
        </w:tc>
      </w:tr>
      <w:tr>
        <w:trPr>
          <w:trHeight w:val="156"/>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Number of portfolio companies in PSSL</w:t>
            </w:r>
          </w:p>
        </w:tc>
        <w:tc>
          <w:tcPr>
            <w:tcW w:w="2080" w:type="dxa"/>
            <w:vAlign w:val="bottom"/>
            <w:shd w:val="clear" w:color="auto" w:fill="CCECFF"/>
          </w:tcPr>
          <w:p>
            <w:pPr>
              <w:spacing w:after="0"/>
              <w:rPr>
                <w:sz w:val="13"/>
                <w:szCs w:val="13"/>
                <w:color w:val="auto"/>
              </w:rPr>
            </w:pPr>
          </w:p>
        </w:tc>
        <w:tc>
          <w:tcPr>
            <w:tcW w:w="1540" w:type="dxa"/>
            <w:vAlign w:val="bottom"/>
            <w:shd w:val="clear" w:color="auto" w:fill="CCECFF"/>
          </w:tcPr>
          <w:p>
            <w:pPr>
              <w:jc w:val="right"/>
              <w:ind w:right="174"/>
              <w:spacing w:after="0"/>
              <w:rPr>
                <w:sz w:val="20"/>
                <w:szCs w:val="20"/>
                <w:color w:val="auto"/>
              </w:rPr>
            </w:pPr>
            <w:r>
              <w:rPr>
                <w:rFonts w:ascii="Times New Roman" w:cs="Times New Roman" w:eastAsia="Times New Roman" w:hAnsi="Times New Roman"/>
                <w:sz w:val="13"/>
                <w:szCs w:val="13"/>
                <w:color w:val="auto"/>
              </w:rPr>
              <w:t>118</w:t>
            </w:r>
          </w:p>
        </w:tc>
        <w:tc>
          <w:tcPr>
            <w:tcW w:w="200" w:type="dxa"/>
            <w:vAlign w:val="bottom"/>
            <w:shd w:val="clear" w:color="auto" w:fill="CCECFF"/>
          </w:tcPr>
          <w:p>
            <w:pPr>
              <w:spacing w:after="0"/>
              <w:rPr>
                <w:sz w:val="13"/>
                <w:szCs w:val="13"/>
                <w:color w:val="auto"/>
              </w:rPr>
            </w:pPr>
          </w:p>
        </w:tc>
        <w:tc>
          <w:tcPr>
            <w:tcW w:w="146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109</w:t>
            </w:r>
          </w:p>
        </w:tc>
      </w:tr>
      <w:tr>
        <w:trPr>
          <w:trHeight w:val="156"/>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Largest portfolio company investment</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21,220</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21,274</w:t>
            </w:r>
          </w:p>
        </w:tc>
      </w:tr>
      <w:tr>
        <w:trPr>
          <w:trHeight w:val="156"/>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of five largest portfolio company investments</w:t>
            </w:r>
          </w:p>
        </w:tc>
        <w:tc>
          <w:tcPr>
            <w:tcW w:w="2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98,604</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97,292</w:t>
            </w: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88" w:right="680" w:bottom="1440" w:gutter="0" w:footer="0" w:header="0"/>
        </w:sectPr>
      </w:pPr>
    </w:p>
    <w:bookmarkStart w:id="58" w:name="page59"/>
    <w:bookmarkEnd w:id="58"/>
    <w:p>
      <w:pPr>
        <w:ind w:left="420"/>
        <w:spacing w:after="0"/>
        <w:rPr>
          <w:sz w:val="20"/>
          <w:szCs w:val="20"/>
          <w:color w:val="auto"/>
        </w:rPr>
      </w:pPr>
      <w:r>
        <w:rPr>
          <w:rFonts w:ascii="Times New Roman" w:cs="Times New Roman" w:eastAsia="Times New Roman" w:hAnsi="Times New Roman"/>
          <w:sz w:val="13"/>
          <w:szCs w:val="13"/>
          <w:color w:val="auto"/>
        </w:rPr>
        <w:t>Below is a listing of PSSL’s individual investments as of December 31, 2024 (Par and $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Spread Above</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Par or Number of</w:t>
            </w: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Issuer Name </w:t>
            </w:r>
            <w:r>
              <w:rPr>
                <w:rFonts w:ascii="Times New Roman" w:cs="Times New Roman" w:eastAsia="Times New Roman" w:hAnsi="Times New Roman"/>
                <w:sz w:val="12"/>
                <w:szCs w:val="12"/>
                <w:b w:val="1"/>
                <w:bCs w:val="1"/>
                <w:color w:val="auto"/>
                <w:vertAlign w:val="superscript"/>
              </w:rPr>
              <w:t>(6)</w:t>
            </w:r>
          </w:p>
        </w:tc>
        <w:tc>
          <w:tcPr>
            <w:tcW w:w="840" w:type="dxa"/>
            <w:vAlign w:val="bottom"/>
          </w:tcPr>
          <w:p>
            <w:pPr>
              <w:ind w:left="24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20" w:type="dxa"/>
            <w:vAlign w:val="bottom"/>
          </w:tcPr>
          <w:p>
            <w:pPr>
              <w:jc w:val="center"/>
              <w:spacing w:after="0" w:line="120"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(1)</w:t>
            </w:r>
          </w:p>
        </w:tc>
        <w:tc>
          <w:tcPr>
            <w:tcW w:w="96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40" w:type="dxa"/>
            <w:vAlign w:val="bottom"/>
          </w:tcPr>
          <w:p>
            <w:pPr>
              <w:spacing w:after="0"/>
              <w:rPr>
                <w:sz w:val="10"/>
                <w:szCs w:val="10"/>
                <w:color w:val="auto"/>
              </w:rPr>
            </w:pPr>
          </w:p>
        </w:tc>
        <w:tc>
          <w:tcPr>
            <w:tcW w:w="62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0"/>
                <w:szCs w:val="10"/>
                <w:color w:val="auto"/>
              </w:rPr>
            </w:pPr>
          </w:p>
        </w:tc>
        <w:tc>
          <w:tcPr>
            <w:tcW w:w="700" w:type="dxa"/>
            <w:vAlign w:val="bottom"/>
          </w:tcPr>
          <w:p>
            <w:pPr>
              <w:jc w:val="right"/>
              <w:ind w:right="132"/>
              <w:spacing w:after="0" w:line="120" w:lineRule="exact"/>
              <w:rPr>
                <w:sz w:val="20"/>
                <w:szCs w:val="20"/>
                <w:color w:val="auto"/>
              </w:rPr>
            </w:pPr>
            <w:r>
              <w:rPr>
                <w:rFonts w:ascii="Times New Roman" w:cs="Times New Roman" w:eastAsia="Times New Roman" w:hAnsi="Times New Roman"/>
                <w:sz w:val="10"/>
                <w:szCs w:val="10"/>
                <w:b w:val="1"/>
                <w:bCs w:val="1"/>
                <w:color w:val="auto"/>
                <w:w w:val="90"/>
              </w:rPr>
              <w:t>Fair Value</w:t>
            </w:r>
            <w:r>
              <w:rPr>
                <w:rFonts w:ascii="Times New Roman" w:cs="Times New Roman" w:eastAsia="Times New Roman" w:hAnsi="Times New Roman"/>
                <w:sz w:val="12"/>
                <w:szCs w:val="12"/>
                <w:b w:val="1"/>
                <w:bCs w:val="1"/>
                <w:color w:val="auto"/>
                <w:w w:val="90"/>
                <w:vertAlign w:val="superscript"/>
              </w:rPr>
              <w:t>(2)</w:t>
            </w:r>
          </w:p>
        </w:tc>
        <w:tc>
          <w:tcPr>
            <w:tcW w:w="0" w:type="dxa"/>
            <w:vAlign w:val="bottom"/>
          </w:tcPr>
          <w:p>
            <w:pPr>
              <w:spacing w:after="0"/>
              <w:rPr>
                <w:sz w:val="1"/>
                <w:szCs w:val="1"/>
                <w:color w:val="auto"/>
              </w:rPr>
            </w:pPr>
          </w:p>
        </w:tc>
      </w:tr>
      <w:tr>
        <w:trPr>
          <w:trHeight w:val="122"/>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- 1,863.8%</w:t>
            </w:r>
          </w:p>
        </w:tc>
        <w:tc>
          <w:tcPr>
            <w:tcW w:w="8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12/22/2028</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9.11 %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SOFR+475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2,895</w:t>
            </w:r>
          </w:p>
        </w:tc>
        <w:tc>
          <w:tcPr>
            <w:tcW w:w="2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2,850</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2,895</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Avenu Buyer,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10/2/2029</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9.84 %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9,900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9,750</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9,628</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ACP Falcon Buyer,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8/1/2029</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10.09 %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18,715</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18,400</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18,902</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5/7/2026</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10.59 %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SOFR+626</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8,685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8,641</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8,685</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11/30/2026</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Containers and Packaging</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10.65 %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SOFR+610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12,696</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12,488</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11,807</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820" w:type="dxa"/>
            <w:vAlign w:val="bottom"/>
            <w:shd w:val="clear" w:color="auto" w:fill="CCECFF"/>
          </w:tcPr>
          <w:p>
            <w:pPr>
              <w:spacing w:after="0"/>
              <w:rPr>
                <w:sz w:val="10"/>
                <w:szCs w:val="10"/>
                <w:color w:val="auto"/>
              </w:rPr>
            </w:pPr>
          </w:p>
        </w:tc>
        <w:tc>
          <w:tcPr>
            <w:tcW w:w="112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(PIK 8.65%)</w:t>
            </w:r>
          </w:p>
        </w:tc>
        <w:tc>
          <w:tcPr>
            <w:tcW w:w="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Media: Advertising, Printing &amp;</w:t>
            </w:r>
          </w:p>
        </w:tc>
        <w:tc>
          <w:tcPr>
            <w:tcW w:w="1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8"/>
              </w:rPr>
              <w:t>6/30/2026</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Publishing</w:t>
            </w:r>
          </w:p>
        </w:tc>
        <w:tc>
          <w:tcPr>
            <w:tcW w:w="1120" w:type="dxa"/>
            <w:vAlign w:val="bottom"/>
            <w:vMerge w:val="restart"/>
          </w:tcPr>
          <w:p>
            <w:pPr>
              <w:jc w:val="right"/>
              <w:ind w:right="112"/>
              <w:spacing w:after="0"/>
              <w:rPr>
                <w:sz w:val="20"/>
                <w:szCs w:val="20"/>
                <w:color w:val="auto"/>
              </w:rPr>
            </w:pPr>
            <w:r>
              <w:rPr>
                <w:rFonts w:ascii="Times New Roman" w:cs="Times New Roman" w:eastAsia="Times New Roman" w:hAnsi="Times New Roman"/>
                <w:sz w:val="10"/>
                <w:szCs w:val="10"/>
                <w:color w:val="auto"/>
              </w:rPr>
              <w:t>10.23 %</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auto"/>
              </w:rPr>
              <w:t>SOFR+590</w:t>
            </w:r>
          </w:p>
        </w:tc>
        <w:tc>
          <w:tcPr>
            <w:tcW w:w="9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4,647</w:t>
            </w:r>
          </w:p>
        </w:tc>
        <w:tc>
          <w:tcPr>
            <w:tcW w:w="240" w:type="dxa"/>
            <w:vAlign w:val="bottom"/>
          </w:tcPr>
          <w:p>
            <w:pPr>
              <w:spacing w:after="0"/>
              <w:rPr>
                <w:sz w:val="10"/>
                <w:szCs w:val="10"/>
                <w:color w:val="auto"/>
              </w:rPr>
            </w:pPr>
          </w:p>
        </w:tc>
        <w:tc>
          <w:tcPr>
            <w:tcW w:w="6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4,555</w:t>
            </w:r>
          </w:p>
        </w:tc>
        <w:tc>
          <w:tcPr>
            <w:tcW w:w="180" w:type="dxa"/>
            <w:vAlign w:val="bottom"/>
          </w:tcPr>
          <w:p>
            <w:pPr>
              <w:spacing w:after="0"/>
              <w:rPr>
                <w:sz w:val="10"/>
                <w:szCs w:val="10"/>
                <w:color w:val="auto"/>
              </w:rPr>
            </w:pPr>
          </w:p>
        </w:tc>
        <w:tc>
          <w:tcPr>
            <w:tcW w:w="7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4,647</w:t>
            </w:r>
          </w:p>
        </w:tc>
        <w:tc>
          <w:tcPr>
            <w:tcW w:w="0" w:type="dxa"/>
            <w:vAlign w:val="bottom"/>
          </w:tcPr>
          <w:p>
            <w:pPr>
              <w:spacing w:after="0"/>
              <w:rPr>
                <w:sz w:val="1"/>
                <w:szCs w:val="1"/>
                <w:color w:val="auto"/>
              </w:rPr>
            </w:pPr>
          </w:p>
        </w:tc>
      </w:tr>
      <w:tr>
        <w:trPr>
          <w:trHeight w:val="56"/>
        </w:trPr>
        <w:tc>
          <w:tcPr>
            <w:tcW w:w="316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82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316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Media: Advertising, Printing &amp;</w:t>
            </w:r>
          </w:p>
        </w:tc>
        <w:tc>
          <w:tcPr>
            <w:tcW w:w="112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 - Incremental Term Loan</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6/30/2026</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Publishing</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10.23 %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SOFR+590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4,563</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4,523</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4,563</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10.23 %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SOFR+590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11,127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11,042</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10,989</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8/3/2029</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9.62 %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SOFR+500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6,000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5,988</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5,985</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Archer Lewis,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8/28/2029</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10.09 %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SOFR+590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9,975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9,881</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9,875</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ARGANO,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9/13/2029</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10.15 %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9,975</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9,879</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9,875</w:t>
            </w:r>
          </w:p>
        </w:tc>
        <w:tc>
          <w:tcPr>
            <w:tcW w:w="0" w:type="dxa"/>
            <w:vAlign w:val="bottom"/>
          </w:tcPr>
          <w:p>
            <w:pPr>
              <w:spacing w:after="0"/>
              <w:rPr>
                <w:sz w:val="1"/>
                <w:szCs w:val="1"/>
                <w:color w:val="auto"/>
              </w:rPr>
            </w:pPr>
          </w:p>
        </w:tc>
      </w:tr>
      <w:tr>
        <w:trPr>
          <w:trHeight w:val="124"/>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Beacon Behavioral Services,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6/21/2029</w:t>
            </w:r>
          </w:p>
        </w:tc>
        <w:tc>
          <w:tcPr>
            <w:tcW w:w="1820" w:type="dxa"/>
            <w:vAlign w:val="bottom"/>
            <w:vMerge w:val="restart"/>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1120" w:type="dxa"/>
            <w:vAlign w:val="bottom"/>
            <w:vMerge w:val="restart"/>
          </w:tcPr>
          <w:p>
            <w:pPr>
              <w:jc w:val="right"/>
              <w:ind w:right="112"/>
              <w:spacing w:after="0"/>
              <w:rPr>
                <w:sz w:val="20"/>
                <w:szCs w:val="20"/>
                <w:color w:val="auto"/>
              </w:rPr>
            </w:pPr>
            <w:r>
              <w:rPr>
                <w:rFonts w:ascii="Times New Roman" w:cs="Times New Roman" w:eastAsia="Times New Roman" w:hAnsi="Times New Roman"/>
                <w:sz w:val="10"/>
                <w:szCs w:val="10"/>
                <w:color w:val="auto"/>
              </w:rPr>
              <w:t>9.83 %</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12,845</w:t>
            </w:r>
          </w:p>
        </w:tc>
        <w:tc>
          <w:tcPr>
            <w:tcW w:w="240" w:type="dxa"/>
            <w:vAlign w:val="bottom"/>
          </w:tcPr>
          <w:p>
            <w:pPr>
              <w:spacing w:after="0"/>
              <w:rPr>
                <w:sz w:val="10"/>
                <w:szCs w:val="10"/>
                <w:color w:val="auto"/>
              </w:rPr>
            </w:pPr>
          </w:p>
        </w:tc>
        <w:tc>
          <w:tcPr>
            <w:tcW w:w="6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12,673</w:t>
            </w:r>
          </w:p>
        </w:tc>
        <w:tc>
          <w:tcPr>
            <w:tcW w:w="180" w:type="dxa"/>
            <w:vAlign w:val="bottom"/>
          </w:tcPr>
          <w:p>
            <w:pPr>
              <w:spacing w:after="0"/>
              <w:rPr>
                <w:sz w:val="10"/>
                <w:szCs w:val="10"/>
                <w:color w:val="auto"/>
              </w:rPr>
            </w:pPr>
          </w:p>
        </w:tc>
        <w:tc>
          <w:tcPr>
            <w:tcW w:w="7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12,652</w:t>
            </w:r>
          </w:p>
        </w:tc>
        <w:tc>
          <w:tcPr>
            <w:tcW w:w="0" w:type="dxa"/>
            <w:vAlign w:val="bottom"/>
          </w:tcPr>
          <w:p>
            <w:pPr>
              <w:spacing w:after="0"/>
              <w:rPr>
                <w:sz w:val="1"/>
                <w:szCs w:val="1"/>
                <w:color w:val="auto"/>
              </w:rPr>
            </w:pPr>
          </w:p>
        </w:tc>
      </w:tr>
      <w:tr>
        <w:trPr>
          <w:trHeight w:val="32"/>
        </w:trPr>
        <w:tc>
          <w:tcPr>
            <w:tcW w:w="31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182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Best Practice Associates,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11/8/2029</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11.08 %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SOFR+675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10,000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9,916</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9,850</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7/1/2029</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10.08 %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4,888</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4,819</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4,753</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Big Top Holdings,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2/28/2030</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10.11 %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14,788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14,548</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14,788</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1/31/2028</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11.03 %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SOFR+650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8,865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8,778</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8,754</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9/17/2026</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9.73 %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SOFR+540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14,934</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14,752</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14,679</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BlueHalo Financing Holdings,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10.41 %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SOFR+600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8,666</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8,642</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8,622</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9/26/2029</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Automotive</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9.68 %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SOFR+535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441</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416</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391</w:t>
            </w:r>
          </w:p>
        </w:tc>
        <w:tc>
          <w:tcPr>
            <w:tcW w:w="0" w:type="dxa"/>
            <w:vAlign w:val="bottom"/>
          </w:tcPr>
          <w:p>
            <w:pPr>
              <w:spacing w:after="0"/>
              <w:rPr>
                <w:sz w:val="1"/>
                <w:szCs w:val="1"/>
                <w:color w:val="auto"/>
              </w:rPr>
            </w:pPr>
          </w:p>
        </w:tc>
      </w:tr>
      <w:tr>
        <w:trPr>
          <w:trHeight w:val="132"/>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By Light Professional IT Services,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5/16/2025</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11.53 %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SOFR+698</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12,932</w:t>
            </w:r>
          </w:p>
        </w:tc>
        <w:tc>
          <w:tcPr>
            <w:tcW w:w="240" w:type="dxa"/>
            <w:vAlign w:val="bottom"/>
          </w:tcPr>
          <w:p>
            <w:pPr>
              <w:spacing w:after="0"/>
              <w:rPr>
                <w:sz w:val="11"/>
                <w:szCs w:val="11"/>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12,917</w:t>
            </w:r>
          </w:p>
        </w:tc>
        <w:tc>
          <w:tcPr>
            <w:tcW w:w="180" w:type="dxa"/>
            <w:vAlign w:val="bottom"/>
          </w:tcPr>
          <w:p>
            <w:pPr>
              <w:spacing w:after="0"/>
              <w:rPr>
                <w:sz w:val="11"/>
                <w:szCs w:val="1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12,932</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C5MI Holdco,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7/31/2029</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IT Services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10.33 %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SOFR+600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14,963</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14,749</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14,738</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Carisk Buyer, Inc - Amendment No.1 Term Loan</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12/1/2029</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9.58 %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10,000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9,931</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9,850</w:t>
            </w:r>
          </w:p>
        </w:tc>
        <w:tc>
          <w:tcPr>
            <w:tcW w:w="0" w:type="dxa"/>
            <w:vAlign w:val="bottom"/>
          </w:tcPr>
          <w:p>
            <w:pPr>
              <w:spacing w:after="0"/>
              <w:rPr>
                <w:sz w:val="1"/>
                <w:szCs w:val="1"/>
                <w:color w:val="auto"/>
              </w:rPr>
            </w:pPr>
          </w:p>
        </w:tc>
      </w:tr>
      <w:tr>
        <w:trPr>
          <w:trHeight w:val="121"/>
        </w:trPr>
        <w:tc>
          <w:tcPr>
            <w:tcW w:w="316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Media: Advertising, Printing &amp;</w:t>
            </w:r>
          </w:p>
        </w:tc>
        <w:tc>
          <w:tcPr>
            <w:tcW w:w="112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Carnegie Dartlet,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2/7/2030</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Publishing</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9.86 %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15,205</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14,991</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14,977</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6/14/2028</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10.08 %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9,514</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9,415</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9,514</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Case Works,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10/1/2029</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9.58 %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15,000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14,876</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14,880</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8/20/2026</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10.69 %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SOFR+619</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6,533</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6,474</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6,435</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Confluent Health,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10/28/2028</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8.47 %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SOFR+400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6,690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6,498</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6,506</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7/13/2027</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10.39 %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SOFR+561</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3,765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3,726</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3,765</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8/16/2027</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10.22 %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SOFR+586</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2,062</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2,046</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2,047</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8/31/2027</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9.68 %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SOFR+535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14,525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14,378</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14,525</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12/21/2028</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9.71 %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SOFR+535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2,594</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2,423</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2,516</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11/3/2025</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Goods: Durable</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10.71 %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SOFR+635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13,694</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13,677</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13,640</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Duggal Acquisiton,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9/30/2030</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9.08 %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SOFR+475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4,988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4,940</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4,938</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Dynata, LLC - First Out Term Loan </w:t>
            </w:r>
            <w:r>
              <w:rPr>
                <w:rFonts w:ascii="Times New Roman" w:cs="Times New Roman" w:eastAsia="Times New Roman" w:hAnsi="Times New Roman"/>
                <w:sz w:val="12"/>
                <w:szCs w:val="12"/>
                <w:color w:val="auto"/>
                <w:vertAlign w:val="superscript"/>
              </w:rPr>
              <w:t>(5)</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7/15/2028</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9.79 %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SOFR+526</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1,357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1,266</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1,357</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Dynata, LLC - Last Out Term Loan</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10/15/2028</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10.29 %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SOFR+576</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8,418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8,418</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7,808</w:t>
            </w:r>
          </w:p>
        </w:tc>
        <w:tc>
          <w:tcPr>
            <w:tcW w:w="0" w:type="dxa"/>
            <w:vAlign w:val="bottom"/>
          </w:tcPr>
          <w:p>
            <w:pPr>
              <w:spacing w:after="0"/>
              <w:rPr>
                <w:sz w:val="1"/>
                <w:szCs w:val="1"/>
                <w:color w:val="auto"/>
              </w:rPr>
            </w:pPr>
          </w:p>
        </w:tc>
      </w:tr>
      <w:tr>
        <w:trPr>
          <w:trHeight w:val="121"/>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Electronic Equipment, Instruments,</w:t>
            </w:r>
          </w:p>
        </w:tc>
        <w:tc>
          <w:tcPr>
            <w:tcW w:w="1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1/10/2029</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and Components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10.08 %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8,843</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8,745</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8,776</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Emergency Care Partners,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10/18/2027</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10.13 %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5,985</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5,945</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5,940</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3/15/2027</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10.92 %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SOFR+635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12,514</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12,394</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12,514</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5/29/2029</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11.01 %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SOFR+650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12,218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12,011</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12,218</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Eval Home Solutions Intermediate,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5/10/2030</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10.11 %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9,245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9,112</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9,152</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Fairbanks More Defense</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6/17/2028</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9.33 %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SOFR+450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10,092</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10,051</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10,141</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GGG MIDCO,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9/27/2030</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9.41 %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SOFR+500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9,988</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9,893</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9,888</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3/16/2026</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9.98 %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SOFR+560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3,620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3,612</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3,475</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8/10/2027</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10.03 %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SOFR+560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3,713</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3,679</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3,657</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12/31/2026</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9.93 %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SOFR+560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2,153</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2,133</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2,153</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Harris &amp; Co.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8/9/2030</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9.36 %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SOFR+500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19,950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19,785</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19,950</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HEC Purchaser Corp</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6/17/2029</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9.75 %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3,682</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3,641</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3,667</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Hills Distribution,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11/8/2029</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10.40 %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SOFR+600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8,935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8,813</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8,845</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5/10/2026</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10.23 %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SOFR+590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3,486</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3,458</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3,486</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11/15/2027</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9.59 %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SOFR+510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9,131</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9,005</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9,108</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12/28/2028</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9.83 %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6,014</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5,924</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6,014</w:t>
            </w:r>
          </w:p>
        </w:tc>
        <w:tc>
          <w:tcPr>
            <w:tcW w:w="0" w:type="dxa"/>
            <w:vAlign w:val="bottom"/>
          </w:tcPr>
          <w:p>
            <w:pPr>
              <w:spacing w:after="0"/>
              <w:rPr>
                <w:sz w:val="1"/>
                <w:szCs w:val="1"/>
                <w:color w:val="auto"/>
              </w:rPr>
            </w:pPr>
          </w:p>
        </w:tc>
      </w:tr>
      <w:tr>
        <w:trPr>
          <w:trHeight w:val="193"/>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Integrative Nutrition,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1/31/2025</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120" w:type="dxa"/>
            <w:vAlign w:val="bottom"/>
          </w:tcPr>
          <w:p>
            <w:pPr>
              <w:jc w:val="right"/>
              <w:ind w:right="112"/>
              <w:spacing w:after="0" w:line="193" w:lineRule="exact"/>
              <w:rPr>
                <w:sz w:val="20"/>
                <w:szCs w:val="20"/>
                <w:color w:val="auto"/>
              </w:rPr>
            </w:pPr>
            <w:r>
              <w:rPr>
                <w:rFonts w:ascii="Times New Roman" w:cs="Times New Roman" w:eastAsia="Times New Roman" w:hAnsi="Times New Roman"/>
                <w:sz w:val="10"/>
                <w:szCs w:val="10"/>
                <w:color w:val="auto"/>
              </w:rPr>
              <w:t xml:space="preserve">11.75 </w:t>
            </w:r>
            <w:r>
              <w:rPr>
                <w:rFonts w:ascii="Times New Roman" w:cs="Times New Roman" w:eastAsia="Times New Roman" w:hAnsi="Times New Roman"/>
                <w:sz w:val="19"/>
                <w:szCs w:val="19"/>
                <w:color w:val="auto"/>
                <w:vertAlign w:val="subscript"/>
              </w:rPr>
              <w:t>%</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SOFR+715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11,250</w:t>
            </w:r>
          </w:p>
        </w:tc>
        <w:tc>
          <w:tcPr>
            <w:tcW w:w="240" w:type="dxa"/>
            <w:vAlign w:val="bottom"/>
          </w:tcPr>
          <w:p>
            <w:pPr>
              <w:spacing w:after="0"/>
              <w:rPr>
                <w:sz w:val="16"/>
                <w:szCs w:val="16"/>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11,236</w:t>
            </w:r>
          </w:p>
        </w:tc>
        <w:tc>
          <w:tcPr>
            <w:tcW w:w="180" w:type="dxa"/>
            <w:vAlign w:val="bottom"/>
          </w:tcPr>
          <w:p>
            <w:pPr>
              <w:spacing w:after="0"/>
              <w:rPr>
                <w:sz w:val="16"/>
                <w:szCs w:val="16"/>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8,437</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(PIK 2.25%)</w:t>
            </w: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Inventus Power,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6/30/2025</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Goods: Durable</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11.97 %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SOFR+761</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8,143</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8,094</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8,143</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ITI Holdings,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3/3/2028</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IT Services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10.05 %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SOFR+565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3,890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3,849</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3,890</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11/10/2027</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10.48 %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SOFR+615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13,492</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13,301</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13,492</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2/18/2027</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12.28 %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SOFR+785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14,923</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14,750</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14,700</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820" w:type="dxa"/>
            <w:vAlign w:val="bottom"/>
            <w:shd w:val="clear" w:color="auto" w:fill="CCECFF"/>
          </w:tcPr>
          <w:p>
            <w:pPr>
              <w:spacing w:after="0"/>
              <w:rPr>
                <w:sz w:val="10"/>
                <w:szCs w:val="10"/>
                <w:color w:val="auto"/>
              </w:rPr>
            </w:pPr>
          </w:p>
        </w:tc>
        <w:tc>
          <w:tcPr>
            <w:tcW w:w="112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(PIK 5.10%)</w:t>
            </w:r>
          </w:p>
        </w:tc>
        <w:tc>
          <w:tcPr>
            <w:tcW w:w="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160" w:type="dxa"/>
            <w:vAlign w:val="bottom"/>
          </w:tcPr>
          <w:p>
            <w:pPr>
              <w:ind w:left="20"/>
              <w:spacing w:after="0" w:line="121" w:lineRule="exact"/>
              <w:rPr>
                <w:sz w:val="20"/>
                <w:szCs w:val="20"/>
                <w:color w:val="auto"/>
              </w:rPr>
            </w:pPr>
            <w:r>
              <w:rPr>
                <w:rFonts w:ascii="Times New Roman" w:cs="Times New Roman" w:eastAsia="Times New Roman" w:hAnsi="Times New Roman"/>
                <w:sz w:val="10"/>
                <w:szCs w:val="10"/>
                <w:color w:val="auto"/>
              </w:rPr>
              <w:t xml:space="preserve">LAV Gear Holdings, Inc. </w:t>
            </w:r>
            <w:r>
              <w:rPr>
                <w:rFonts w:ascii="Times New Roman" w:cs="Times New Roman" w:eastAsia="Times New Roman" w:hAnsi="Times New Roman"/>
                <w:sz w:val="12"/>
                <w:szCs w:val="12"/>
                <w:color w:val="auto"/>
                <w:vertAlign w:val="superscript"/>
              </w:rPr>
              <w:t>(5)</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10.87 %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SOFR+643</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15,352</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15,331</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14,600</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(PIK 10.87%)</w:t>
            </w: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2/3/2026</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10.00 %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SOFR+540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11,330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11,267</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11,216</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1/31/2030</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Environmental Industries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9.28 %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2,553</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2,511</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2,553</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5/31/2028</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10.33 %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SOFR+600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7,389</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7,277</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7,334</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Lucky Bucks, LLC - First-Out Term Loan </w:t>
            </w:r>
            <w:r>
              <w:rPr>
                <w:rFonts w:ascii="Times New Roman" w:cs="Times New Roman" w:eastAsia="Times New Roman" w:hAnsi="Times New Roman"/>
                <w:sz w:val="12"/>
                <w:szCs w:val="12"/>
                <w:color w:val="auto"/>
                <w:vertAlign w:val="superscript"/>
              </w:rPr>
              <w:t>(5)</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10/2/2028</w:t>
            </w:r>
          </w:p>
        </w:tc>
        <w:tc>
          <w:tcPr>
            <w:tcW w:w="18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12.10 %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SOFR+765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258</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258</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258</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Lucky Bucks, LLC - Last-Out Term Loan</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10/2/2029</w:t>
            </w:r>
          </w:p>
        </w:tc>
        <w:tc>
          <w:tcPr>
            <w:tcW w:w="18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12.10 %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SOFR+765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517</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517</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517</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4/1/2027</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9.93 %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SOFR+560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2,212</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2,143</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2,068</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 - First-Out Term Loan</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7/31/2028</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11.60 %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SOFR+701</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357</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357</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328</w:t>
            </w:r>
          </w:p>
        </w:tc>
        <w:tc>
          <w:tcPr>
            <w:tcW w:w="0" w:type="dxa"/>
            <w:vAlign w:val="bottom"/>
          </w:tcPr>
          <w:p>
            <w:pPr>
              <w:spacing w:after="0"/>
              <w:rPr>
                <w:sz w:val="1"/>
                <w:szCs w:val="1"/>
                <w:color w:val="auto"/>
              </w:rPr>
            </w:pPr>
          </w:p>
        </w:tc>
      </w:tr>
      <w:tr>
        <w:trPr>
          <w:trHeight w:val="121"/>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Magenta Buyer, LLC - Second-Out Term Loan</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7/31/2028</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12.60 %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SOFR+801</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458</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458</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270</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(PIK 6.25%)</w:t>
            </w: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 - Third-Out Term Loan</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7/31/2028</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11.85 %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SOFR+726</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1,695</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1,695</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570</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820" w:type="dxa"/>
            <w:vAlign w:val="bottom"/>
            <w:shd w:val="clear" w:color="auto" w:fill="CCECFF"/>
          </w:tcPr>
          <w:p>
            <w:pPr>
              <w:spacing w:after="0"/>
              <w:rPr>
                <w:sz w:val="10"/>
                <w:szCs w:val="10"/>
                <w:color w:val="auto"/>
              </w:rPr>
            </w:pPr>
          </w:p>
        </w:tc>
        <w:tc>
          <w:tcPr>
            <w:tcW w:w="112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(PIK 5.50%)</w:t>
            </w:r>
          </w:p>
        </w:tc>
        <w:tc>
          <w:tcPr>
            <w:tcW w:w="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4/16/2027</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10.67 %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SOFR+585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8,309</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8,226</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8,317</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MDI Buyer,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7/25/2028</w:t>
            </w: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10.08 %</w:t>
            </w:r>
          </w:p>
        </w:tc>
        <w:tc>
          <w:tcPr>
            <w:tcW w:w="9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6,300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6,213</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6,244</w:t>
            </w:r>
          </w:p>
        </w:tc>
        <w:tc>
          <w:tcPr>
            <w:tcW w:w="0" w:type="dxa"/>
            <w:vAlign w:val="bottom"/>
          </w:tcPr>
          <w:p>
            <w:pPr>
              <w:spacing w:after="0"/>
              <w:rPr>
                <w:sz w:val="1"/>
                <w:szCs w:val="1"/>
                <w:color w:val="auto"/>
              </w:rPr>
            </w:pPr>
          </w:p>
        </w:tc>
      </w:tr>
      <w:tr>
        <w:trPr>
          <w:trHeight w:val="124"/>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12/10/2027</w:t>
            </w: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9.98 %</w:t>
            </w:r>
          </w:p>
        </w:tc>
        <w:tc>
          <w:tcPr>
            <w:tcW w:w="9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SOFR+590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2,342</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2,315</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2,283</w:t>
            </w: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408940</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90" w:right="68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20"/>
        </w:trPr>
        <w:tc>
          <w:tcPr>
            <w:tcW w:w="3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620" w:type="dxa"/>
            <w:vAlign w:val="bottom"/>
          </w:tcPr>
          <w:p>
            <w:pPr>
              <w:jc w:val="center"/>
              <w:ind w:left="152"/>
              <w:spacing w:after="0"/>
              <w:rPr>
                <w:sz w:val="20"/>
                <w:szCs w:val="20"/>
                <w:color w:val="auto"/>
              </w:rPr>
            </w:pPr>
            <w:r>
              <w:rPr>
                <w:rFonts w:ascii="Times New Roman" w:cs="Times New Roman" w:eastAsia="Times New Roman" w:hAnsi="Times New Roman"/>
                <w:sz w:val="10"/>
                <w:szCs w:val="10"/>
                <w:b w:val="1"/>
                <w:bCs w:val="1"/>
                <w:color w:val="auto"/>
                <w:w w:val="97"/>
              </w:rPr>
              <w:t>Current</w:t>
            </w:r>
          </w:p>
        </w:tc>
        <w:tc>
          <w:tcPr>
            <w:tcW w:w="50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Spread Above</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Par or Number of</w:t>
            </w: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60" w:type="dxa"/>
            <w:vAlign w:val="bottom"/>
          </w:tcPr>
          <w:p>
            <w:pPr>
              <w:ind w:left="2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Issuer Name </w:t>
            </w:r>
            <w:r>
              <w:rPr>
                <w:rFonts w:ascii="Times New Roman" w:cs="Times New Roman" w:eastAsia="Times New Roman" w:hAnsi="Times New Roman"/>
                <w:sz w:val="12"/>
                <w:szCs w:val="12"/>
                <w:b w:val="1"/>
                <w:bCs w:val="1"/>
                <w:color w:val="auto"/>
                <w:vertAlign w:val="superscript"/>
              </w:rPr>
              <w:t>(6)</w:t>
            </w:r>
          </w:p>
        </w:tc>
        <w:tc>
          <w:tcPr>
            <w:tcW w:w="860" w:type="dxa"/>
            <w:vAlign w:val="bottom"/>
          </w:tcPr>
          <w:p>
            <w:pPr>
              <w:ind w:left="24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80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620" w:type="dxa"/>
            <w:vAlign w:val="bottom"/>
          </w:tcPr>
          <w:p>
            <w:pPr>
              <w:jc w:val="center"/>
              <w:ind w:left="172"/>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50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(1)</w:t>
            </w:r>
          </w:p>
        </w:tc>
        <w:tc>
          <w:tcPr>
            <w:tcW w:w="96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40" w:type="dxa"/>
            <w:vAlign w:val="bottom"/>
          </w:tcPr>
          <w:p>
            <w:pPr>
              <w:spacing w:after="0"/>
              <w:rPr>
                <w:sz w:val="10"/>
                <w:szCs w:val="10"/>
                <w:color w:val="auto"/>
              </w:rPr>
            </w:pPr>
          </w:p>
        </w:tc>
        <w:tc>
          <w:tcPr>
            <w:tcW w:w="62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0"/>
                <w:szCs w:val="10"/>
                <w:color w:val="auto"/>
              </w:rPr>
            </w:pPr>
          </w:p>
        </w:tc>
        <w:tc>
          <w:tcPr>
            <w:tcW w:w="700" w:type="dxa"/>
            <w:vAlign w:val="bottom"/>
          </w:tcPr>
          <w:p>
            <w:pPr>
              <w:jc w:val="right"/>
              <w:ind w:right="132"/>
              <w:spacing w:after="0" w:line="122" w:lineRule="exact"/>
              <w:rPr>
                <w:sz w:val="20"/>
                <w:szCs w:val="20"/>
                <w:color w:val="auto"/>
              </w:rPr>
            </w:pPr>
            <w:r>
              <w:rPr>
                <w:rFonts w:ascii="Times New Roman" w:cs="Times New Roman" w:eastAsia="Times New Roman" w:hAnsi="Times New Roman"/>
                <w:sz w:val="10"/>
                <w:szCs w:val="10"/>
                <w:b w:val="1"/>
                <w:bCs w:val="1"/>
                <w:color w:val="auto"/>
                <w:w w:val="90"/>
              </w:rPr>
              <w:t>Fair Value</w:t>
            </w:r>
            <w:r>
              <w:rPr>
                <w:rFonts w:ascii="Times New Roman" w:cs="Times New Roman" w:eastAsia="Times New Roman" w:hAnsi="Times New Roman"/>
                <w:sz w:val="12"/>
                <w:szCs w:val="12"/>
                <w:b w:val="1"/>
                <w:bCs w:val="1"/>
                <w:color w:val="auto"/>
                <w:w w:val="90"/>
                <w:vertAlign w:val="superscript"/>
              </w:rPr>
              <w:t>(2)</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Medina Health, LLC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10/20/2028</w:t>
            </w: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w w:val="95"/>
              </w:rPr>
              <w:t>10.58 %</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SOFR+625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19,151</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18,878</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19,151</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Electronic Equipment, Instruments,</w:t>
            </w: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Megawatt Acquisitionco, Inc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3/1/2030</w:t>
            </w:r>
          </w:p>
        </w:tc>
        <w:tc>
          <w:tcPr>
            <w:tcW w:w="18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and Components</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9.83 %</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15,632</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15,427</w:t>
            </w: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13,661</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Mission Critical Electronics, Inc.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3/31/2025</w:t>
            </w: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w w:val="95"/>
              </w:rPr>
              <w:t>10.23 %</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SOFR+590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5,536</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5,536</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5,536</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MOREGroup Holdings, Inc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1/16/2030</w:t>
            </w:r>
          </w:p>
        </w:tc>
        <w:tc>
          <w:tcPr>
            <w:tcW w:w="18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9.58 %</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13,034</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12,865</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13,034</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9/28/2027</w:t>
            </w:r>
          </w:p>
        </w:tc>
        <w:tc>
          <w:tcPr>
            <w:tcW w:w="180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Distributors</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9.48 %</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SOFR+515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3,386</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3,350</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3,386</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8/19/2026</w:t>
            </w:r>
          </w:p>
        </w:tc>
        <w:tc>
          <w:tcPr>
            <w:tcW w:w="18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Education &amp; Childcare</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10.38 %</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SOFR+585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10,575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10,486</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10,575</w:t>
            </w:r>
          </w:p>
        </w:tc>
        <w:tc>
          <w:tcPr>
            <w:tcW w:w="0" w:type="dxa"/>
            <w:vAlign w:val="bottom"/>
          </w:tcPr>
          <w:p>
            <w:pPr>
              <w:spacing w:after="0"/>
              <w:rPr>
                <w:sz w:val="1"/>
                <w:szCs w:val="1"/>
                <w:color w:val="auto"/>
              </w:rPr>
            </w:pPr>
          </w:p>
        </w:tc>
      </w:tr>
      <w:tr>
        <w:trPr>
          <w:trHeight w:val="160"/>
        </w:trPr>
        <w:tc>
          <w:tcPr>
            <w:tcW w:w="31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NFS - CFP Holdings LLC</w:t>
            </w:r>
          </w:p>
        </w:tc>
        <w:tc>
          <w:tcPr>
            <w:tcW w:w="86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9/13/2030</w:t>
            </w:r>
          </w:p>
        </w:tc>
        <w:tc>
          <w:tcPr>
            <w:tcW w:w="1800" w:type="dxa"/>
            <w:vAlign w:val="bottom"/>
            <w:tcBorders>
              <w:bottom w:val="single" w:sz="8" w:color="CCECFF"/>
            </w:tcBorders>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620" w:type="dxa"/>
            <w:vAlign w:val="bottom"/>
            <w:tcBorders>
              <w:bottom w:val="single" w:sz="8" w:color="CCECFF"/>
            </w:tcBorders>
            <w:shd w:val="clear" w:color="auto" w:fill="CCECFF"/>
          </w:tcPr>
          <w:p>
            <w:pPr>
              <w:spacing w:after="0"/>
              <w:rPr>
                <w:sz w:val="13"/>
                <w:szCs w:val="13"/>
                <w:color w:val="auto"/>
              </w:rPr>
            </w:pPr>
          </w:p>
        </w:tc>
        <w:tc>
          <w:tcPr>
            <w:tcW w:w="500" w:type="dxa"/>
            <w:vAlign w:val="bottom"/>
            <w:tcBorders>
              <w:bottom w:val="single" w:sz="8" w:color="CCECFF"/>
            </w:tcBorders>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9.08 %</w:t>
            </w:r>
          </w:p>
        </w:tc>
        <w:tc>
          <w:tcPr>
            <w:tcW w:w="92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SOFR+475</w:t>
            </w:r>
          </w:p>
        </w:tc>
        <w:tc>
          <w:tcPr>
            <w:tcW w:w="96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14,963</w:t>
            </w:r>
          </w:p>
        </w:tc>
        <w:tc>
          <w:tcPr>
            <w:tcW w:w="240" w:type="dxa"/>
            <w:vAlign w:val="bottom"/>
            <w:tcBorders>
              <w:bottom w:val="single" w:sz="8" w:color="CCECFF"/>
            </w:tcBorders>
            <w:shd w:val="clear" w:color="auto" w:fill="CCECFF"/>
          </w:tcPr>
          <w:p>
            <w:pPr>
              <w:spacing w:after="0"/>
              <w:rPr>
                <w:sz w:val="13"/>
                <w:szCs w:val="13"/>
                <w:color w:val="auto"/>
              </w:rPr>
            </w:pPr>
          </w:p>
        </w:tc>
        <w:tc>
          <w:tcPr>
            <w:tcW w:w="62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14,859</w:t>
            </w:r>
          </w:p>
        </w:tc>
        <w:tc>
          <w:tcPr>
            <w:tcW w:w="180" w:type="dxa"/>
            <w:vAlign w:val="bottom"/>
            <w:tcBorders>
              <w:bottom w:val="single" w:sz="8" w:color="CCECFF"/>
            </w:tcBorders>
            <w:shd w:val="clear" w:color="auto" w:fill="CCECFF"/>
          </w:tcPr>
          <w:p>
            <w:pPr>
              <w:spacing w:after="0"/>
              <w:rPr>
                <w:sz w:val="13"/>
                <w:szCs w:val="13"/>
                <w:color w:val="auto"/>
              </w:rPr>
            </w:pPr>
          </w:p>
        </w:tc>
        <w:tc>
          <w:tcPr>
            <w:tcW w:w="700" w:type="dxa"/>
            <w:vAlign w:val="bottom"/>
            <w:tcBorders>
              <w:bottom w:val="single" w:sz="8" w:color="CCECFF"/>
            </w:tcBorders>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14,850</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NORA Acquisition,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8/31/2029</w:t>
            </w:r>
          </w:p>
        </w:tc>
        <w:tc>
          <w:tcPr>
            <w:tcW w:w="18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10.68 %</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SOFR+635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21,220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20,883</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21,220</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Omnia Exterior Solutions, LLC - Second Amendment Term Loan</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12/29/2029</w:t>
            </w: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9.58 %</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12,989</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12,881</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12,891</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5/7/2027</w:t>
            </w:r>
          </w:p>
        </w:tc>
        <w:tc>
          <w:tcPr>
            <w:tcW w:w="18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10.72 %</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SOFR+636</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15,640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15,451</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15,640</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ORL Acquisitions, Inc.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9/3/2027</w:t>
            </w: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w w:val="95"/>
              </w:rPr>
              <w:t>13.73 %</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SOFR+940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2,170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2,156</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1,888</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1800" w:type="dxa"/>
            <w:vAlign w:val="bottom"/>
            <w:shd w:val="clear" w:color="auto" w:fill="CCECFF"/>
          </w:tcPr>
          <w:p>
            <w:pPr>
              <w:spacing w:after="0"/>
              <w:rPr>
                <w:sz w:val="10"/>
                <w:szCs w:val="10"/>
                <w:color w:val="auto"/>
              </w:rPr>
            </w:pPr>
          </w:p>
        </w:tc>
        <w:tc>
          <w:tcPr>
            <w:tcW w:w="1120" w:type="dxa"/>
            <w:vAlign w:val="bottom"/>
            <w:gridSpan w:val="2"/>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(PIK 7.50%)</w:t>
            </w:r>
          </w:p>
        </w:tc>
        <w:tc>
          <w:tcPr>
            <w:tcW w:w="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OSP Embedded Purchaser,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12/15/2029</w:t>
            </w:r>
          </w:p>
        </w:tc>
        <w:tc>
          <w:tcPr>
            <w:tcW w:w="18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10.08 %</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9,975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9,831</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9,815</w:t>
            </w:r>
          </w:p>
        </w:tc>
        <w:tc>
          <w:tcPr>
            <w:tcW w:w="0" w:type="dxa"/>
            <w:vAlign w:val="bottom"/>
          </w:tcPr>
          <w:p>
            <w:pPr>
              <w:spacing w:after="0"/>
              <w:rPr>
                <w:sz w:val="1"/>
                <w:szCs w:val="1"/>
                <w:color w:val="auto"/>
              </w:rPr>
            </w:pPr>
          </w:p>
        </w:tc>
      </w:tr>
      <w:tr>
        <w:trPr>
          <w:trHeight w:val="156"/>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Output Services Group, Inc - First-Out Term Loan</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11/30/2028</w:t>
            </w:r>
          </w:p>
        </w:tc>
        <w:tc>
          <w:tcPr>
            <w:tcW w:w="180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20" w:type="dxa"/>
            <w:vAlign w:val="bottom"/>
            <w:shd w:val="clear" w:color="auto" w:fill="CCECFF"/>
          </w:tcPr>
          <w:p>
            <w:pPr>
              <w:spacing w:after="0"/>
              <w:rPr>
                <w:sz w:val="13"/>
                <w:szCs w:val="13"/>
                <w:color w:val="auto"/>
              </w:rPr>
            </w:pPr>
          </w:p>
        </w:tc>
        <w:tc>
          <w:tcPr>
            <w:tcW w:w="500" w:type="dxa"/>
            <w:vAlign w:val="bottom"/>
            <w:shd w:val="clear" w:color="auto" w:fill="CCECFF"/>
          </w:tcPr>
          <w:p>
            <w:pPr>
              <w:jc w:val="right"/>
              <w:ind w:right="112"/>
              <w:spacing w:after="0" w:line="156" w:lineRule="exact"/>
              <w:rPr>
                <w:sz w:val="20"/>
                <w:szCs w:val="20"/>
                <w:color w:val="auto"/>
              </w:rPr>
            </w:pPr>
            <w:r>
              <w:rPr>
                <w:rFonts w:ascii="Times New Roman" w:cs="Times New Roman" w:eastAsia="Times New Roman" w:hAnsi="Times New Roman"/>
                <w:sz w:val="9"/>
                <w:szCs w:val="9"/>
                <w:color w:val="auto"/>
                <w:w w:val="98"/>
              </w:rPr>
              <w:t xml:space="preserve">12.86 </w:t>
            </w:r>
            <w:r>
              <w:rPr>
                <w:rFonts w:ascii="Times New Roman" w:cs="Times New Roman" w:eastAsia="Times New Roman" w:hAnsi="Times New Roman"/>
                <w:sz w:val="18"/>
                <w:szCs w:val="18"/>
                <w:color w:val="auto"/>
                <w:w w:val="98"/>
                <w:vertAlign w:val="superscript"/>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SOFR+800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821</w:t>
            </w:r>
          </w:p>
        </w:tc>
        <w:tc>
          <w:tcPr>
            <w:tcW w:w="240" w:type="dxa"/>
            <w:vAlign w:val="bottom"/>
            <w:shd w:val="clear" w:color="auto" w:fill="CCECFF"/>
          </w:tcPr>
          <w:p>
            <w:pPr>
              <w:spacing w:after="0"/>
              <w:rPr>
                <w:sz w:val="13"/>
                <w:szCs w:val="13"/>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821</w:t>
            </w:r>
          </w:p>
        </w:tc>
        <w:tc>
          <w:tcPr>
            <w:tcW w:w="180" w:type="dxa"/>
            <w:vAlign w:val="bottom"/>
            <w:shd w:val="clear" w:color="auto" w:fill="CCECFF"/>
          </w:tcPr>
          <w:p>
            <w:pPr>
              <w:spacing w:after="0"/>
              <w:rPr>
                <w:sz w:val="13"/>
                <w:szCs w:val="13"/>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821</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Output Services Group, Inc - Last-Out Term Loan</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5/30/2028</w:t>
            </w:r>
          </w:p>
        </w:tc>
        <w:tc>
          <w:tcPr>
            <w:tcW w:w="18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11.11 %</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SOFR+625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1,667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1,667</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1,667</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2/4/2028</w:t>
            </w:r>
          </w:p>
        </w:tc>
        <w:tc>
          <w:tcPr>
            <w:tcW w:w="180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9.71 %</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SOFR+535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3,893</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3,844</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3,844</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Pacific Purchaser,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9/30/2028</w:t>
            </w:r>
          </w:p>
        </w:tc>
        <w:tc>
          <w:tcPr>
            <w:tcW w:w="18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10.53 %</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SOFR+625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11,908</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11,727</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11,801</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PAR Excellence Holdings, Inc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9/3/2030</w:t>
            </w:r>
          </w:p>
        </w:tc>
        <w:tc>
          <w:tcPr>
            <w:tcW w:w="180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9.47 %</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SOFR+475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5,000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4,954</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4,950</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PCS Midco, Inc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3/1/2030</w:t>
            </w:r>
          </w:p>
        </w:tc>
        <w:tc>
          <w:tcPr>
            <w:tcW w:w="18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10.08 %</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3,862</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3,812</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3,862</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PH Beauty Holdings III, Inc.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9/29/2025</w:t>
            </w: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Wholesale</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w w:val="95"/>
              </w:rPr>
              <w:t>10.17 %</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SOFR+543</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9,366</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9,293</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9,281</w:t>
            </w:r>
          </w:p>
        </w:tc>
        <w:tc>
          <w:tcPr>
            <w:tcW w:w="0" w:type="dxa"/>
            <w:vAlign w:val="bottom"/>
          </w:tcPr>
          <w:p>
            <w:pPr>
              <w:spacing w:after="0"/>
              <w:rPr>
                <w:sz w:val="1"/>
                <w:szCs w:val="1"/>
                <w:color w:val="auto"/>
              </w:rPr>
            </w:pPr>
          </w:p>
        </w:tc>
      </w:tr>
      <w:tr>
        <w:trPr>
          <w:trHeight w:val="121"/>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11/9/2027</w:t>
            </w:r>
          </w:p>
        </w:tc>
        <w:tc>
          <w:tcPr>
            <w:tcW w:w="18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Textiles, Apparel and Luxury Goods</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11.99 %</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SOFR+725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7,927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7,850</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5,787</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120" w:type="dxa"/>
            <w:vAlign w:val="bottom"/>
            <w:gridSpan w:val="2"/>
          </w:tcPr>
          <w:p>
            <w:pPr>
              <w:jc w:val="right"/>
              <w:ind w:right="212"/>
              <w:spacing w:after="0"/>
              <w:rPr>
                <w:sz w:val="20"/>
                <w:szCs w:val="20"/>
                <w:color w:val="auto"/>
              </w:rPr>
            </w:pPr>
            <w:r>
              <w:rPr>
                <w:rFonts w:ascii="Times New Roman" w:cs="Times New Roman" w:eastAsia="Times New Roman" w:hAnsi="Times New Roman"/>
                <w:sz w:val="10"/>
                <w:szCs w:val="10"/>
                <w:color w:val="auto"/>
              </w:rPr>
              <w:t>(PIK 4.00%)</w:t>
            </w: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Pragmatic Institute, LLC </w:t>
            </w:r>
            <w:r>
              <w:rPr>
                <w:rFonts w:ascii="Times New Roman" w:cs="Times New Roman" w:eastAsia="Times New Roman" w:hAnsi="Times New Roman"/>
                <w:sz w:val="12"/>
                <w:szCs w:val="12"/>
                <w:color w:val="auto"/>
                <w:vertAlign w:val="superscript"/>
              </w:rPr>
              <w:t>(4)</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7/6/2028</w:t>
            </w:r>
          </w:p>
        </w:tc>
        <w:tc>
          <w:tcPr>
            <w:tcW w:w="180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Education</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0.00 %</w:t>
            </w:r>
          </w:p>
        </w:tc>
        <w:tc>
          <w:tcPr>
            <w:tcW w:w="92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11,953</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11,454</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5,020</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11/19/2026</w:t>
            </w:r>
          </w:p>
        </w:tc>
        <w:tc>
          <w:tcPr>
            <w:tcW w:w="18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10.43 %</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SOFR+610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2,768</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2,752</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2,768</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12/18/2025</w:t>
            </w: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9.81 %</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18,908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18,832</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18,767</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1/29/2026</w:t>
            </w:r>
          </w:p>
        </w:tc>
        <w:tc>
          <w:tcPr>
            <w:tcW w:w="18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11.48 %</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SOFR+715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4,813</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4,788</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4,764</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RRA Corporate, LLC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8/15/2029</w:t>
            </w: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9.33 %</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SOFR+500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4,988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4,941</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4,963</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RTIC Subsidiary Holdings,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5/3/2029</w:t>
            </w:r>
          </w:p>
        </w:tc>
        <w:tc>
          <w:tcPr>
            <w:tcW w:w="18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Consumer Goods: Durable</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10.08 %</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9,950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9,813</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9,776</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6/15/2029</w:t>
            </w:r>
          </w:p>
        </w:tc>
        <w:tc>
          <w:tcPr>
            <w:tcW w:w="180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w w:val="95"/>
              </w:rPr>
              <w:t>10.04 %</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4,325</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4,259</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4,260</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S101 Acquisition, Inc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18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Government Services</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10.17 %</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SOFR+565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5,671</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5,616</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5,643</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Sabel Systems Technology Solutions, LLC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10/31/2030</w:t>
            </w:r>
          </w:p>
        </w:tc>
        <w:tc>
          <w:tcPr>
            <w:tcW w:w="180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w w:val="95"/>
              </w:rPr>
              <w:t>10.58 %</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SOFR+625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6,000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5,944</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5,940</w:t>
            </w: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Safe Haven Defense US,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5/23/2029</w:t>
            </w:r>
          </w:p>
        </w:tc>
        <w:tc>
          <w:tcPr>
            <w:tcW w:w="18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620" w:type="dxa"/>
            <w:vAlign w:val="bottom"/>
          </w:tcPr>
          <w:p>
            <w:pPr>
              <w:spacing w:after="0"/>
              <w:rPr>
                <w:sz w:val="12"/>
                <w:szCs w:val="12"/>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9.36 %</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9,946</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9,809</w:t>
            </w:r>
          </w:p>
        </w:tc>
        <w:tc>
          <w:tcPr>
            <w:tcW w:w="180" w:type="dxa"/>
            <w:vAlign w:val="bottom"/>
          </w:tcPr>
          <w:p>
            <w:pPr>
              <w:spacing w:after="0"/>
              <w:rPr>
                <w:sz w:val="12"/>
                <w:szCs w:val="12"/>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9,946</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7/7/2026</w:t>
            </w:r>
          </w:p>
        </w:tc>
        <w:tc>
          <w:tcPr>
            <w:tcW w:w="180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w w:val="95"/>
              </w:rPr>
              <w:t>10.53 %</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SOFR+620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9,268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9,247</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9,268</w:t>
            </w:r>
          </w:p>
        </w:tc>
        <w:tc>
          <w:tcPr>
            <w:tcW w:w="0" w:type="dxa"/>
            <w:vAlign w:val="bottom"/>
          </w:tcPr>
          <w:p>
            <w:pPr>
              <w:spacing w:after="0"/>
              <w:rPr>
                <w:sz w:val="1"/>
                <w:szCs w:val="1"/>
                <w:color w:val="auto"/>
              </w:rPr>
            </w:pPr>
          </w:p>
        </w:tc>
      </w:tr>
      <w:tr>
        <w:trPr>
          <w:trHeight w:val="121"/>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Schlesinger Global, Inc.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7/14/2025</w:t>
            </w:r>
          </w:p>
        </w:tc>
        <w:tc>
          <w:tcPr>
            <w:tcW w:w="18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12.96 %</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SOFR+835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12,574</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12,574</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11,976</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120" w:type="dxa"/>
            <w:vAlign w:val="bottom"/>
            <w:gridSpan w:val="2"/>
          </w:tcPr>
          <w:p>
            <w:pPr>
              <w:jc w:val="right"/>
              <w:ind w:right="212"/>
              <w:spacing w:after="0"/>
              <w:rPr>
                <w:sz w:val="20"/>
                <w:szCs w:val="20"/>
                <w:color w:val="auto"/>
              </w:rPr>
            </w:pPr>
            <w:r>
              <w:rPr>
                <w:rFonts w:ascii="Times New Roman" w:cs="Times New Roman" w:eastAsia="Times New Roman" w:hAnsi="Times New Roman"/>
                <w:sz w:val="10"/>
                <w:szCs w:val="10"/>
                <w:color w:val="auto"/>
              </w:rPr>
              <w:t>(PIK 0.50%)</w:t>
            </w: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6/13/2029</w:t>
            </w:r>
          </w:p>
        </w:tc>
        <w:tc>
          <w:tcPr>
            <w:tcW w:w="180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w w:val="95"/>
              </w:rPr>
              <w:t>10.48 %</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SOFR+615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4,888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4,833</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4,692</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12/18/2027</w:t>
            </w:r>
          </w:p>
        </w:tc>
        <w:tc>
          <w:tcPr>
            <w:tcW w:w="18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11.23 %</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SOFR+690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18,537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18,310</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18,444</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Smartronix, LLC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11/23/2028</w:t>
            </w:r>
          </w:p>
        </w:tc>
        <w:tc>
          <w:tcPr>
            <w:tcW w:w="180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w w:val="95"/>
              </w:rPr>
              <w:t>10.35 %</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SOFR+610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4,850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4,791</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4,850</w:t>
            </w:r>
          </w:p>
        </w:tc>
        <w:tc>
          <w:tcPr>
            <w:tcW w:w="0" w:type="dxa"/>
            <w:vAlign w:val="bottom"/>
          </w:tcPr>
          <w:p>
            <w:pPr>
              <w:spacing w:after="0"/>
              <w:rPr>
                <w:sz w:val="1"/>
                <w:szCs w:val="1"/>
                <w:color w:val="auto"/>
              </w:rPr>
            </w:pPr>
          </w:p>
        </w:tc>
      </w:tr>
      <w:tr>
        <w:trPr>
          <w:trHeight w:val="121"/>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Smile Brands Inc.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10/14/2025</w:t>
            </w:r>
          </w:p>
        </w:tc>
        <w:tc>
          <w:tcPr>
            <w:tcW w:w="18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10.43 %</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SOFR+600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11,922</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11,901</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10,551</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120" w:type="dxa"/>
            <w:vAlign w:val="bottom"/>
            <w:gridSpan w:val="2"/>
          </w:tcPr>
          <w:p>
            <w:pPr>
              <w:jc w:val="right"/>
              <w:ind w:right="212"/>
              <w:spacing w:after="0"/>
              <w:rPr>
                <w:sz w:val="20"/>
                <w:szCs w:val="20"/>
                <w:color w:val="auto"/>
              </w:rPr>
            </w:pPr>
            <w:r>
              <w:rPr>
                <w:rFonts w:ascii="Times New Roman" w:cs="Times New Roman" w:eastAsia="Times New Roman" w:hAnsi="Times New Roman"/>
                <w:sz w:val="10"/>
                <w:szCs w:val="10"/>
                <w:color w:val="auto"/>
              </w:rPr>
              <w:t>(PIK 1.50%)</w:t>
            </w: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7/17/2025</w:t>
            </w: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w w:val="95"/>
              </w:rPr>
              <w:t>11.74 %</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SOFR+715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4,582</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4,566</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4,582</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3/1/2028</w:t>
            </w:r>
          </w:p>
        </w:tc>
        <w:tc>
          <w:tcPr>
            <w:tcW w:w="18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9.48 %</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SOFR+515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4,060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4,011</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4,060</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11/24/2028</w:t>
            </w: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8.76 %</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SOFR+425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1,773</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1,700</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1,418</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SV-Aero Holdings,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11/1/2030</w:t>
            </w:r>
          </w:p>
        </w:tc>
        <w:tc>
          <w:tcPr>
            <w:tcW w:w="18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9.58 %</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15,000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14,925</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14,850</w:t>
            </w:r>
          </w:p>
        </w:tc>
        <w:tc>
          <w:tcPr>
            <w:tcW w:w="0" w:type="dxa"/>
            <w:vAlign w:val="bottom"/>
          </w:tcPr>
          <w:p>
            <w:pPr>
              <w:spacing w:after="0"/>
              <w:rPr>
                <w:sz w:val="1"/>
                <w:szCs w:val="1"/>
                <w:color w:val="auto"/>
              </w:rPr>
            </w:pPr>
          </w:p>
        </w:tc>
      </w:tr>
      <w:tr>
        <w:trPr>
          <w:trHeight w:val="121"/>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w w:val="97"/>
              </w:rPr>
              <w:t>System Planning and Analysis, Inc. (f/k/a Management Consulting &amp; Research,</w:t>
            </w:r>
          </w:p>
        </w:tc>
        <w:tc>
          <w:tcPr>
            <w:tcW w:w="860" w:type="dxa"/>
            <w:vAlign w:val="bottom"/>
            <w:shd w:val="clear" w:color="auto" w:fill="CCECFF"/>
          </w:tcPr>
          <w:p>
            <w:pPr>
              <w:spacing w:after="0"/>
              <w:rPr>
                <w:sz w:val="10"/>
                <w:szCs w:val="10"/>
                <w:color w:val="auto"/>
              </w:rPr>
            </w:pPr>
          </w:p>
        </w:tc>
        <w:tc>
          <w:tcPr>
            <w:tcW w:w="18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LLC)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8/16/2027</w:t>
            </w:r>
          </w:p>
        </w:tc>
        <w:tc>
          <w:tcPr>
            <w:tcW w:w="180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9.28 %</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SOFR+500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14,550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14,417</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14,565</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97"/>
              </w:rPr>
              <w:t>STG Distribution, LLC (fka Reception Purchaser) - First Out New Money Term</w:t>
            </w:r>
          </w:p>
        </w:tc>
        <w:tc>
          <w:tcPr>
            <w:tcW w:w="8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Loans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10/3/2029</w:t>
            </w:r>
          </w:p>
        </w:tc>
        <w:tc>
          <w:tcPr>
            <w:tcW w:w="18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12.87 %</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SOFR+835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1,855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1,752</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1,836</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120" w:type="dxa"/>
            <w:vAlign w:val="bottom"/>
            <w:gridSpan w:val="2"/>
          </w:tcPr>
          <w:p>
            <w:pPr>
              <w:jc w:val="right"/>
              <w:ind w:right="212"/>
              <w:spacing w:after="0"/>
              <w:rPr>
                <w:sz w:val="20"/>
                <w:szCs w:val="20"/>
                <w:color w:val="auto"/>
              </w:rPr>
            </w:pPr>
            <w:r>
              <w:rPr>
                <w:rFonts w:ascii="Times New Roman" w:cs="Times New Roman" w:eastAsia="Times New Roman" w:hAnsi="Times New Roman"/>
                <w:sz w:val="10"/>
                <w:szCs w:val="10"/>
                <w:color w:val="auto"/>
              </w:rPr>
              <w:t>(PIK 7.25%)</w:t>
            </w: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STG Distribution, LLC (fka Reception Purchaser) - Second Out Term Loans</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10/3/2029</w:t>
            </w: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w w:val="95"/>
              </w:rPr>
              <w:t>12.12 %</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SOFR+760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4,314</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2,309</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2,243</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1800" w:type="dxa"/>
            <w:vAlign w:val="bottom"/>
            <w:shd w:val="clear" w:color="auto" w:fill="CCECFF"/>
          </w:tcPr>
          <w:p>
            <w:pPr>
              <w:spacing w:after="0"/>
              <w:rPr>
                <w:sz w:val="10"/>
                <w:szCs w:val="10"/>
                <w:color w:val="auto"/>
              </w:rPr>
            </w:pPr>
          </w:p>
        </w:tc>
        <w:tc>
          <w:tcPr>
            <w:tcW w:w="1120" w:type="dxa"/>
            <w:vAlign w:val="bottom"/>
            <w:gridSpan w:val="2"/>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(PIK 6.50%)</w:t>
            </w:r>
          </w:p>
        </w:tc>
        <w:tc>
          <w:tcPr>
            <w:tcW w:w="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TCG 3.0 Jogger Acquisitionco</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1/23/2029</w:t>
            </w:r>
          </w:p>
        </w:tc>
        <w:tc>
          <w:tcPr>
            <w:tcW w:w="18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rPr>
              <w:t>Media</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10.83 %</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SOFR+650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19,577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19,278</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19,381</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11/24/2028</w:t>
            </w: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9.46 %</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SOFR+500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342</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332</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343</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3/13/2031</w:t>
            </w:r>
          </w:p>
        </w:tc>
        <w:tc>
          <w:tcPr>
            <w:tcW w:w="18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9.11 %</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SOFR+475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5,459</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5,405</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5,501</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7/27/2026</w:t>
            </w:r>
          </w:p>
        </w:tc>
        <w:tc>
          <w:tcPr>
            <w:tcW w:w="180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w w:val="95"/>
              </w:rPr>
              <w:t>10.98 %</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SOFR+665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8,504</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8,421</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8,504</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8/31/2027</w:t>
            </w:r>
          </w:p>
        </w:tc>
        <w:tc>
          <w:tcPr>
            <w:tcW w:w="18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Construction and Engineering</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10.50 %</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SOFR+610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17,617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17,379</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17,370</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TPC US Parent, LLC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11/24/2025</w:t>
            </w:r>
          </w:p>
        </w:tc>
        <w:tc>
          <w:tcPr>
            <w:tcW w:w="180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Consumer Goods: Non-Durable</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w w:val="95"/>
              </w:rPr>
              <w:t>10.44 %</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SOFR+565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16,482</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16,379</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16,481</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Transgo,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12/29/2028</w:t>
            </w:r>
          </w:p>
        </w:tc>
        <w:tc>
          <w:tcPr>
            <w:tcW w:w="18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Automotive</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95"/>
              </w:rPr>
              <w:t>10.11 %</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17,884</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17,647</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17,884</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6/16/2025</w:t>
            </w: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w w:val="95"/>
              </w:rPr>
              <w:t>10.80 %</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SOFR+640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779</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780</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778</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4/1/2028</w:t>
            </w:r>
          </w:p>
        </w:tc>
        <w:tc>
          <w:tcPr>
            <w:tcW w:w="18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IT Services</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9.49 %</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SOFR+490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14,670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14,587</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14,464</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6/15/2026</w:t>
            </w: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9.83 %</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6,806</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6,739</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6,771</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w:t>
            </w:r>
            <w:r>
              <w:rPr>
                <w:rFonts w:ascii="Times New Roman" w:cs="Times New Roman" w:eastAsia="Times New Roman" w:hAnsi="Times New Roman"/>
                <w:sz w:val="12"/>
                <w:szCs w:val="12"/>
                <w:color w:val="auto"/>
                <w:vertAlign w:val="superscript"/>
              </w:rPr>
              <w:t>(4)(5)</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3/1/2029</w:t>
            </w:r>
          </w:p>
        </w:tc>
        <w:tc>
          <w:tcPr>
            <w:tcW w:w="18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Wholesale</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0.00 %</w:t>
            </w:r>
          </w:p>
        </w:tc>
        <w:tc>
          <w:tcPr>
            <w:tcW w:w="920" w:type="dxa"/>
            <w:vAlign w:val="bottom"/>
          </w:tcPr>
          <w:p>
            <w:pPr>
              <w:spacing w:after="0"/>
              <w:rPr>
                <w:sz w:val="10"/>
                <w:szCs w:val="10"/>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5,708</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5,028</w:t>
            </w:r>
          </w:p>
        </w:tc>
        <w:tc>
          <w:tcPr>
            <w:tcW w:w="18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w w:val="97"/>
              </w:rPr>
              <w:t xml:space="preserve">Walker Edison Furniture Company LLC - Junior Revolving Credit Facility </w:t>
            </w:r>
            <w:r>
              <w:rPr>
                <w:rFonts w:ascii="Times New Roman" w:cs="Times New Roman" w:eastAsia="Times New Roman" w:hAnsi="Times New Roman"/>
                <w:sz w:val="12"/>
                <w:szCs w:val="12"/>
                <w:color w:val="auto"/>
                <w:w w:val="97"/>
                <w:vertAlign w:val="superscript"/>
              </w:rPr>
              <w:t>(4)(5)</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3/1/2029</w:t>
            </w: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Wholesale</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0.00 %</w:t>
            </w:r>
          </w:p>
        </w:tc>
        <w:tc>
          <w:tcPr>
            <w:tcW w:w="92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1,667</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1,667</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1,128</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 DDTL - Unfunded </w:t>
            </w:r>
            <w:r>
              <w:rPr>
                <w:rFonts w:ascii="Times New Roman" w:cs="Times New Roman" w:eastAsia="Times New Roman" w:hAnsi="Times New Roman"/>
                <w:sz w:val="12"/>
                <w:szCs w:val="12"/>
                <w:color w:val="auto"/>
                <w:vertAlign w:val="superscript"/>
              </w:rPr>
              <w:t>(3)(4)(5)</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3/1/2029</w:t>
            </w:r>
          </w:p>
        </w:tc>
        <w:tc>
          <w:tcPr>
            <w:tcW w:w="18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Wholesale</w:t>
            </w: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0.00 %</w:t>
            </w:r>
          </w:p>
        </w:tc>
        <w:tc>
          <w:tcPr>
            <w:tcW w:w="920" w:type="dxa"/>
            <w:vAlign w:val="bottom"/>
          </w:tcPr>
          <w:p>
            <w:pPr>
              <w:spacing w:after="0"/>
              <w:rPr>
                <w:sz w:val="10"/>
                <w:szCs w:val="10"/>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(42 )</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Watchtower Buyer, LLC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12/3/2029</w:t>
            </w: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w w:val="95"/>
              </w:rPr>
              <w:t>10.33 %</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SOFR+600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12,158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11,988</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12,158</w:t>
            </w:r>
          </w:p>
        </w:tc>
        <w:tc>
          <w:tcPr>
            <w:tcW w:w="0" w:type="dxa"/>
            <w:vAlign w:val="bottom"/>
          </w:tcPr>
          <w:p>
            <w:pPr>
              <w:spacing w:after="0"/>
              <w:rPr>
                <w:sz w:val="1"/>
                <w:szCs w:val="1"/>
                <w:color w:val="auto"/>
              </w:rPr>
            </w:pPr>
          </w:p>
        </w:tc>
      </w:tr>
      <w:tr>
        <w:trPr>
          <w:trHeight w:val="124"/>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8"/>
              </w:rPr>
              <w:t>1/16/2025</w:t>
            </w:r>
          </w:p>
        </w:tc>
        <w:tc>
          <w:tcPr>
            <w:tcW w:w="1800" w:type="dxa"/>
            <w:vAlign w:val="bottom"/>
            <w:vMerge w:val="restart"/>
          </w:tcPr>
          <w:p>
            <w:pPr>
              <w:jc w:val="center"/>
              <w:ind w:right="12"/>
              <w:spacing w:after="0"/>
              <w:rPr>
                <w:sz w:val="20"/>
                <w:szCs w:val="20"/>
                <w:color w:val="auto"/>
              </w:rPr>
            </w:pPr>
            <w:r>
              <w:rPr>
                <w:rFonts w:ascii="Times New Roman" w:cs="Times New Roman" w:eastAsia="Times New Roman" w:hAnsi="Times New Roman"/>
                <w:sz w:val="10"/>
                <w:szCs w:val="10"/>
                <w:color w:val="auto"/>
                <w:w w:val="96"/>
              </w:rPr>
              <w:t>Automobiles</w:t>
            </w:r>
          </w:p>
        </w:tc>
        <w:tc>
          <w:tcPr>
            <w:tcW w:w="620" w:type="dxa"/>
            <w:vAlign w:val="bottom"/>
          </w:tcPr>
          <w:p>
            <w:pPr>
              <w:spacing w:after="0"/>
              <w:rPr>
                <w:sz w:val="10"/>
                <w:szCs w:val="10"/>
                <w:color w:val="auto"/>
              </w:rPr>
            </w:pPr>
          </w:p>
        </w:tc>
        <w:tc>
          <w:tcPr>
            <w:tcW w:w="500" w:type="dxa"/>
            <w:vAlign w:val="bottom"/>
            <w:vMerge w:val="restart"/>
          </w:tcPr>
          <w:p>
            <w:pPr>
              <w:jc w:val="right"/>
              <w:ind w:right="112"/>
              <w:spacing w:after="0"/>
              <w:rPr>
                <w:sz w:val="20"/>
                <w:szCs w:val="20"/>
                <w:color w:val="auto"/>
              </w:rPr>
            </w:pPr>
            <w:r>
              <w:rPr>
                <w:rFonts w:ascii="Times New Roman" w:cs="Times New Roman" w:eastAsia="Times New Roman" w:hAnsi="Times New Roman"/>
                <w:sz w:val="10"/>
                <w:szCs w:val="10"/>
                <w:color w:val="auto"/>
                <w:w w:val="95"/>
              </w:rPr>
              <w:t>12.46 %</w:t>
            </w:r>
          </w:p>
        </w:tc>
        <w:tc>
          <w:tcPr>
            <w:tcW w:w="9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SOFR+740</w:t>
            </w:r>
          </w:p>
        </w:tc>
        <w:tc>
          <w:tcPr>
            <w:tcW w:w="9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17,264</w:t>
            </w:r>
          </w:p>
        </w:tc>
        <w:tc>
          <w:tcPr>
            <w:tcW w:w="240" w:type="dxa"/>
            <w:vAlign w:val="bottom"/>
          </w:tcPr>
          <w:p>
            <w:pPr>
              <w:spacing w:after="0"/>
              <w:rPr>
                <w:sz w:val="10"/>
                <w:szCs w:val="10"/>
                <w:color w:val="auto"/>
              </w:rPr>
            </w:pPr>
          </w:p>
        </w:tc>
        <w:tc>
          <w:tcPr>
            <w:tcW w:w="6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17,262</w:t>
            </w:r>
          </w:p>
        </w:tc>
        <w:tc>
          <w:tcPr>
            <w:tcW w:w="180" w:type="dxa"/>
            <w:vAlign w:val="bottom"/>
          </w:tcPr>
          <w:p>
            <w:pPr>
              <w:spacing w:after="0"/>
              <w:rPr>
                <w:sz w:val="10"/>
                <w:szCs w:val="10"/>
                <w:color w:val="auto"/>
              </w:rPr>
            </w:pPr>
          </w:p>
        </w:tc>
        <w:tc>
          <w:tcPr>
            <w:tcW w:w="7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15,321</w:t>
            </w:r>
          </w:p>
        </w:tc>
        <w:tc>
          <w:tcPr>
            <w:tcW w:w="0" w:type="dxa"/>
            <w:vAlign w:val="bottom"/>
          </w:tcPr>
          <w:p>
            <w:pPr>
              <w:spacing w:after="0"/>
              <w:rPr>
                <w:sz w:val="1"/>
                <w:szCs w:val="1"/>
                <w:color w:val="auto"/>
              </w:rPr>
            </w:pPr>
          </w:p>
        </w:tc>
      </w:tr>
      <w:tr>
        <w:trPr>
          <w:trHeight w:val="56"/>
        </w:trPr>
        <w:tc>
          <w:tcPr>
            <w:tcW w:w="31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8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3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120" w:type="dxa"/>
            <w:vAlign w:val="bottom"/>
            <w:gridSpan w:val="2"/>
          </w:tcPr>
          <w:p>
            <w:pPr>
              <w:jc w:val="right"/>
              <w:ind w:right="212"/>
              <w:spacing w:after="0"/>
              <w:rPr>
                <w:sz w:val="20"/>
                <w:szCs w:val="20"/>
                <w:color w:val="auto"/>
              </w:rPr>
            </w:pPr>
            <w:r>
              <w:rPr>
                <w:rFonts w:ascii="Times New Roman" w:cs="Times New Roman" w:eastAsia="Times New Roman" w:hAnsi="Times New Roman"/>
                <w:sz w:val="10"/>
                <w:szCs w:val="10"/>
                <w:color w:val="auto"/>
              </w:rPr>
              <w:t>(PIK 12.46%)</w:t>
            </w: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860" w:type="dxa"/>
            <w:vAlign w:val="bottom"/>
            <w:shd w:val="clear" w:color="auto" w:fill="CCECFF"/>
          </w:tcPr>
          <w:p>
            <w:pPr>
              <w:spacing w:after="0"/>
              <w:rPr>
                <w:sz w:val="10"/>
                <w:szCs w:val="10"/>
                <w:color w:val="auto"/>
              </w:rPr>
            </w:pPr>
          </w:p>
        </w:tc>
        <w:tc>
          <w:tcPr>
            <w:tcW w:w="18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1,064,272</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1,041,856</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Equity Securities - 7.6%</w:t>
            </w:r>
          </w:p>
        </w:tc>
        <w:tc>
          <w:tcPr>
            <w:tcW w:w="860" w:type="dxa"/>
            <w:vAlign w:val="bottom"/>
            <w:shd w:val="clear" w:color="auto" w:fill="CCECFF"/>
          </w:tcPr>
          <w:p>
            <w:pPr>
              <w:spacing w:after="0"/>
              <w:rPr>
                <w:sz w:val="10"/>
                <w:szCs w:val="10"/>
                <w:color w:val="auto"/>
              </w:rPr>
            </w:pPr>
          </w:p>
        </w:tc>
        <w:tc>
          <w:tcPr>
            <w:tcW w:w="18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48Forty Intermediate Holdings, Inc.- Common Equity</w:t>
            </w:r>
          </w:p>
        </w:tc>
        <w:tc>
          <w:tcPr>
            <w:tcW w:w="86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8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Containers and Packaging</w:t>
            </w:r>
          </w:p>
        </w:tc>
        <w:tc>
          <w:tcPr>
            <w:tcW w:w="620" w:type="dxa"/>
            <w:vAlign w:val="bottom"/>
          </w:tcPr>
          <w:p>
            <w:pPr>
              <w:spacing w:after="0"/>
              <w:rPr>
                <w:sz w:val="10"/>
                <w:szCs w:val="10"/>
                <w:color w:val="auto"/>
              </w:rPr>
            </w:pP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New Insight Holdings, Inc.</w:t>
            </w:r>
          </w:p>
        </w:tc>
        <w:tc>
          <w:tcPr>
            <w:tcW w:w="86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2,031</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2,225</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Lucky Bucks, LLC</w:t>
            </w:r>
          </w:p>
        </w:tc>
        <w:tc>
          <w:tcPr>
            <w:tcW w:w="86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8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620" w:type="dxa"/>
            <w:vAlign w:val="bottom"/>
          </w:tcPr>
          <w:p>
            <w:pPr>
              <w:spacing w:after="0"/>
              <w:rPr>
                <w:sz w:val="10"/>
                <w:szCs w:val="10"/>
                <w:color w:val="auto"/>
              </w:rPr>
            </w:pP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2,062</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781</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Output Services Group, Inc</w:t>
            </w:r>
          </w:p>
        </w:tc>
        <w:tc>
          <w:tcPr>
            <w:tcW w:w="86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80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126</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1,012</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1,316</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Walker Edison Furniture - Common Equity</w:t>
            </w:r>
          </w:p>
        </w:tc>
        <w:tc>
          <w:tcPr>
            <w:tcW w:w="86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8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Wholesale</w:t>
            </w:r>
          </w:p>
        </w:tc>
        <w:tc>
          <w:tcPr>
            <w:tcW w:w="620" w:type="dxa"/>
            <w:vAlign w:val="bottom"/>
          </w:tcPr>
          <w:p>
            <w:pPr>
              <w:spacing w:after="0"/>
              <w:rPr>
                <w:sz w:val="10"/>
                <w:szCs w:val="10"/>
                <w:color w:val="auto"/>
              </w:rPr>
            </w:pP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3,393</w:t>
            </w:r>
          </w:p>
        </w:tc>
        <w:tc>
          <w:tcPr>
            <w:tcW w:w="18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Equity Securities</w:t>
            </w:r>
          </w:p>
        </w:tc>
        <w:tc>
          <w:tcPr>
            <w:tcW w:w="860" w:type="dxa"/>
            <w:vAlign w:val="bottom"/>
            <w:shd w:val="clear" w:color="auto" w:fill="CCECFF"/>
          </w:tcPr>
          <w:p>
            <w:pPr>
              <w:spacing w:after="0"/>
              <w:rPr>
                <w:sz w:val="10"/>
                <w:szCs w:val="10"/>
                <w:color w:val="auto"/>
              </w:rPr>
            </w:pPr>
          </w:p>
        </w:tc>
        <w:tc>
          <w:tcPr>
            <w:tcW w:w="18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8,498</w:t>
            </w: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4,322</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- 1,871.60%</w:t>
            </w:r>
          </w:p>
        </w:tc>
        <w:tc>
          <w:tcPr>
            <w:tcW w:w="8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1,072,770</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1,046,178</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- 95.9%</w:t>
            </w:r>
          </w:p>
        </w:tc>
        <w:tc>
          <w:tcPr>
            <w:tcW w:w="860" w:type="dxa"/>
            <w:vAlign w:val="bottom"/>
            <w:shd w:val="clear" w:color="auto" w:fill="CCECFF"/>
          </w:tcPr>
          <w:p>
            <w:pPr>
              <w:spacing w:after="0"/>
              <w:rPr>
                <w:sz w:val="10"/>
                <w:szCs w:val="10"/>
                <w:color w:val="auto"/>
              </w:rPr>
            </w:pPr>
          </w:p>
        </w:tc>
        <w:tc>
          <w:tcPr>
            <w:tcW w:w="18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8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4.43 %</w:t>
            </w: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53,629</w:t>
            </w:r>
          </w:p>
        </w:tc>
        <w:tc>
          <w:tcPr>
            <w:tcW w:w="1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53,629</w:t>
            </w: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408940</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24" w:right="680"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20"/>
        </w:trPr>
        <w:tc>
          <w:tcPr>
            <w:tcW w:w="27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80" w:type="dxa"/>
            <w:vAlign w:val="bottom"/>
          </w:tcPr>
          <w:p>
            <w:pPr>
              <w:jc w:val="center"/>
              <w:ind w:left="152"/>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27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0" w:type="dxa"/>
            <w:vAlign w:val="bottom"/>
          </w:tcPr>
          <w:p>
            <w:pPr>
              <w:jc w:val="center"/>
              <w:ind w:left="92"/>
              <w:spacing w:after="0"/>
              <w:rPr>
                <w:sz w:val="20"/>
                <w:szCs w:val="20"/>
                <w:color w:val="auto"/>
              </w:rPr>
            </w:pPr>
            <w:r>
              <w:rPr>
                <w:rFonts w:ascii="Times New Roman" w:cs="Times New Roman" w:eastAsia="Times New Roman" w:hAnsi="Times New Roman"/>
                <w:sz w:val="10"/>
                <w:szCs w:val="10"/>
                <w:b w:val="1"/>
                <w:bCs w:val="1"/>
                <w:color w:val="auto"/>
                <w:w w:val="97"/>
              </w:rPr>
              <w:t>Current</w:t>
            </w:r>
          </w:p>
        </w:tc>
        <w:tc>
          <w:tcPr>
            <w:tcW w:w="1080" w:type="dxa"/>
            <w:vAlign w:val="bottom"/>
          </w:tcPr>
          <w:p>
            <w:pPr>
              <w:jc w:val="center"/>
              <w:ind w:left="152"/>
              <w:spacing w:after="0"/>
              <w:rPr>
                <w:sz w:val="20"/>
                <w:szCs w:val="20"/>
                <w:color w:val="auto"/>
              </w:rPr>
            </w:pPr>
            <w:r>
              <w:rPr>
                <w:rFonts w:ascii="Times New Roman" w:cs="Times New Roman" w:eastAsia="Times New Roman" w:hAnsi="Times New Roman"/>
                <w:sz w:val="10"/>
                <w:szCs w:val="10"/>
                <w:b w:val="1"/>
                <w:bCs w:val="1"/>
                <w:color w:val="auto"/>
                <w:w w:val="92"/>
              </w:rPr>
              <w:t>Spread Above</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6"/>
              </w:rPr>
              <w:t>Par or Number of</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2"/>
        </w:trPr>
        <w:tc>
          <w:tcPr>
            <w:tcW w:w="2780" w:type="dxa"/>
            <w:vAlign w:val="bottom"/>
          </w:tcPr>
          <w:p>
            <w:pPr>
              <w:ind w:left="2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Issuer Name </w:t>
            </w:r>
            <w:r>
              <w:rPr>
                <w:rFonts w:ascii="Times New Roman" w:cs="Times New Roman" w:eastAsia="Times New Roman" w:hAnsi="Times New Roman"/>
                <w:sz w:val="12"/>
                <w:szCs w:val="12"/>
                <w:b w:val="1"/>
                <w:bCs w:val="1"/>
                <w:color w:val="auto"/>
                <w:vertAlign w:val="superscript"/>
              </w:rPr>
              <w:t>(6)</w:t>
            </w:r>
          </w:p>
        </w:tc>
        <w:tc>
          <w:tcPr>
            <w:tcW w:w="1460" w:type="dxa"/>
            <w:vAlign w:val="bottom"/>
          </w:tcPr>
          <w:p>
            <w:pPr>
              <w:ind w:left="62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320" w:type="dxa"/>
            <w:vAlign w:val="bottom"/>
          </w:tcPr>
          <w:p>
            <w:pPr>
              <w:ind w:left="460"/>
              <w:spacing w:after="0"/>
              <w:rPr>
                <w:sz w:val="20"/>
                <w:szCs w:val="20"/>
                <w:color w:val="auto"/>
              </w:rPr>
            </w:pPr>
            <w:r>
              <w:rPr>
                <w:rFonts w:ascii="Times New Roman" w:cs="Times New Roman" w:eastAsia="Times New Roman" w:hAnsi="Times New Roman"/>
                <w:sz w:val="10"/>
                <w:szCs w:val="10"/>
                <w:b w:val="1"/>
                <w:bCs w:val="1"/>
                <w:color w:val="auto"/>
              </w:rPr>
              <w:t>Industry</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1080" w:type="dxa"/>
            <w:vAlign w:val="bottom"/>
          </w:tcPr>
          <w:p>
            <w:pPr>
              <w:jc w:val="center"/>
              <w:ind w:left="152"/>
              <w:spacing w:after="0" w:line="122"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(1)</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89"/>
              </w:rPr>
              <w:t>Shares</w:t>
            </w:r>
          </w:p>
        </w:tc>
        <w:tc>
          <w:tcPr>
            <w:tcW w:w="52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0"/>
                <w:szCs w:val="10"/>
                <w:b w:val="1"/>
                <w:bCs w:val="1"/>
                <w:color w:val="auto"/>
                <w:w w:val="90"/>
              </w:rPr>
              <w:t>Fair Value</w:t>
            </w:r>
            <w:r>
              <w:rPr>
                <w:rFonts w:ascii="Times New Roman" w:cs="Times New Roman" w:eastAsia="Times New Roman" w:hAnsi="Times New Roman"/>
                <w:sz w:val="12"/>
                <w:szCs w:val="12"/>
                <w:b w:val="1"/>
                <w:bCs w:val="1"/>
                <w:color w:val="auto"/>
                <w:w w:val="90"/>
                <w:vertAlign w:val="superscript"/>
              </w:rPr>
              <w:t>(2)</w:t>
            </w: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1460" w:type="dxa"/>
            <w:vAlign w:val="bottom"/>
            <w:shd w:val="clear" w:color="auto" w:fill="CCECFF"/>
          </w:tcPr>
          <w:p>
            <w:pPr>
              <w:spacing w:after="0"/>
              <w:rPr>
                <w:sz w:val="10"/>
                <w:szCs w:val="10"/>
                <w:color w:val="auto"/>
              </w:rPr>
            </w:pPr>
          </w:p>
        </w:tc>
        <w:tc>
          <w:tcPr>
            <w:tcW w:w="1320" w:type="dxa"/>
            <w:vAlign w:val="bottom"/>
            <w:shd w:val="clear" w:color="auto" w:fill="CCECFF"/>
          </w:tcPr>
          <w:p>
            <w:pPr>
              <w:spacing w:after="0"/>
              <w:rPr>
                <w:sz w:val="10"/>
                <w:szCs w:val="10"/>
                <w:color w:val="auto"/>
              </w:rPr>
            </w:pPr>
          </w:p>
        </w:tc>
        <w:tc>
          <w:tcPr>
            <w:tcW w:w="120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53,629</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53,629</w:t>
            </w:r>
          </w:p>
        </w:tc>
        <w:tc>
          <w:tcPr>
            <w:tcW w:w="80" w:type="dxa"/>
            <w:vAlign w:val="bottom"/>
            <w:shd w:val="clear" w:color="auto" w:fill="CCECFF"/>
          </w:tcPr>
          <w:p>
            <w:pPr>
              <w:spacing w:after="0"/>
              <w:rPr>
                <w:sz w:val="10"/>
                <w:szCs w:val="10"/>
                <w:color w:val="auto"/>
              </w:rPr>
            </w:pPr>
          </w:p>
        </w:tc>
      </w:tr>
      <w:tr>
        <w:trPr>
          <w:trHeight w:val="120"/>
        </w:trPr>
        <w:tc>
          <w:tcPr>
            <w:tcW w:w="2780" w:type="dxa"/>
            <w:vAlign w:val="bottom"/>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Total Investments and Cash Equivalents —1,971.0%</w:t>
            </w:r>
          </w:p>
        </w:tc>
        <w:tc>
          <w:tcPr>
            <w:tcW w:w="14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1,126,399</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1,099,807</w:t>
            </w:r>
          </w:p>
        </w:tc>
        <w:tc>
          <w:tcPr>
            <w:tcW w:w="80" w:type="dxa"/>
            <w:vAlign w:val="bottom"/>
          </w:tcPr>
          <w:p>
            <w:pPr>
              <w:spacing w:after="0"/>
              <w:rPr>
                <w:sz w:val="10"/>
                <w:szCs w:val="10"/>
                <w:color w:val="auto"/>
              </w:rPr>
            </w:pPr>
          </w:p>
        </w:tc>
      </w:tr>
      <w:tr>
        <w:trPr>
          <w:trHeight w:val="20"/>
        </w:trPr>
        <w:tc>
          <w:tcPr>
            <w:tcW w:w="2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6"/>
        </w:trPr>
        <w:tc>
          <w:tcPr>
            <w:tcW w:w="2780" w:type="dxa"/>
            <w:vAlign w:val="bottom"/>
            <w:shd w:val="clear" w:color="auto" w:fill="CCECFF"/>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Liabilities in Excess of Other Assets — (1,871.0)%</w:t>
            </w:r>
          </w:p>
        </w:tc>
        <w:tc>
          <w:tcPr>
            <w:tcW w:w="1460" w:type="dxa"/>
            <w:vAlign w:val="bottom"/>
            <w:shd w:val="clear" w:color="auto" w:fill="CCECFF"/>
          </w:tcPr>
          <w:p>
            <w:pPr>
              <w:spacing w:after="0"/>
              <w:rPr>
                <w:sz w:val="8"/>
                <w:szCs w:val="8"/>
                <w:color w:val="auto"/>
              </w:rPr>
            </w:pPr>
          </w:p>
        </w:tc>
        <w:tc>
          <w:tcPr>
            <w:tcW w:w="1320" w:type="dxa"/>
            <w:vAlign w:val="bottom"/>
            <w:shd w:val="clear" w:color="auto" w:fill="CCECFF"/>
          </w:tcPr>
          <w:p>
            <w:pPr>
              <w:spacing w:after="0"/>
              <w:rPr>
                <w:sz w:val="8"/>
                <w:szCs w:val="8"/>
                <w:color w:val="auto"/>
              </w:rPr>
            </w:pPr>
          </w:p>
        </w:tc>
        <w:tc>
          <w:tcPr>
            <w:tcW w:w="1200" w:type="dxa"/>
            <w:vAlign w:val="bottom"/>
            <w:shd w:val="clear" w:color="auto" w:fill="CCECFF"/>
          </w:tcPr>
          <w:p>
            <w:pPr>
              <w:spacing w:after="0"/>
              <w:rPr>
                <w:sz w:val="8"/>
                <w:szCs w:val="8"/>
                <w:color w:val="auto"/>
              </w:rPr>
            </w:pPr>
          </w:p>
        </w:tc>
        <w:tc>
          <w:tcPr>
            <w:tcW w:w="1080" w:type="dxa"/>
            <w:vAlign w:val="bottom"/>
            <w:shd w:val="clear" w:color="auto" w:fill="CCECFF"/>
          </w:tcPr>
          <w:p>
            <w:pPr>
              <w:spacing w:after="0"/>
              <w:rPr>
                <w:sz w:val="8"/>
                <w:szCs w:val="8"/>
                <w:color w:val="auto"/>
              </w:rPr>
            </w:pPr>
          </w:p>
        </w:tc>
        <w:tc>
          <w:tcPr>
            <w:tcW w:w="108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700" w:type="dxa"/>
            <w:vAlign w:val="bottom"/>
            <w:gridSpan w:val="2"/>
            <w:shd w:val="clear" w:color="auto" w:fill="CCECFF"/>
          </w:tcPr>
          <w:p>
            <w:pPr>
              <w:jc w:val="right"/>
              <w:ind w:right="40"/>
              <w:spacing w:after="0" w:line="96" w:lineRule="exact"/>
              <w:rPr>
                <w:sz w:val="20"/>
                <w:szCs w:val="20"/>
                <w:color w:val="auto"/>
              </w:rPr>
            </w:pPr>
            <w:r>
              <w:rPr>
                <w:rFonts w:ascii="Times New Roman" w:cs="Times New Roman" w:eastAsia="Times New Roman" w:hAnsi="Times New Roman"/>
                <w:sz w:val="10"/>
                <w:szCs w:val="10"/>
                <w:color w:val="auto"/>
              </w:rPr>
              <w:t>(1,043,908 )</w:t>
            </w:r>
          </w:p>
        </w:tc>
      </w:tr>
      <w:tr>
        <w:trPr>
          <w:trHeight w:val="120"/>
        </w:trPr>
        <w:tc>
          <w:tcPr>
            <w:tcW w:w="2780" w:type="dxa"/>
            <w:vAlign w:val="bottom"/>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Members' Equity—100.0%</w:t>
            </w:r>
          </w:p>
        </w:tc>
        <w:tc>
          <w:tcPr>
            <w:tcW w:w="14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55,899</w:t>
            </w:r>
          </w:p>
        </w:tc>
        <w:tc>
          <w:tcPr>
            <w:tcW w:w="80" w:type="dxa"/>
            <w:vAlign w:val="bottom"/>
          </w:tcPr>
          <w:p>
            <w:pPr>
              <w:spacing w:after="0"/>
              <w:rPr>
                <w:sz w:val="10"/>
                <w:szCs w:val="10"/>
                <w:color w:val="auto"/>
              </w:rPr>
            </w:pPr>
          </w:p>
        </w:tc>
      </w:tr>
      <w:tr>
        <w:trPr>
          <w:trHeight w:val="20"/>
        </w:trPr>
        <w:tc>
          <w:tcPr>
            <w:tcW w:w="2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Represents floating rate instruments that accrue interest at a predetermined spread relative to an index, typically the applicable Secured Overnight Financing Rate or "SOFR". The spread may change based on the type of rate used. The terms in the Consolidated Schedule of Investments disclose the actual interest rate in effect as of the reporting period. All securities are subject to a SOFR floor where a spread is provided, unless noted. The spread provided includes PIK interest and other fee rates, if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0"/>
          <w:szCs w:val="10"/>
          <w:color w:val="auto"/>
        </w:rPr>
        <w:t>Valued based on PSSL’s accounting policy.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0"/>
          <w:szCs w:val="10"/>
          <w:color w:val="auto"/>
        </w:rPr>
        <w:t>Represents the purchase of a security with a delayed settlement or a revolving line of credit that is currently an unfunded investment. This security does not earn a basis point spread above an index while it is unfunded.</w:t>
      </w:r>
    </w:p>
    <w:p>
      <w:pPr>
        <w:spacing w:after="0" w:line="237" w:lineRule="auto"/>
        <w:rPr>
          <w:sz w:val="20"/>
          <w:szCs w:val="20"/>
          <w:color w:val="auto"/>
        </w:rPr>
      </w:pPr>
      <w:r>
        <w:rPr>
          <w:rFonts w:ascii="Times New Roman" w:cs="Times New Roman" w:eastAsia="Times New Roman" w:hAnsi="Times New Roman"/>
          <w:sz w:val="19"/>
          <w:szCs w:val="19"/>
          <w:color w:val="auto"/>
          <w:vertAlign w:val="superscript"/>
        </w:rPr>
        <w:t>(4)</w:t>
      </w:r>
      <w:r>
        <w:rPr>
          <w:rFonts w:ascii="Times New Roman" w:cs="Times New Roman" w:eastAsia="Times New Roman" w:hAnsi="Times New Roman"/>
          <w:sz w:val="10"/>
          <w:szCs w:val="10"/>
          <w:color w:val="auto"/>
        </w:rPr>
        <w:t>Non-accrual security.</w:t>
      </w:r>
    </w:p>
    <w:p>
      <w:pPr>
        <w:ind w:right="280"/>
        <w:spacing w:after="0" w:line="219" w:lineRule="auto"/>
        <w:rPr>
          <w:sz w:val="20"/>
          <w:szCs w:val="20"/>
          <w:color w:val="auto"/>
        </w:rPr>
      </w:pPr>
      <w:r>
        <w:rPr>
          <w:rFonts w:ascii="Times New Roman" w:cs="Times New Roman" w:eastAsia="Times New Roman" w:hAnsi="Times New Roman"/>
          <w:sz w:val="19"/>
          <w:szCs w:val="19"/>
          <w:color w:val="auto"/>
          <w:vertAlign w:val="superscript"/>
        </w:rPr>
        <w:t>(5)</w:t>
      </w:r>
      <w:r>
        <w:rPr>
          <w:rFonts w:ascii="Times New Roman" w:cs="Times New Roman" w:eastAsia="Times New Roman" w:hAnsi="Times New Roman"/>
          <w:sz w:val="10"/>
          <w:szCs w:val="10"/>
          <w:color w:val="auto"/>
        </w:rPr>
        <w:t>The securities, or a portion thereof, are not 1) pledged as collateral under the Credit Facility and held through Funding I; or, 2) securing the 2035 Asset-Backed Debt and held through PennantPark CLO VI, LLC, or, 3) securing the 2036 Asset-Backed Debt and held through PennantPark CLO II, Ltd.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0"/>
          <w:szCs w:val="10"/>
          <w:color w:val="auto"/>
        </w:rPr>
        <w:t>All investments are in US Companies unless noted otherwise.</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24" w:right="680" w:bottom="1440" w:gutter="0" w:footer="0" w:header="0"/>
        </w:sectPr>
      </w:pPr>
    </w:p>
    <w:bookmarkStart w:id="61" w:name="page62"/>
    <w:bookmarkEnd w:id="61"/>
    <w:p>
      <w:pPr>
        <w:ind w:left="420"/>
        <w:spacing w:after="0"/>
        <w:rPr>
          <w:sz w:val="20"/>
          <w:szCs w:val="20"/>
          <w:color w:val="auto"/>
        </w:rPr>
      </w:pPr>
      <w:r>
        <w:rPr>
          <w:rFonts w:ascii="Times New Roman" w:cs="Times New Roman" w:eastAsia="Times New Roman" w:hAnsi="Times New Roman"/>
          <w:sz w:val="13"/>
          <w:szCs w:val="13"/>
          <w:color w:val="auto"/>
        </w:rPr>
        <w:t>Below is a listing of PSSL’s individual investments as of September 30, 2024 ($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Par or Number</w:t>
            </w: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Issuer Name </w:t>
            </w:r>
            <w:r>
              <w:rPr>
                <w:rFonts w:ascii="Times New Roman" w:cs="Times New Roman" w:eastAsia="Times New Roman" w:hAnsi="Times New Roman"/>
                <w:sz w:val="12"/>
                <w:szCs w:val="12"/>
                <w:b w:val="1"/>
                <w:bCs w:val="1"/>
                <w:color w:val="auto"/>
                <w:vertAlign w:val="superscript"/>
              </w:rPr>
              <w:t>(7)</w:t>
            </w:r>
          </w:p>
        </w:tc>
        <w:tc>
          <w:tcPr>
            <w:tcW w:w="82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20" w:type="dxa"/>
            <w:vAlign w:val="bottom"/>
          </w:tcPr>
          <w:p>
            <w:pPr>
              <w:jc w:val="center"/>
              <w:ind w:right="52"/>
              <w:spacing w:after="0" w:line="120"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(1)</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of Shares</w:t>
            </w:r>
          </w:p>
        </w:tc>
        <w:tc>
          <w:tcPr>
            <w:tcW w:w="240" w:type="dxa"/>
            <w:vAlign w:val="bottom"/>
          </w:tcPr>
          <w:p>
            <w:pPr>
              <w:spacing w:after="0"/>
              <w:rPr>
                <w:sz w:val="10"/>
                <w:szCs w:val="10"/>
                <w:color w:val="auto"/>
              </w:rPr>
            </w:pPr>
          </w:p>
        </w:tc>
        <w:tc>
          <w:tcPr>
            <w:tcW w:w="62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0"/>
                <w:szCs w:val="10"/>
                <w:color w:val="auto"/>
              </w:rPr>
            </w:pPr>
          </w:p>
        </w:tc>
        <w:tc>
          <w:tcPr>
            <w:tcW w:w="720" w:type="dxa"/>
            <w:vAlign w:val="bottom"/>
          </w:tcPr>
          <w:p>
            <w:pPr>
              <w:jc w:val="right"/>
              <w:ind w:right="132"/>
              <w:spacing w:after="0" w:line="120" w:lineRule="exact"/>
              <w:rPr>
                <w:sz w:val="20"/>
                <w:szCs w:val="20"/>
                <w:color w:val="auto"/>
              </w:rPr>
            </w:pPr>
            <w:r>
              <w:rPr>
                <w:rFonts w:ascii="Times New Roman" w:cs="Times New Roman" w:eastAsia="Times New Roman" w:hAnsi="Times New Roman"/>
                <w:sz w:val="10"/>
                <w:szCs w:val="10"/>
                <w:b w:val="1"/>
                <w:bCs w:val="1"/>
                <w:color w:val="auto"/>
                <w:w w:val="94"/>
              </w:rPr>
              <w:t>Fair Value</w:t>
            </w:r>
            <w:r>
              <w:rPr>
                <w:rFonts w:ascii="Times New Roman" w:cs="Times New Roman" w:eastAsia="Times New Roman" w:hAnsi="Times New Roman"/>
                <w:sz w:val="12"/>
                <w:szCs w:val="12"/>
                <w:b w:val="1"/>
                <w:bCs w:val="1"/>
                <w:color w:val="auto"/>
                <w:w w:val="94"/>
                <w:vertAlign w:val="superscript"/>
              </w:rPr>
              <w:t>(2)</w:t>
            </w:r>
          </w:p>
        </w:tc>
        <w:tc>
          <w:tcPr>
            <w:tcW w:w="0" w:type="dxa"/>
            <w:vAlign w:val="bottom"/>
          </w:tcPr>
          <w:p>
            <w:pPr>
              <w:spacing w:after="0"/>
              <w:rPr>
                <w:sz w:val="1"/>
                <w:szCs w:val="1"/>
                <w:color w:val="auto"/>
              </w:rPr>
            </w:pPr>
          </w:p>
        </w:tc>
      </w:tr>
      <w:tr>
        <w:trPr>
          <w:trHeight w:val="122"/>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- 1,404.5%</w:t>
            </w:r>
          </w:p>
        </w:tc>
        <w:tc>
          <w:tcPr>
            <w:tcW w:w="8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12/22/2028</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10.95 %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SOFR+610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2,903</w:t>
            </w:r>
          </w:p>
        </w:tc>
        <w:tc>
          <w:tcPr>
            <w:tcW w:w="2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2,855</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2,903</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Avenu Buyer,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10/2/2029</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10.58 %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9,925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9,771</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9,602</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ACP Falcon Buyer,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8/1/2029</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10.83 %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SOFR+550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18,762</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18,434</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18,837</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5/7/2026</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11.28 %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SOFR+626</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8,708</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8,658</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8,708</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Aeronix,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12/18/2028</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9.85 %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SOFR+525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15,880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15,665</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15,880</w:t>
            </w:r>
          </w:p>
        </w:tc>
        <w:tc>
          <w:tcPr>
            <w:tcW w:w="0" w:type="dxa"/>
            <w:vAlign w:val="bottom"/>
          </w:tcPr>
          <w:p>
            <w:pPr>
              <w:spacing w:after="0"/>
              <w:rPr>
                <w:sz w:val="1"/>
                <w:szCs w:val="1"/>
                <w:color w:val="auto"/>
              </w:rPr>
            </w:pPr>
          </w:p>
        </w:tc>
      </w:tr>
      <w:tr>
        <w:trPr>
          <w:trHeight w:val="18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11/30/2026</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Containers and Packaging</w:t>
            </w:r>
          </w:p>
        </w:tc>
        <w:tc>
          <w:tcPr>
            <w:tcW w:w="920" w:type="dxa"/>
            <w:vAlign w:val="bottom"/>
          </w:tcPr>
          <w:p>
            <w:pPr>
              <w:jc w:val="right"/>
              <w:ind w:right="32"/>
              <w:spacing w:after="0" w:line="180" w:lineRule="exact"/>
              <w:rPr>
                <w:sz w:val="20"/>
                <w:szCs w:val="20"/>
                <w:color w:val="auto"/>
              </w:rPr>
            </w:pPr>
            <w:r>
              <w:rPr>
                <w:rFonts w:ascii="Times New Roman" w:cs="Times New Roman" w:eastAsia="Times New Roman" w:hAnsi="Times New Roman"/>
                <w:sz w:val="10"/>
                <w:szCs w:val="10"/>
                <w:color w:val="auto"/>
              </w:rPr>
              <w:t xml:space="preserve">11.30 </w:t>
            </w:r>
            <w:r>
              <w:rPr>
                <w:rFonts w:ascii="Times New Roman" w:cs="Times New Roman" w:eastAsia="Times New Roman" w:hAnsi="Times New Roman"/>
                <w:sz w:val="19"/>
                <w:szCs w:val="19"/>
                <w:color w:val="auto"/>
                <w:vertAlign w:val="subscript"/>
              </w:rPr>
              <w:t>%</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SOFR+610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12,722</w:t>
            </w:r>
          </w:p>
        </w:tc>
        <w:tc>
          <w:tcPr>
            <w:tcW w:w="240" w:type="dxa"/>
            <w:vAlign w:val="bottom"/>
          </w:tcPr>
          <w:p>
            <w:pPr>
              <w:spacing w:after="0"/>
              <w:rPr>
                <w:sz w:val="15"/>
                <w:szCs w:val="15"/>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12,481</w:t>
            </w:r>
          </w:p>
        </w:tc>
        <w:tc>
          <w:tcPr>
            <w:tcW w:w="16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12,213</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6/30/2026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Media: Advertising, Printing &amp; Publishing</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10.50 %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SOFR+590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4,717</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4,613</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4,717</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 - Incremental Term Loan</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6/30/2026</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Media: Advertising, Printing &amp; Publishing</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10.50 %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SOFR+590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4,625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4,584</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4,625</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10.50 %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SOFR+590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11,155</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11,058</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10,988</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8/3/2029</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11.56 %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11,115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10,967</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11,059</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Beacon Behavioral Services,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6/21/2029</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9.85 %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SOFR+525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9,975</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9,836</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9,825</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7/1/2029</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10.35 %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4,900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4,828</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4,753</w:t>
            </w:r>
          </w:p>
        </w:tc>
        <w:tc>
          <w:tcPr>
            <w:tcW w:w="0" w:type="dxa"/>
            <w:vAlign w:val="bottom"/>
          </w:tcPr>
          <w:p>
            <w:pPr>
              <w:spacing w:after="0"/>
              <w:rPr>
                <w:sz w:val="1"/>
                <w:szCs w:val="1"/>
                <w:color w:val="auto"/>
              </w:rPr>
            </w:pPr>
          </w:p>
        </w:tc>
      </w:tr>
      <w:tr>
        <w:trPr>
          <w:trHeight w:val="136"/>
        </w:trPr>
        <w:tc>
          <w:tcPr>
            <w:tcW w:w="29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Big Top Holdings, LLC</w:t>
            </w:r>
          </w:p>
        </w:tc>
        <w:tc>
          <w:tcPr>
            <w:tcW w:w="8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2/28/2030</w:t>
            </w:r>
          </w:p>
        </w:tc>
        <w:tc>
          <w:tcPr>
            <w:tcW w:w="244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tcBorders>
              <w:bottom w:val="single" w:sz="8" w:color="CCECFF"/>
            </w:tcBorders>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11.18 %</w:t>
            </w:r>
          </w:p>
        </w:tc>
        <w:tc>
          <w:tcPr>
            <w:tcW w:w="820" w:type="dxa"/>
            <w:vAlign w:val="bottom"/>
            <w:tcBorders>
              <w:bottom w:val="single" w:sz="8" w:color="CCECFF"/>
            </w:tcBorders>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SOFR+625</w:t>
            </w:r>
          </w:p>
        </w:tc>
        <w:tc>
          <w:tcPr>
            <w:tcW w:w="880" w:type="dxa"/>
            <w:vAlign w:val="bottom"/>
            <w:tcBorders>
              <w:bottom w:val="single" w:sz="8" w:color="CCECFF"/>
            </w:tcBorders>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15,423</w:t>
            </w:r>
          </w:p>
        </w:tc>
        <w:tc>
          <w:tcPr>
            <w:tcW w:w="24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15,167</w:t>
            </w:r>
          </w:p>
        </w:tc>
        <w:tc>
          <w:tcPr>
            <w:tcW w:w="16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15,423</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1/31/2028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11.70 %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SOFR+650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8,888</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8,797</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8,776</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9/17/2026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11.00 %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SOFR+640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14,974</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14,779</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14,718</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BlueHalo Financing Holdings,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10.60 %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SOFR+600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5,546</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5,523</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5,435</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12/4/2025</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10.97 %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SOFR+611</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2,274</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2,274</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2,274</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9/26/2029</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Automotive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10.20 %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SOFR+535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442</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417</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416</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By Light Professional IT Services,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5/16/2025</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12.18 %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SOFR+698</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13,084</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13,059</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13,084</w:t>
            </w:r>
          </w:p>
        </w:tc>
        <w:tc>
          <w:tcPr>
            <w:tcW w:w="0" w:type="dxa"/>
            <w:vAlign w:val="bottom"/>
          </w:tcPr>
          <w:p>
            <w:pPr>
              <w:spacing w:after="0"/>
              <w:rPr>
                <w:sz w:val="1"/>
                <w:szCs w:val="1"/>
                <w:color w:val="auto"/>
              </w:rPr>
            </w:pPr>
          </w:p>
        </w:tc>
      </w:tr>
      <w:tr>
        <w:trPr>
          <w:trHeight w:val="132"/>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Carnegie Dartlet,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2/7/2030</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Media: Advertising, Printing &amp; Publishing</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10.60 %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SOFR+550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15,243</w:t>
            </w:r>
          </w:p>
        </w:tc>
        <w:tc>
          <w:tcPr>
            <w:tcW w:w="240" w:type="dxa"/>
            <w:vAlign w:val="bottom"/>
          </w:tcPr>
          <w:p>
            <w:pPr>
              <w:spacing w:after="0"/>
              <w:rPr>
                <w:sz w:val="11"/>
                <w:szCs w:val="11"/>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15,025</w:t>
            </w:r>
          </w:p>
        </w:tc>
        <w:tc>
          <w:tcPr>
            <w:tcW w:w="160" w:type="dxa"/>
            <w:vAlign w:val="bottom"/>
          </w:tcPr>
          <w:p>
            <w:pPr>
              <w:spacing w:after="0"/>
              <w:rPr>
                <w:sz w:val="11"/>
                <w:szCs w:val="11"/>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15,015</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6/14/2028</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10.35 %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9,539</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9,431</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9,539</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8/20/2026</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11.21 %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SOFR+619</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6,751</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6,682</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6,649</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Confluent Health,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10/28/2028</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8.96 %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SOFR+400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6,708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6,506</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6,540</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7/13/2027</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10.53 %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SOFR+561</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3,775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3,734</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3,775</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8/16/2027</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10.71 %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SOFR+586</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2,068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2,051</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2,052</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8/31/2027</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9.95 %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SOFR+535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14,562</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14,398</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14,562</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12/21/2028</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10.20 %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SOFR+535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2,600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2,420</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2,509</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11/3/2025</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Goods: Durable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11.20 %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SOFR+635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13,805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13,788</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13,694</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Dynata, LLC - First Out Term Loan </w:t>
            </w:r>
            <w:r>
              <w:rPr>
                <w:rFonts w:ascii="Times New Roman" w:cs="Times New Roman" w:eastAsia="Times New Roman" w:hAnsi="Times New Roman"/>
                <w:sz w:val="12"/>
                <w:szCs w:val="12"/>
                <w:color w:val="auto"/>
                <w:vertAlign w:val="superscript"/>
              </w:rPr>
              <w:t>(6)</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7/15/2028</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10.38 %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SOFR+526</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1,360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1,264</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1,358</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Dynata, LLC - Last Out Term Loan</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10/15/2028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10.88 %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SOFR+576</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8,439</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8,439</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7,769</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ECL Entertainment,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8/31/2030</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8.85 %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SOFR+400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4,963</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4,894</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4,973</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1/10/2029</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 Components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10.35 %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8,865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8,763</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8,732</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3/15/2027</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11.20 %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SOFR+635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12,546</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12,418</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12,484</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5/29/2029</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11.56 %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SOFR+650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12,249</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12,032</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12,249</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Eval Home Solutions Intermediate,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5/10/2030</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10.60 %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9,268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9,132</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9,176</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Fairbanks More Defense</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6/17/2028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9.65 %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SOFR+450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10,117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10,071</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10,128</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3/16/2026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11.43 %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SOFR+615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3,696</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3,689</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3,511</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8/10/2027</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10.45 %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SOFR+560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3,723</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3,686</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3,685</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12/31/2026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10.20 %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SOFR+560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2,153</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2,131</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2,110</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HEC Purchaser Corp</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6/17/2029</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9.75 %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SOFR+550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3,691</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3,648</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3,665</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Hills Distribution,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11/8/2029</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11.11 %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SOFR+600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8,957</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8,835</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8,868</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5/10/2026</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11.18 %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SOFR+590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3,486</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3,475</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3,486</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11/15/2027</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10.20 %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SOFR+510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9,154</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9,018</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9,108</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12/28/2028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11.45 %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SOFR+685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6,029</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5,932</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6,089</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Integrative Nutrition,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1/31/2025</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11.75 %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SOFR+715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11,287</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11,274</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9,707</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9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2.25%)</w:t>
            </w:r>
          </w:p>
        </w:tc>
        <w:tc>
          <w:tcPr>
            <w:tcW w:w="8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Inventus Power,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6/30/2025</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Goods: Durable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12.46 %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SOFR+761</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8,164</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8,094</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8,041</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ITI Holdings,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3/3/2028</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10.58 %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SOFR+565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3,900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3,855</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3,900</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11/10/2027</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10.75 %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SOFR+615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13,492</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13,289</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13,492</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2/18/2027</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12.94 %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SOFR+785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14,731</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14,539</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14,584</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9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5.10%)</w:t>
            </w:r>
          </w:p>
        </w:tc>
        <w:tc>
          <w:tcPr>
            <w:tcW w:w="8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LAV Gear Holdings, Inc. </w:t>
            </w:r>
            <w:r>
              <w:rPr>
                <w:rFonts w:ascii="Times New Roman" w:cs="Times New Roman" w:eastAsia="Times New Roman" w:hAnsi="Times New Roman"/>
                <w:sz w:val="12"/>
                <w:szCs w:val="12"/>
                <w:color w:val="auto"/>
                <w:vertAlign w:val="superscript"/>
              </w:rPr>
              <w:t>(6)</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11.42 %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SOFR+643</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12,125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12,102</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11,907</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LAV Gear Holdings, Inc. - Term Loan Incremental</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11.64 %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SOFR+640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2,861</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2,856</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2,810</w:t>
            </w:r>
          </w:p>
        </w:tc>
        <w:tc>
          <w:tcPr>
            <w:tcW w:w="0" w:type="dxa"/>
            <w:vAlign w:val="bottom"/>
          </w:tcPr>
          <w:p>
            <w:pPr>
              <w:spacing w:after="0"/>
              <w:rPr>
                <w:sz w:val="1"/>
                <w:szCs w:val="1"/>
                <w:color w:val="auto"/>
              </w:rPr>
            </w:pPr>
          </w:p>
        </w:tc>
      </w:tr>
      <w:tr>
        <w:trPr>
          <w:trHeight w:val="124"/>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2/3/2026</w:t>
            </w: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92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10.15 %</w:t>
            </w:r>
          </w:p>
        </w:tc>
        <w:tc>
          <w:tcPr>
            <w:tcW w:w="82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auto"/>
              </w:rPr>
              <w:t>SOFR+535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11,330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11,258</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11,330</w:t>
            </w:r>
          </w:p>
        </w:tc>
        <w:tc>
          <w:tcPr>
            <w:tcW w:w="0" w:type="dxa"/>
            <w:vAlign w:val="bottom"/>
          </w:tcPr>
          <w:p>
            <w:pPr>
              <w:spacing w:after="0"/>
              <w:rPr>
                <w:sz w:val="1"/>
                <w:szCs w:val="1"/>
                <w:color w:val="auto"/>
              </w:rPr>
            </w:pPr>
          </w:p>
        </w:tc>
      </w:tr>
      <w:tr>
        <w:trPr>
          <w:trHeight w:val="104"/>
        </w:trPr>
        <w:tc>
          <w:tcPr>
            <w:tcW w:w="29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24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1/31/2030</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Environmental Industries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10.48 %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SOFR+525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2,559</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2,516</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2,559</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5/31/2028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11.10 %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SOFR+650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7,407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7,288</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7,296</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Lucky Bucks, LLC - First-Out Term Loan </w:t>
            </w:r>
            <w:r>
              <w:rPr>
                <w:rFonts w:ascii="Times New Roman" w:cs="Times New Roman" w:eastAsia="Times New Roman" w:hAnsi="Times New Roman"/>
                <w:sz w:val="12"/>
                <w:szCs w:val="12"/>
                <w:color w:val="auto"/>
                <w:vertAlign w:val="superscript"/>
              </w:rPr>
              <w:t>(6)</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10/2/2028</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12.77 %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SOFR+765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259</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259</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259</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Lucky Bucks, LLC - Last-Out Term Loan</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10/2/2029</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12.77 %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SOFR+765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518</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518</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518</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4/1/2027</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10.20 %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SOFR+550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2,218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2,143</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2,085</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Magenta Buyer, LLC - First-Out Term Loan</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7/31/2028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12.13 %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SOFR+701</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357</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337</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 - Second-Out Term Loan</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7/31/2028</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12.38 %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SOFR+801</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452</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452</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310</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Magenta Buyer, LLC - Third-Out Term Loan</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7/31/2028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11.63 %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SOFR+726</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1,675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1,675</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490</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Marketplace Events, LLC - Super Priority First Lien Term Loan </w:t>
            </w:r>
            <w:r>
              <w:rPr>
                <w:rFonts w:ascii="Times New Roman" w:cs="Times New Roman" w:eastAsia="Times New Roman" w:hAnsi="Times New Roman"/>
                <w:sz w:val="12"/>
                <w:szCs w:val="12"/>
                <w:color w:val="auto"/>
                <w:vertAlign w:val="superscript"/>
              </w:rPr>
              <w:t>(6)</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9/30/2025</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10.38 %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SOFR+540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1,845</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1,845</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1,845</w:t>
            </w:r>
          </w:p>
        </w:tc>
        <w:tc>
          <w:tcPr>
            <w:tcW w:w="0" w:type="dxa"/>
            <w:vAlign w:val="bottom"/>
          </w:tcPr>
          <w:p>
            <w:pPr>
              <w:spacing w:after="0"/>
              <w:rPr>
                <w:sz w:val="1"/>
                <w:szCs w:val="1"/>
                <w:color w:val="auto"/>
              </w:rPr>
            </w:pPr>
          </w:p>
        </w:tc>
      </w:tr>
      <w:tr>
        <w:trPr>
          <w:trHeight w:val="96"/>
        </w:trPr>
        <w:tc>
          <w:tcPr>
            <w:tcW w:w="2940" w:type="dxa"/>
            <w:vAlign w:val="bottom"/>
          </w:tcPr>
          <w:p>
            <w:pPr>
              <w:ind w:left="20"/>
              <w:spacing w:after="0" w:line="96" w:lineRule="exact"/>
              <w:rPr>
                <w:sz w:val="20"/>
                <w:szCs w:val="20"/>
                <w:color w:val="auto"/>
              </w:rPr>
            </w:pPr>
            <w:r>
              <w:rPr>
                <w:rFonts w:ascii="Times New Roman" w:cs="Times New Roman" w:eastAsia="Times New Roman" w:hAnsi="Times New Roman"/>
                <w:sz w:val="10"/>
                <w:szCs w:val="10"/>
                <w:color w:val="auto"/>
                <w:w w:val="96"/>
              </w:rPr>
              <w:t>Marketplace Events, LLC - Super Priority First Lien Unfunded Term Loan</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3"/>
              </w:rPr>
              <w:t>9/30/2025</w:t>
            </w: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92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0.00 %</w:t>
            </w:r>
          </w:p>
        </w:tc>
        <w:tc>
          <w:tcPr>
            <w:tcW w:w="820" w:type="dxa"/>
            <w:vAlign w:val="bottom"/>
          </w:tcPr>
          <w:p>
            <w:pPr>
              <w:spacing w:after="0"/>
              <w:rPr>
                <w:sz w:val="8"/>
                <w:szCs w:val="8"/>
                <w:color w:val="auto"/>
              </w:rPr>
            </w:pPr>
          </w:p>
        </w:tc>
        <w:tc>
          <w:tcPr>
            <w:tcW w:w="88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564</w:t>
            </w:r>
          </w:p>
        </w:tc>
        <w:tc>
          <w:tcPr>
            <w:tcW w:w="240" w:type="dxa"/>
            <w:vAlign w:val="bottom"/>
          </w:tcPr>
          <w:p>
            <w:pPr>
              <w:spacing w:after="0"/>
              <w:rPr>
                <w:sz w:val="8"/>
                <w:szCs w:val="8"/>
                <w:color w:val="auto"/>
              </w:rPr>
            </w:pPr>
          </w:p>
        </w:tc>
        <w:tc>
          <w:tcPr>
            <w:tcW w:w="62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7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77"/>
        </w:trPr>
        <w:tc>
          <w:tcPr>
            <w:tcW w:w="2940" w:type="dxa"/>
            <w:vAlign w:val="bottom"/>
          </w:tcPr>
          <w:p>
            <w:pPr>
              <w:ind w:left="20"/>
              <w:spacing w:after="0"/>
              <w:rPr>
                <w:sz w:val="20"/>
                <w:szCs w:val="20"/>
                <w:color w:val="auto"/>
              </w:rPr>
            </w:pPr>
            <w:r>
              <w:rPr>
                <w:rFonts w:ascii="Times New Roman" w:cs="Times New Roman" w:eastAsia="Times New Roman" w:hAnsi="Times New Roman"/>
                <w:sz w:val="6"/>
                <w:szCs w:val="6"/>
                <w:color w:val="auto"/>
              </w:rPr>
              <w:t>(3)(6)</w:t>
            </w:r>
          </w:p>
        </w:tc>
        <w:tc>
          <w:tcPr>
            <w:tcW w:w="820" w:type="dxa"/>
            <w:vAlign w:val="bottom"/>
            <w:vMerge w:val="continue"/>
          </w:tcPr>
          <w:p>
            <w:pPr>
              <w:spacing w:after="0"/>
              <w:rPr>
                <w:sz w:val="6"/>
                <w:szCs w:val="6"/>
                <w:color w:val="auto"/>
              </w:rPr>
            </w:pPr>
          </w:p>
        </w:tc>
        <w:tc>
          <w:tcPr>
            <w:tcW w:w="24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94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244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9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Marketplace Events, LLC </w:t>
            </w:r>
            <w:r>
              <w:rPr>
                <w:rFonts w:ascii="Times New Roman" w:cs="Times New Roman" w:eastAsia="Times New Roman" w:hAnsi="Times New Roman"/>
                <w:sz w:val="12"/>
                <w:szCs w:val="12"/>
                <w:color w:val="auto"/>
                <w:vertAlign w:val="superscript"/>
              </w:rPr>
              <w:t>(6)</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9/30/2026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10.53 %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SOFR+525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4,837</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4,068</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4,837</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4/16/2027</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10.59 %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SOFR+585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7,256</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7,183</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7,256</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 (New Issue) - Incremental</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4/16/2027</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11.34 %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SOFR+660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523</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514</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528</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MBS Holdings, Inc. (New Issue) - Second Incremental</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4/16/2027</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11.09 %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SOFR+635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551</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543</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554</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MDI Buyer,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7/25/2028</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10.60 %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4,900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4,829</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4,851</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MDI Buyer, Inc. - Incremental</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7/25/2028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11.25 %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SOFR+600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1,416</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1,395</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1,409</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12/10/2027</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10.50 %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SOFR+590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2,348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2,319</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2,289</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Medina Health,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10/20/2028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10.85 %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19,199</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18,911</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19,199</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Megawatt Acquisitionco,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3/1/2030</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 Components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9.85 %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SOFR+525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15,671</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15,453</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14,794</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Mission Critical Electronics,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3/31/2025</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10.50 %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SOFR+590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5,551</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5,551</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5,551</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MOREGroup Holdings,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1/16/2030</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10.35 %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13,067</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12,891</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12,871</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9/28/2027</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9.75 %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SOFR+515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3,395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3,355</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3,395</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8/19/2026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&amp; Childcare</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11.05 %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SOFR+585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10,602</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10,504</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10,284</w:t>
            </w: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NORA Acquisition,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8/31/2029</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10.95 %</w:t>
            </w:r>
          </w:p>
        </w:tc>
        <w:tc>
          <w:tcPr>
            <w:tcW w:w="8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SOFR+635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21,274</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20,913</w:t>
            </w:r>
          </w:p>
        </w:tc>
        <w:tc>
          <w:tcPr>
            <w:tcW w:w="16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21,274</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5/7/2027</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11.21 %</w:t>
            </w:r>
          </w:p>
        </w:tc>
        <w:tc>
          <w:tcPr>
            <w:tcW w:w="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SOFR+636</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15,682</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15,480</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15,682</w:t>
            </w:r>
          </w:p>
        </w:tc>
        <w:tc>
          <w:tcPr>
            <w:tcW w:w="0" w:type="dxa"/>
            <w:vAlign w:val="bottom"/>
          </w:tcPr>
          <w:p>
            <w:pPr>
              <w:spacing w:after="0"/>
              <w:rPr>
                <w:sz w:val="1"/>
                <w:szCs w:val="1"/>
                <w:color w:val="auto"/>
              </w:rPr>
            </w:pPr>
          </w:p>
        </w:tc>
      </w:tr>
      <w:tr>
        <w:trPr>
          <w:trHeight w:val="124"/>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ORL Acquisitions, Inc.</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9/3/2027</w:t>
            </w: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92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14.00 %</w:t>
            </w:r>
          </w:p>
        </w:tc>
        <w:tc>
          <w:tcPr>
            <w:tcW w:w="82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auto"/>
              </w:rPr>
              <w:t>SOFR+940</w:t>
            </w:r>
          </w:p>
        </w:tc>
        <w:tc>
          <w:tcPr>
            <w:tcW w:w="88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2,140</w:t>
            </w:r>
          </w:p>
        </w:tc>
        <w:tc>
          <w:tcPr>
            <w:tcW w:w="240" w:type="dxa"/>
            <w:vAlign w:val="bottom"/>
          </w:tcPr>
          <w:p>
            <w:pPr>
              <w:spacing w:after="0"/>
              <w:rPr>
                <w:sz w:val="10"/>
                <w:szCs w:val="10"/>
                <w:color w:val="auto"/>
              </w:rPr>
            </w:pPr>
          </w:p>
        </w:tc>
        <w:tc>
          <w:tcPr>
            <w:tcW w:w="6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2,124</w:t>
            </w:r>
          </w:p>
        </w:tc>
        <w:tc>
          <w:tcPr>
            <w:tcW w:w="160" w:type="dxa"/>
            <w:vAlign w:val="bottom"/>
          </w:tcPr>
          <w:p>
            <w:pPr>
              <w:spacing w:after="0"/>
              <w:rPr>
                <w:sz w:val="10"/>
                <w:szCs w:val="10"/>
                <w:color w:val="auto"/>
              </w:rPr>
            </w:pPr>
          </w:p>
        </w:tc>
        <w:tc>
          <w:tcPr>
            <w:tcW w:w="72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1,819</w:t>
            </w:r>
          </w:p>
        </w:tc>
        <w:tc>
          <w:tcPr>
            <w:tcW w:w="0" w:type="dxa"/>
            <w:vAlign w:val="bottom"/>
          </w:tcPr>
          <w:p>
            <w:pPr>
              <w:spacing w:after="0"/>
              <w:rPr>
                <w:sz w:val="1"/>
                <w:szCs w:val="1"/>
                <w:color w:val="auto"/>
              </w:rPr>
            </w:pPr>
          </w:p>
        </w:tc>
      </w:tr>
      <w:tr>
        <w:trPr>
          <w:trHeight w:val="36"/>
        </w:trPr>
        <w:tc>
          <w:tcPr>
            <w:tcW w:w="2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4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ind w:left="6460"/>
        <w:spacing w:after="0"/>
        <w:rPr>
          <w:sz w:val="20"/>
          <w:szCs w:val="20"/>
          <w:color w:val="auto"/>
        </w:rPr>
      </w:pPr>
      <w:r>
        <w:rPr>
          <w:rFonts w:ascii="Times New Roman" w:cs="Times New Roman" w:eastAsia="Times New Roman" w:hAnsi="Times New Roman"/>
          <w:sz w:val="10"/>
          <w:szCs w:val="10"/>
          <w:color w:val="auto"/>
        </w:rPr>
        <w:t>(PIK 7.50%)</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408940</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90" w:right="68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20"/>
        </w:trPr>
        <w:tc>
          <w:tcPr>
            <w:tcW w:w="29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0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2"/>
              </w:rPr>
              <w:t>Spread Above</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Par or Number</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40" w:type="dxa"/>
            <w:vAlign w:val="bottom"/>
          </w:tcPr>
          <w:p>
            <w:pPr>
              <w:ind w:left="2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Issuer Name </w:t>
            </w:r>
            <w:r>
              <w:rPr>
                <w:rFonts w:ascii="Times New Roman" w:cs="Times New Roman" w:eastAsia="Times New Roman" w:hAnsi="Times New Roman"/>
                <w:sz w:val="12"/>
                <w:szCs w:val="12"/>
                <w:b w:val="1"/>
                <w:bCs w:val="1"/>
                <w:color w:val="auto"/>
                <w:vertAlign w:val="superscript"/>
              </w:rPr>
              <w:t>(7)</w:t>
            </w:r>
          </w:p>
        </w:tc>
        <w:tc>
          <w:tcPr>
            <w:tcW w:w="84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00" w:type="dxa"/>
            <w:vAlign w:val="bottom"/>
          </w:tcPr>
          <w:p>
            <w:pPr>
              <w:jc w:val="center"/>
              <w:ind w:right="32"/>
              <w:spacing w:after="0" w:line="122"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(1)</w:t>
            </w:r>
          </w:p>
        </w:tc>
        <w:tc>
          <w:tcPr>
            <w:tcW w:w="96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of Shares</w:t>
            </w:r>
          </w:p>
        </w:tc>
        <w:tc>
          <w:tcPr>
            <w:tcW w:w="160" w:type="dxa"/>
            <w:vAlign w:val="bottom"/>
          </w:tcPr>
          <w:p>
            <w:pPr>
              <w:spacing w:after="0"/>
              <w:rPr>
                <w:sz w:val="10"/>
                <w:szCs w:val="10"/>
                <w:color w:val="auto"/>
              </w:rPr>
            </w:pPr>
          </w:p>
        </w:tc>
        <w:tc>
          <w:tcPr>
            <w:tcW w:w="52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0"/>
                <w:szCs w:val="10"/>
                <w:b w:val="1"/>
                <w:bCs w:val="1"/>
                <w:color w:val="auto"/>
                <w:w w:val="94"/>
              </w:rPr>
              <w:t>Fair Value</w:t>
            </w:r>
            <w:r>
              <w:rPr>
                <w:rFonts w:ascii="Times New Roman" w:cs="Times New Roman" w:eastAsia="Times New Roman" w:hAnsi="Times New Roman"/>
                <w:sz w:val="12"/>
                <w:szCs w:val="12"/>
                <w:b w:val="1"/>
                <w:bCs w:val="1"/>
                <w:color w:val="auto"/>
                <w:w w:val="94"/>
                <w:vertAlign w:val="superscript"/>
              </w:rPr>
              <w:t>(2)</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Output Services Group, Inc - First-Out Term Loan</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11/30/2028</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13.75 %</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SOFR+843</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821</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821</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821</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Output Services Group, Inc - Last-Out Term Loan</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5/30/2028</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12.00 %</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SOFR+668</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1,667</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2/4/2028</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10.20 %</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SOFR+535</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3,893</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3,842</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3,825</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Ox Two, LLC</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5/18/2026</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Construction and Building</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11.12 %</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SOFR+651</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4,307</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4,282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4,307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Pacific Purchaser, LLC</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9/30/2028</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11.51 %</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SOFR+625</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11,938</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11,745</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11,914</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PCS Midco, Inc</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3/1/2030</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10.81 %</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3,871</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3,818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3,871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9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PH Beauty Holdings III, Inc.</w:t>
            </w:r>
          </w:p>
        </w:tc>
        <w:tc>
          <w:tcPr>
            <w:tcW w:w="840" w:type="dxa"/>
            <w:vAlign w:val="bottom"/>
            <w:tcBorders>
              <w:bottom w:val="single" w:sz="8" w:color="CCECFF"/>
            </w:tcBorders>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9/29/2025</w:t>
            </w:r>
          </w:p>
        </w:tc>
        <w:tc>
          <w:tcPr>
            <w:tcW w:w="24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20" w:type="dxa"/>
            <w:vAlign w:val="bottom"/>
            <w:tcBorders>
              <w:bottom w:val="single" w:sz="8" w:color="CCECFF"/>
            </w:tcBorders>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10.17 %</w:t>
            </w:r>
          </w:p>
        </w:tc>
        <w:tc>
          <w:tcPr>
            <w:tcW w:w="80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SOFR+543</w:t>
            </w:r>
          </w:p>
        </w:tc>
        <w:tc>
          <w:tcPr>
            <w:tcW w:w="960" w:type="dxa"/>
            <w:vAlign w:val="bottom"/>
            <w:tcBorders>
              <w:bottom w:val="single" w:sz="8" w:color="CCECFF"/>
            </w:tcBorders>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9,391</w:t>
            </w:r>
          </w:p>
        </w:tc>
        <w:tc>
          <w:tcPr>
            <w:tcW w:w="160" w:type="dxa"/>
            <w:vAlign w:val="bottom"/>
            <w:tcBorders>
              <w:bottom w:val="single" w:sz="8" w:color="CCECFF"/>
            </w:tcBorders>
            <w:shd w:val="clear" w:color="auto" w:fill="CCECFF"/>
          </w:tcPr>
          <w:p>
            <w:pPr>
              <w:spacing w:after="0"/>
              <w:rPr>
                <w:sz w:val="13"/>
                <w:szCs w:val="13"/>
                <w:color w:val="auto"/>
              </w:rPr>
            </w:pPr>
          </w:p>
        </w:tc>
        <w:tc>
          <w:tcPr>
            <w:tcW w:w="5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9,289</w:t>
            </w:r>
          </w:p>
        </w:tc>
        <w:tc>
          <w:tcPr>
            <w:tcW w:w="20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CCECFF"/>
            </w:tcBorders>
            <w:shd w:val="clear" w:color="auto" w:fill="CCECFF"/>
          </w:tcPr>
          <w:p>
            <w:pPr>
              <w:spacing w:after="0"/>
              <w:rPr>
                <w:sz w:val="13"/>
                <w:szCs w:val="13"/>
                <w:color w:val="auto"/>
              </w:rPr>
            </w:pPr>
          </w:p>
        </w:tc>
        <w:tc>
          <w:tcPr>
            <w:tcW w:w="6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9,302</w:t>
            </w:r>
          </w:p>
        </w:tc>
        <w:tc>
          <w:tcPr>
            <w:tcW w:w="8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11/9/2027</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Textiles, Apparel and Luxury Goods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11.99 %</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SOFR+725</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7,816</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7,733</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6,253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(PIK 4.00%)</w:t>
            </w: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Pragmatic Institute, LLC </w:t>
            </w:r>
            <w:r>
              <w:rPr>
                <w:rFonts w:ascii="Times New Roman" w:cs="Times New Roman" w:eastAsia="Times New Roman" w:hAnsi="Times New Roman"/>
                <w:sz w:val="12"/>
                <w:szCs w:val="12"/>
                <w:color w:val="auto"/>
                <w:vertAlign w:val="superscript"/>
              </w:rPr>
              <w:t>(5)</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7/6/2028</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12.35 %</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SOFR+750</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11,855</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11,480</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7,261</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9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12.35%)</w:t>
            </w:r>
          </w:p>
        </w:tc>
        <w:tc>
          <w:tcPr>
            <w:tcW w:w="80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11/19/2026</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10.95 %</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SOFR+635</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2,775</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2,758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2,761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12/18/2025</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10.85 %</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SOFR+560</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1,016</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1,016</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1,016</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2/28/2028</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10.75 %</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SOFR+615</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4,875</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4,828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3,656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1/29/2026</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11.75 %</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SOFR+715</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4,825</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4,796</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4,777</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RTIC Subsidiary Holdings, LLC</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5/3/2029</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Goods: Durable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10.35 %</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9,975</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9,830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9,776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6/15/2029</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10.35 %</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4,336</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4,266</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4,282</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Safe Haven Defense US, LLC</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5/23/2029</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Construction and Building</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9.85 %</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9,973</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9,830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9,873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1/3/2025</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10.80 %</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SOFR+620</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9,268</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9,260</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9,268</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12/20/2024</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12.45 %</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SOFR+760</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4,916</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4,906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4,916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9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1.00%)</w:t>
            </w:r>
          </w:p>
        </w:tc>
        <w:tc>
          <w:tcPr>
            <w:tcW w:w="80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Schlesinger Global, Inc.</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7/14/2025</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13.20 %</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SOFR+835</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12,388</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12,387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12,078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(PIK 0.50%)</w:t>
            </w: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6/13/2029</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10.75 %</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SOFR+615</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4,900</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4,842</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4,729</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12/18/2027</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11.50 %</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SOFR+690</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18,620</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18,370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18,434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Simplicity Financial Marketing Group Holdings, Inc</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12/2/2026</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11.00 %</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SOFR+640</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11,359</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11,206</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11,472</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5/17/2028</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9.46 %</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SOFR+461</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1,290</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Smartronix,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11/23/2028</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10.35 %</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SOFR+610</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4,863</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4,800</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4,863</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Smile Brands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10/14/2025</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10.20 %</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11,887</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11,860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9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1.50%)</w:t>
            </w:r>
          </w:p>
        </w:tc>
        <w:tc>
          <w:tcPr>
            <w:tcW w:w="80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7/17/2025</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12.40 %</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SOFR+715</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4,582</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4,560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4,582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3/1/2028</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Healthcare Technology</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10.25 %</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SOFR+565</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4,070</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4,017</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4,070</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11/24/2028</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9.31 %</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SOFR+425</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1,777</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1,700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1,653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w:t>
            </w:r>
          </w:p>
        </w:tc>
        <w:tc>
          <w:tcPr>
            <w:tcW w:w="84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Research, LLC)</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8/16/2027</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10.26 %</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SOFR+500</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14,588</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14,445</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14,558</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TCG 3.0 Jogger Acquisitionco</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1/23/2029</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11.10 %</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SOFR+650</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19,626</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19,312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19,430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11/24/2028</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9.95 %</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SOFR+500</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343</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332</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338</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3/13/2031</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9.60 %</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SOFR+475</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5,473</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5,418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5,490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07/27/26</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11.25 %</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SOFR+665</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8,521</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8,427</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8,521</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08/31/27</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Construction and Engineering</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10.95 %</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SOFR+610</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7,636</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7,538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7,639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TPC Canada Parent, Inc. and TPC US Parent, LLC</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11/24/25</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Consumer Goods: Non-Durable</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10.84 %</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SOFR+565</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16,524</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16,394</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16,524</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Transgo, LLC</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12/29/28</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Automotive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10.60 %</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18,552</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18,293</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18,552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06/16/25</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11.33 %</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SOFR+640</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943</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943</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943</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04/01/28</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10.23 %</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SOFR+490</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14,670</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14,585</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14,376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06/15/26</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10.76 %</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6,823</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6,742</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6,755</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w:t>
            </w:r>
            <w:r>
              <w:rPr>
                <w:rFonts w:ascii="Times New Roman" w:cs="Times New Roman" w:eastAsia="Times New Roman" w:hAnsi="Times New Roman"/>
                <w:sz w:val="12"/>
                <w:szCs w:val="12"/>
                <w:color w:val="auto"/>
                <w:vertAlign w:val="superscript"/>
              </w:rPr>
              <w:t>(4)(6)</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03/01/29</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0.00 %</w:t>
            </w:r>
          </w:p>
        </w:tc>
        <w:tc>
          <w:tcPr>
            <w:tcW w:w="800" w:type="dxa"/>
            <w:vAlign w:val="bottom"/>
          </w:tcPr>
          <w:p>
            <w:pPr>
              <w:spacing w:after="0"/>
              <w:rPr>
                <w:sz w:val="10"/>
                <w:szCs w:val="10"/>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5,441</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4,986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Walker Edison Furniture Company LLC - Junior Revolving Credit</w:t>
            </w:r>
          </w:p>
        </w:tc>
        <w:tc>
          <w:tcPr>
            <w:tcW w:w="84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Facility </w:t>
            </w:r>
            <w:r>
              <w:rPr>
                <w:rFonts w:ascii="Times New Roman" w:cs="Times New Roman" w:eastAsia="Times New Roman" w:hAnsi="Times New Roman"/>
                <w:sz w:val="12"/>
                <w:szCs w:val="12"/>
                <w:color w:val="auto"/>
                <w:vertAlign w:val="superscript"/>
              </w:rPr>
              <w:t>(4)(6)</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03/01/29</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0.00 %</w:t>
            </w:r>
          </w:p>
        </w:tc>
        <w:tc>
          <w:tcPr>
            <w:tcW w:w="80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1,667</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 DDTL - Unfunded </w:t>
            </w:r>
            <w:r>
              <w:rPr>
                <w:rFonts w:ascii="Times New Roman" w:cs="Times New Roman" w:eastAsia="Times New Roman" w:hAnsi="Times New Roman"/>
                <w:sz w:val="12"/>
                <w:szCs w:val="12"/>
                <w:color w:val="auto"/>
                <w:vertAlign w:val="superscript"/>
              </w:rPr>
              <w:t>(3)(4)(6)</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03/01/29</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0.00 %</w:t>
            </w:r>
          </w:p>
        </w:tc>
        <w:tc>
          <w:tcPr>
            <w:tcW w:w="800" w:type="dxa"/>
            <w:vAlign w:val="bottom"/>
          </w:tcPr>
          <w:p>
            <w:pPr>
              <w:spacing w:after="0"/>
              <w:rPr>
                <w:sz w:val="10"/>
                <w:szCs w:val="10"/>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83</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(76 )</w:t>
            </w: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Watchtower Buyer, LLC</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12/03/29</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10.60 %</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SOFR+600</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12,189</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12,007</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12,067</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840" w:type="dxa"/>
            <w:vAlign w:val="bottom"/>
            <w:vMerge w:val="restart"/>
          </w:tcPr>
          <w:p>
            <w:pPr>
              <w:jc w:val="center"/>
              <w:ind w:right="12"/>
              <w:spacing w:after="0"/>
              <w:rPr>
                <w:sz w:val="20"/>
                <w:szCs w:val="20"/>
                <w:color w:val="auto"/>
              </w:rPr>
            </w:pPr>
            <w:r>
              <w:rPr>
                <w:rFonts w:ascii="Times New Roman" w:cs="Times New Roman" w:eastAsia="Times New Roman" w:hAnsi="Times New Roman"/>
                <w:sz w:val="10"/>
                <w:szCs w:val="10"/>
                <w:color w:val="auto"/>
                <w:w w:val="95"/>
              </w:rPr>
              <w:t>02/27/27</w:t>
            </w:r>
          </w:p>
        </w:tc>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 Components</w:t>
            </w:r>
          </w:p>
        </w:tc>
        <w:tc>
          <w:tcPr>
            <w:tcW w:w="92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10.60 %</w:t>
            </w:r>
          </w:p>
        </w:tc>
        <w:tc>
          <w:tcPr>
            <w:tcW w:w="8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16,014</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15,916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16,014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9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24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12/31/24</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Automobiles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12.46 %</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SOFR+740</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16,736</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16,722</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15,983</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9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1.50%)</w:t>
            </w:r>
          </w:p>
        </w:tc>
        <w:tc>
          <w:tcPr>
            <w:tcW w:w="80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8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920,485</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906,532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Equity Securities - 10.5%</w:t>
            </w:r>
          </w:p>
        </w:tc>
        <w:tc>
          <w:tcPr>
            <w:tcW w:w="8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New Insight Holdings, Inc.</w:t>
            </w:r>
          </w:p>
        </w:tc>
        <w:tc>
          <w:tcPr>
            <w:tcW w:w="84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116</w:t>
            </w:r>
          </w:p>
        </w:tc>
        <w:tc>
          <w:tcPr>
            <w:tcW w:w="1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2,031</w:t>
            </w:r>
          </w:p>
        </w:tc>
        <w:tc>
          <w:tcPr>
            <w:tcW w:w="2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2,031</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Lucky Bucks, LLC</w:t>
            </w:r>
          </w:p>
        </w:tc>
        <w:tc>
          <w:tcPr>
            <w:tcW w:w="84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74</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2,062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New MPE Holdings, LLC</w:t>
            </w:r>
          </w:p>
        </w:tc>
        <w:tc>
          <w:tcPr>
            <w:tcW w:w="84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9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2,710</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Output Services Group, Inc</w:t>
            </w:r>
          </w:p>
        </w:tc>
        <w:tc>
          <w:tcPr>
            <w:tcW w:w="84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126</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Walker Edison Furniture - Common Equity</w:t>
            </w:r>
          </w:p>
        </w:tc>
        <w:tc>
          <w:tcPr>
            <w:tcW w:w="84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36</w:t>
            </w: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3,393</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Equity Securities</w:t>
            </w:r>
          </w:p>
        </w:tc>
        <w:tc>
          <w:tcPr>
            <w:tcW w:w="8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8,498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6,749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- 1,415.0%</w:t>
            </w:r>
          </w:p>
        </w:tc>
        <w:tc>
          <w:tcPr>
            <w:tcW w:w="84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928,983</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913,281</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- 106.0%</w:t>
            </w:r>
          </w:p>
        </w:tc>
        <w:tc>
          <w:tcPr>
            <w:tcW w:w="8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84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5.03 %</w:t>
            </w:r>
          </w:p>
        </w:tc>
        <w:tc>
          <w:tcPr>
            <w:tcW w:w="80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68,429</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68,429</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8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68,429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68,429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940" w:type="dxa"/>
            <w:vAlign w:val="bottom"/>
            <w:tcBorders>
              <w:bottom w:val="single" w:sz="8" w:color="CCECFF"/>
            </w:tcBorders>
            <w:shd w:val="clear" w:color="auto" w:fill="CCEC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Total Investments and Cash Equivalents —1,521.0%</w:t>
            </w:r>
          </w:p>
        </w:tc>
        <w:tc>
          <w:tcPr>
            <w:tcW w:w="840" w:type="dxa"/>
            <w:vAlign w:val="bottom"/>
            <w:tcBorders>
              <w:bottom w:val="single" w:sz="8" w:color="CCECFF"/>
            </w:tcBorders>
            <w:shd w:val="clear" w:color="auto" w:fill="CCECFF"/>
          </w:tcPr>
          <w:p>
            <w:pPr>
              <w:spacing w:after="0"/>
              <w:rPr>
                <w:sz w:val="13"/>
                <w:szCs w:val="13"/>
                <w:color w:val="auto"/>
              </w:rPr>
            </w:pPr>
          </w:p>
        </w:tc>
        <w:tc>
          <w:tcPr>
            <w:tcW w:w="2420" w:type="dxa"/>
            <w:vAlign w:val="bottom"/>
            <w:tcBorders>
              <w:bottom w:val="single" w:sz="8" w:color="CCECFF"/>
            </w:tcBorders>
            <w:shd w:val="clear" w:color="auto" w:fill="CCECFF"/>
          </w:tcPr>
          <w:p>
            <w:pPr>
              <w:spacing w:after="0"/>
              <w:rPr>
                <w:sz w:val="13"/>
                <w:szCs w:val="13"/>
                <w:color w:val="auto"/>
              </w:rPr>
            </w:pPr>
          </w:p>
        </w:tc>
        <w:tc>
          <w:tcPr>
            <w:tcW w:w="920" w:type="dxa"/>
            <w:vAlign w:val="bottom"/>
            <w:tcBorders>
              <w:bottom w:val="single" w:sz="8" w:color="CCECFF"/>
            </w:tcBorders>
            <w:shd w:val="clear" w:color="auto" w:fill="CCECFF"/>
          </w:tcPr>
          <w:p>
            <w:pPr>
              <w:spacing w:after="0"/>
              <w:rPr>
                <w:sz w:val="13"/>
                <w:szCs w:val="13"/>
                <w:color w:val="auto"/>
              </w:rPr>
            </w:pPr>
          </w:p>
        </w:tc>
        <w:tc>
          <w:tcPr>
            <w:tcW w:w="800" w:type="dxa"/>
            <w:vAlign w:val="bottom"/>
            <w:tcBorders>
              <w:bottom w:val="single" w:sz="8" w:color="CCECFF"/>
            </w:tcBorders>
            <w:shd w:val="clear" w:color="auto" w:fill="CCECFF"/>
          </w:tcPr>
          <w:p>
            <w:pPr>
              <w:spacing w:after="0"/>
              <w:rPr>
                <w:sz w:val="13"/>
                <w:szCs w:val="13"/>
                <w:color w:val="auto"/>
              </w:rPr>
            </w:pPr>
          </w:p>
        </w:tc>
        <w:tc>
          <w:tcPr>
            <w:tcW w:w="96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997,412</w:t>
            </w:r>
          </w:p>
        </w:tc>
        <w:tc>
          <w:tcPr>
            <w:tcW w:w="20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981,710</w:t>
            </w:r>
          </w:p>
        </w:tc>
        <w:tc>
          <w:tcPr>
            <w:tcW w:w="8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2940" w:type="dxa"/>
            <w:vAlign w:val="bottom"/>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Liabilities in Excess of Other Assets — (1,421.0)%</w:t>
            </w:r>
          </w:p>
        </w:tc>
        <w:tc>
          <w:tcPr>
            <w:tcW w:w="8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40"/>
              <w:spacing w:after="0" w:line="96" w:lineRule="exact"/>
              <w:rPr>
                <w:sz w:val="20"/>
                <w:szCs w:val="20"/>
                <w:color w:val="auto"/>
              </w:rPr>
            </w:pPr>
            <w:r>
              <w:rPr>
                <w:rFonts w:ascii="Times New Roman" w:cs="Times New Roman" w:eastAsia="Times New Roman" w:hAnsi="Times New Roman"/>
                <w:sz w:val="10"/>
                <w:szCs w:val="10"/>
                <w:color w:val="auto"/>
              </w:rPr>
              <w:t>(917,163 )</w:t>
            </w:r>
          </w:p>
        </w:tc>
        <w:tc>
          <w:tcPr>
            <w:tcW w:w="0" w:type="dxa"/>
            <w:vAlign w:val="bottom"/>
          </w:tcPr>
          <w:p>
            <w:pPr>
              <w:spacing w:after="0"/>
              <w:rPr>
                <w:sz w:val="1"/>
                <w:szCs w:val="1"/>
                <w:color w:val="auto"/>
              </w:rPr>
            </w:pPr>
          </w:p>
        </w:tc>
      </w:tr>
      <w:tr>
        <w:trPr>
          <w:trHeight w:val="160"/>
        </w:trPr>
        <w:tc>
          <w:tcPr>
            <w:tcW w:w="2940" w:type="dxa"/>
            <w:vAlign w:val="bottom"/>
            <w:tcBorders>
              <w:bottom w:val="single" w:sz="8" w:color="CCECFF"/>
            </w:tcBorders>
            <w:shd w:val="clear" w:color="auto" w:fill="CCEC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Members' Equity—100.0%</w:t>
            </w:r>
          </w:p>
        </w:tc>
        <w:tc>
          <w:tcPr>
            <w:tcW w:w="840" w:type="dxa"/>
            <w:vAlign w:val="bottom"/>
            <w:tcBorders>
              <w:bottom w:val="single" w:sz="8" w:color="CCECFF"/>
            </w:tcBorders>
            <w:shd w:val="clear" w:color="auto" w:fill="CCECFF"/>
          </w:tcPr>
          <w:p>
            <w:pPr>
              <w:spacing w:after="0"/>
              <w:rPr>
                <w:sz w:val="13"/>
                <w:szCs w:val="13"/>
                <w:color w:val="auto"/>
              </w:rPr>
            </w:pPr>
          </w:p>
        </w:tc>
        <w:tc>
          <w:tcPr>
            <w:tcW w:w="2420" w:type="dxa"/>
            <w:vAlign w:val="bottom"/>
            <w:tcBorders>
              <w:bottom w:val="single" w:sz="8" w:color="CCECFF"/>
            </w:tcBorders>
            <w:shd w:val="clear" w:color="auto" w:fill="CCECFF"/>
          </w:tcPr>
          <w:p>
            <w:pPr>
              <w:spacing w:after="0"/>
              <w:rPr>
                <w:sz w:val="13"/>
                <w:szCs w:val="13"/>
                <w:color w:val="auto"/>
              </w:rPr>
            </w:pPr>
          </w:p>
        </w:tc>
        <w:tc>
          <w:tcPr>
            <w:tcW w:w="920" w:type="dxa"/>
            <w:vAlign w:val="bottom"/>
            <w:tcBorders>
              <w:bottom w:val="single" w:sz="8" w:color="CCECFF"/>
            </w:tcBorders>
            <w:shd w:val="clear" w:color="auto" w:fill="CCECFF"/>
          </w:tcPr>
          <w:p>
            <w:pPr>
              <w:spacing w:after="0"/>
              <w:rPr>
                <w:sz w:val="13"/>
                <w:szCs w:val="13"/>
                <w:color w:val="auto"/>
              </w:rPr>
            </w:pPr>
          </w:p>
        </w:tc>
        <w:tc>
          <w:tcPr>
            <w:tcW w:w="800" w:type="dxa"/>
            <w:vAlign w:val="bottom"/>
            <w:tcBorders>
              <w:bottom w:val="single" w:sz="8" w:color="CCECFF"/>
            </w:tcBorders>
            <w:shd w:val="clear" w:color="auto" w:fill="CCECFF"/>
          </w:tcPr>
          <w:p>
            <w:pPr>
              <w:spacing w:after="0"/>
              <w:rPr>
                <w:sz w:val="13"/>
                <w:szCs w:val="13"/>
                <w:color w:val="auto"/>
              </w:rPr>
            </w:pPr>
          </w:p>
        </w:tc>
        <w:tc>
          <w:tcPr>
            <w:tcW w:w="96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52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64,547</w:t>
            </w:r>
          </w:p>
        </w:tc>
        <w:tc>
          <w:tcPr>
            <w:tcW w:w="8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Represents floating rate instruments that accrue interest at a predetermined spread relative to an index, typically the applicable Secured Overnight Financing Rate or "SOFR". The spread may change based on the type of rate used. The terms in the Consolidated Schedule of Investments disclose the actual interest rate in effect as of the reporting period. All securities are subject to a SOFR floor where a spread is provided, unless noted. The spread provided includes PIK interest and other fee rates, if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0"/>
          <w:szCs w:val="10"/>
          <w:color w:val="auto"/>
        </w:rPr>
        <w:t>Valued based on PSSL’s accounting policy.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0"/>
          <w:szCs w:val="10"/>
          <w:color w:val="auto"/>
        </w:rPr>
        <w:t>Represents the purchase of a security with a delayed settlement or a revolving line of credit that is currently an unfunded investment. This security does not earn a basis point spread above an index while it is unfunded.</w:t>
      </w:r>
    </w:p>
    <w:p>
      <w:pPr>
        <w:spacing w:after="0" w:line="237" w:lineRule="auto"/>
        <w:rPr>
          <w:sz w:val="20"/>
          <w:szCs w:val="20"/>
          <w:color w:val="auto"/>
        </w:rPr>
      </w:pPr>
      <w:r>
        <w:rPr>
          <w:rFonts w:ascii="Times New Roman" w:cs="Times New Roman" w:eastAsia="Times New Roman" w:hAnsi="Times New Roman"/>
          <w:sz w:val="19"/>
          <w:szCs w:val="19"/>
          <w:color w:val="auto"/>
          <w:vertAlign w:val="superscript"/>
        </w:rPr>
        <w:t>(4)</w:t>
      </w:r>
      <w:r>
        <w:rPr>
          <w:rFonts w:ascii="Times New Roman" w:cs="Times New Roman" w:eastAsia="Times New Roman" w:hAnsi="Times New Roman"/>
          <w:sz w:val="10"/>
          <w:szCs w:val="10"/>
          <w:color w:val="auto"/>
        </w:rPr>
        <w:t>Non-accrual security.</w:t>
      </w:r>
    </w:p>
    <w:p>
      <w:pPr>
        <w:spacing w:after="0" w:line="237" w:lineRule="auto"/>
        <w:rPr>
          <w:sz w:val="20"/>
          <w:szCs w:val="20"/>
          <w:color w:val="auto"/>
        </w:rPr>
      </w:pPr>
      <w:r>
        <w:rPr>
          <w:rFonts w:ascii="Times New Roman" w:cs="Times New Roman" w:eastAsia="Times New Roman" w:hAnsi="Times New Roman"/>
          <w:sz w:val="19"/>
          <w:szCs w:val="19"/>
          <w:color w:val="auto"/>
          <w:vertAlign w:val="superscript"/>
        </w:rPr>
        <w:t>(5)</w:t>
      </w:r>
      <w:r>
        <w:rPr>
          <w:rFonts w:ascii="Times New Roman" w:cs="Times New Roman" w:eastAsia="Times New Roman" w:hAnsi="Times New Roman"/>
          <w:sz w:val="10"/>
          <w:szCs w:val="10"/>
          <w:color w:val="auto"/>
        </w:rPr>
        <w:t>Partial PIK non-accrual security.</w:t>
      </w:r>
    </w:p>
    <w:p>
      <w:pPr>
        <w:spacing w:after="0" w:line="1" w:lineRule="exact"/>
        <w:rPr>
          <w:sz w:val="20"/>
          <w:szCs w:val="20"/>
          <w:color w:val="auto"/>
        </w:rPr>
      </w:pPr>
    </w:p>
    <w:p>
      <w:pPr>
        <w:ind w:right="280"/>
        <w:spacing w:after="0" w:line="219" w:lineRule="auto"/>
        <w:rPr>
          <w:sz w:val="20"/>
          <w:szCs w:val="20"/>
          <w:color w:val="auto"/>
        </w:rPr>
      </w:pP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0"/>
          <w:szCs w:val="10"/>
          <w:color w:val="auto"/>
        </w:rPr>
        <w:t>The securities, or a portion thereof, are not 1) pledged as collateral under the Credit Facility and held through Funding I; or, 2) securing the 2035 Asset-Backed Debt and held through PennantPark CLO VI, LLC, or, 3) securing the 2036 Asset-Backed Debt and held through PennantPark CLO II, Ltd.</w:t>
      </w:r>
    </w:p>
    <w:p>
      <w:pPr>
        <w:spacing w:after="0"/>
        <w:rPr>
          <w:sz w:val="20"/>
          <w:szCs w:val="20"/>
          <w:color w:val="auto"/>
        </w:rPr>
      </w:pPr>
      <w:r>
        <w:rPr>
          <w:rFonts w:ascii="Times New Roman" w:cs="Times New Roman" w:eastAsia="Times New Roman" w:hAnsi="Times New Roman"/>
          <w:sz w:val="19"/>
          <w:szCs w:val="19"/>
          <w:color w:val="auto"/>
          <w:vertAlign w:val="superscript"/>
        </w:rPr>
        <w:t>(7)</w:t>
      </w:r>
      <w:r>
        <w:rPr>
          <w:rFonts w:ascii="Times New Roman" w:cs="Times New Roman" w:eastAsia="Times New Roman" w:hAnsi="Times New Roman"/>
          <w:sz w:val="10"/>
          <w:szCs w:val="10"/>
          <w:color w:val="auto"/>
        </w:rPr>
        <w:t>All investments are in US Companies unless noted otherwise.</w:t>
      </w:r>
    </w:p>
    <w:p>
      <w:pPr>
        <w:jc w:val="center"/>
        <w:ind w:right="-19"/>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24" w:right="680" w:bottom="1440" w:gutter="0" w:footer="0" w:header="0"/>
        </w:sectPr>
      </w:pPr>
    </w:p>
    <w:bookmarkStart w:id="63" w:name="page64"/>
    <w:bookmarkEnd w:id="63"/>
    <w:tbl>
      <w:tblPr>
        <w:tblLayout w:type="fixed"/>
        <w:tblInd w:w="6" w:type="dxa"/>
        <w:tblCellMar>
          <w:top w:w="0" w:type="dxa"/>
          <w:left w:w="0" w:type="dxa"/>
          <w:bottom w:w="0" w:type="dxa"/>
          <w:right w:w="0" w:type="dxa"/>
        </w:tblCellMar>
      </w:tblPr>
      <w:tr>
        <w:trPr>
          <w:trHeight w:val="172"/>
        </w:trPr>
        <w:tc>
          <w:tcPr>
            <w:tcW w:w="61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are the consolidated statements of assets and liabilities for PSSL ($ in thousands):</w:t>
            </w: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18"/>
        </w:trPr>
        <w:tc>
          <w:tcPr>
            <w:tcW w:w="6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6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gridSpan w:val="2"/>
          </w:tcPr>
          <w:p>
            <w:pPr>
              <w:jc w:val="right"/>
              <w:ind w:right="880"/>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380" w:type="dxa"/>
            <w:vAlign w:val="bottom"/>
          </w:tcPr>
          <w:p>
            <w:pPr>
              <w:spacing w:after="0"/>
              <w:rPr>
                <w:sz w:val="14"/>
                <w:szCs w:val="14"/>
                <w:color w:val="auto"/>
              </w:rPr>
            </w:pP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September 30, 2024</w:t>
            </w:r>
          </w:p>
        </w:tc>
      </w:tr>
      <w:tr>
        <w:trPr>
          <w:trHeight w:val="156"/>
        </w:trPr>
        <w:tc>
          <w:tcPr>
            <w:tcW w:w="6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340" w:type="dxa"/>
            <w:vAlign w:val="bottom"/>
            <w:shd w:val="clear" w:color="auto" w:fill="CCECFF"/>
          </w:tcPr>
          <w:p>
            <w:pPr>
              <w:spacing w:after="0"/>
              <w:rPr>
                <w:sz w:val="13"/>
                <w:szCs w:val="13"/>
                <w:color w:val="auto"/>
              </w:rPr>
            </w:pPr>
          </w:p>
        </w:tc>
        <w:tc>
          <w:tcPr>
            <w:tcW w:w="16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16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6"/>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 at fair value (amortized cost—$1,072,770 and $928,983, respectively)</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1,046,178</w:t>
            </w:r>
          </w:p>
        </w:tc>
        <w:tc>
          <w:tcPr>
            <w:tcW w:w="280" w:type="dxa"/>
            <w:vAlign w:val="bottom"/>
          </w:tcPr>
          <w:p>
            <w:pPr>
              <w:spacing w:after="0"/>
              <w:rPr>
                <w:sz w:val="13"/>
                <w:szCs w:val="13"/>
                <w:color w:val="auto"/>
              </w:rPr>
            </w:pPr>
          </w:p>
        </w:tc>
        <w:tc>
          <w:tcPr>
            <w:tcW w:w="3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913,281</w:t>
            </w:r>
          </w:p>
        </w:tc>
        <w:tc>
          <w:tcPr>
            <w:tcW w:w="100" w:type="dxa"/>
            <w:vAlign w:val="bottom"/>
          </w:tcPr>
          <w:p>
            <w:pPr>
              <w:spacing w:after="0"/>
              <w:rPr>
                <w:sz w:val="13"/>
                <w:szCs w:val="13"/>
                <w:color w:val="auto"/>
              </w:rPr>
            </w:pPr>
          </w:p>
        </w:tc>
      </w:tr>
      <w:tr>
        <w:trPr>
          <w:trHeight w:val="156"/>
        </w:trPr>
        <w:tc>
          <w:tcPr>
            <w:tcW w:w="6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Receivable for investments sold</w:t>
            </w:r>
          </w:p>
        </w:tc>
        <w:tc>
          <w:tcPr>
            <w:tcW w:w="34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1,297</w:t>
            </w:r>
          </w:p>
        </w:tc>
        <w:tc>
          <w:tcPr>
            <w:tcW w:w="28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17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(cost—$53,629 and $68,429, respectively)</w:t>
            </w:r>
          </w:p>
        </w:tc>
        <w:tc>
          <w:tcPr>
            <w:tcW w:w="340" w:type="dxa"/>
            <w:vAlign w:val="bottom"/>
          </w:tcPr>
          <w:p>
            <w:pPr>
              <w:spacing w:after="0"/>
              <w:rPr>
                <w:sz w:val="13"/>
                <w:szCs w:val="13"/>
                <w:color w:val="auto"/>
              </w:rPr>
            </w:pPr>
          </w:p>
        </w:tc>
        <w:tc>
          <w:tcPr>
            <w:tcW w:w="19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53,629</w:t>
            </w:r>
          </w:p>
        </w:tc>
        <w:tc>
          <w:tcPr>
            <w:tcW w:w="380" w:type="dxa"/>
            <w:vAlign w:val="bottom"/>
          </w:tcPr>
          <w:p>
            <w:pPr>
              <w:spacing w:after="0"/>
              <w:rPr>
                <w:sz w:val="13"/>
                <w:szCs w:val="13"/>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68,429</w:t>
            </w:r>
          </w:p>
        </w:tc>
      </w:tr>
      <w:tr>
        <w:trPr>
          <w:trHeight w:val="156"/>
        </w:trPr>
        <w:tc>
          <w:tcPr>
            <w:tcW w:w="6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receivable</w:t>
            </w:r>
          </w:p>
        </w:tc>
        <w:tc>
          <w:tcPr>
            <w:tcW w:w="34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5,080</w:t>
            </w:r>
          </w:p>
        </w:tc>
        <w:tc>
          <w:tcPr>
            <w:tcW w:w="28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4,722</w:t>
            </w:r>
          </w:p>
        </w:tc>
        <w:tc>
          <w:tcPr>
            <w:tcW w:w="100" w:type="dxa"/>
            <w:vAlign w:val="bottom"/>
            <w:shd w:val="clear" w:color="auto" w:fill="CCECFF"/>
          </w:tcPr>
          <w:p>
            <w:pPr>
              <w:spacing w:after="0"/>
              <w:rPr>
                <w:sz w:val="13"/>
                <w:szCs w:val="13"/>
                <w:color w:val="auto"/>
              </w:rPr>
            </w:pPr>
          </w:p>
        </w:tc>
      </w:tr>
      <w:tr>
        <w:trPr>
          <w:trHeight w:val="156"/>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from affiliate</w:t>
            </w:r>
          </w:p>
        </w:tc>
        <w:tc>
          <w:tcPr>
            <w:tcW w:w="3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3"/>
                <w:szCs w:val="13"/>
                <w:color w:val="auto"/>
              </w:rPr>
            </w:pPr>
          </w:p>
        </w:tc>
      </w:tr>
      <w:tr>
        <w:trPr>
          <w:trHeight w:val="156"/>
        </w:trPr>
        <w:tc>
          <w:tcPr>
            <w:tcW w:w="6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34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3,367</w:t>
            </w:r>
          </w:p>
        </w:tc>
        <w:tc>
          <w:tcPr>
            <w:tcW w:w="28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1,642</w:t>
            </w:r>
          </w:p>
        </w:tc>
        <w:tc>
          <w:tcPr>
            <w:tcW w:w="100" w:type="dxa"/>
            <w:vAlign w:val="bottom"/>
            <w:shd w:val="clear" w:color="auto" w:fill="CCECFF"/>
          </w:tcPr>
          <w:p>
            <w:pPr>
              <w:spacing w:after="0"/>
              <w:rPr>
                <w:sz w:val="13"/>
                <w:szCs w:val="13"/>
                <w:color w:val="auto"/>
              </w:rPr>
            </w:pPr>
          </w:p>
        </w:tc>
      </w:tr>
      <w:tr>
        <w:trPr>
          <w:trHeight w:val="156"/>
        </w:trPr>
        <w:tc>
          <w:tcPr>
            <w:tcW w:w="610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3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1,109,630</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988,122</w:t>
            </w:r>
          </w:p>
        </w:tc>
        <w:tc>
          <w:tcPr>
            <w:tcW w:w="100" w:type="dxa"/>
            <w:vAlign w:val="bottom"/>
          </w:tcPr>
          <w:p>
            <w:pPr>
              <w:spacing w:after="0"/>
              <w:rPr>
                <w:sz w:val="13"/>
                <w:szCs w:val="13"/>
                <w:color w:val="auto"/>
              </w:rPr>
            </w:pPr>
          </w:p>
        </w:tc>
      </w:tr>
      <w:tr>
        <w:trPr>
          <w:trHeight w:val="156"/>
        </w:trPr>
        <w:tc>
          <w:tcPr>
            <w:tcW w:w="6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340" w:type="dxa"/>
            <w:vAlign w:val="bottom"/>
            <w:shd w:val="clear" w:color="auto" w:fill="CCECFF"/>
          </w:tcPr>
          <w:p>
            <w:pPr>
              <w:spacing w:after="0"/>
              <w:rPr>
                <w:sz w:val="13"/>
                <w:szCs w:val="13"/>
                <w:color w:val="auto"/>
              </w:rPr>
            </w:pPr>
          </w:p>
        </w:tc>
        <w:tc>
          <w:tcPr>
            <w:tcW w:w="16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16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6"/>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Credit facility payable</w:t>
            </w:r>
          </w:p>
        </w:tc>
        <w:tc>
          <w:tcPr>
            <w:tcW w:w="3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259,100</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146,100</w:t>
            </w:r>
          </w:p>
        </w:tc>
        <w:tc>
          <w:tcPr>
            <w:tcW w:w="100" w:type="dxa"/>
            <w:vAlign w:val="bottom"/>
          </w:tcPr>
          <w:p>
            <w:pPr>
              <w:spacing w:after="0"/>
              <w:rPr>
                <w:sz w:val="13"/>
                <w:szCs w:val="13"/>
                <w:color w:val="auto"/>
              </w:rPr>
            </w:pPr>
          </w:p>
        </w:tc>
      </w:tr>
      <w:tr>
        <w:trPr>
          <w:trHeight w:val="156"/>
        </w:trPr>
        <w:tc>
          <w:tcPr>
            <w:tcW w:w="6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2035 Asset-backed debt, net (par—$246,000 and $246,000, respectively)</w:t>
            </w:r>
          </w:p>
        </w:tc>
        <w:tc>
          <w:tcPr>
            <w:tcW w:w="34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244,046</w:t>
            </w:r>
          </w:p>
        </w:tc>
        <w:tc>
          <w:tcPr>
            <w:tcW w:w="28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243,934</w:t>
            </w:r>
          </w:p>
        </w:tc>
        <w:tc>
          <w:tcPr>
            <w:tcW w:w="100" w:type="dxa"/>
            <w:vAlign w:val="bottom"/>
            <w:shd w:val="clear" w:color="auto" w:fill="CCECFF"/>
          </w:tcPr>
          <w:p>
            <w:pPr>
              <w:spacing w:after="0"/>
              <w:rPr>
                <w:sz w:val="13"/>
                <w:szCs w:val="13"/>
                <w:color w:val="auto"/>
              </w:rPr>
            </w:pPr>
          </w:p>
        </w:tc>
      </w:tr>
      <w:tr>
        <w:trPr>
          <w:trHeight w:val="156"/>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2036 Asset-backed debt, net (par—$246,000 and $246,000, respectively)</w:t>
            </w:r>
          </w:p>
        </w:tc>
        <w:tc>
          <w:tcPr>
            <w:tcW w:w="3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244,444</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244,372</w:t>
            </w:r>
          </w:p>
        </w:tc>
        <w:tc>
          <w:tcPr>
            <w:tcW w:w="100" w:type="dxa"/>
            <w:vAlign w:val="bottom"/>
          </w:tcPr>
          <w:p>
            <w:pPr>
              <w:spacing w:after="0"/>
              <w:rPr>
                <w:sz w:val="13"/>
                <w:szCs w:val="13"/>
                <w:color w:val="auto"/>
              </w:rPr>
            </w:pPr>
          </w:p>
        </w:tc>
      </w:tr>
      <w:tr>
        <w:trPr>
          <w:trHeight w:val="156"/>
        </w:trPr>
        <w:tc>
          <w:tcPr>
            <w:tcW w:w="6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Notes payable to members</w:t>
            </w:r>
          </w:p>
        </w:tc>
        <w:tc>
          <w:tcPr>
            <w:tcW w:w="34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271,600</w:t>
            </w:r>
          </w:p>
        </w:tc>
        <w:tc>
          <w:tcPr>
            <w:tcW w:w="28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271,600</w:t>
            </w:r>
          </w:p>
        </w:tc>
        <w:tc>
          <w:tcPr>
            <w:tcW w:w="100" w:type="dxa"/>
            <w:vAlign w:val="bottom"/>
            <w:shd w:val="clear" w:color="auto" w:fill="CCECFF"/>
          </w:tcPr>
          <w:p>
            <w:pPr>
              <w:spacing w:after="0"/>
              <w:rPr>
                <w:sz w:val="13"/>
                <w:szCs w:val="13"/>
                <w:color w:val="auto"/>
              </w:rPr>
            </w:pPr>
          </w:p>
        </w:tc>
      </w:tr>
      <w:tr>
        <w:trPr>
          <w:trHeight w:val="156"/>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payable on credit facility and asset backed debt</w:t>
            </w:r>
          </w:p>
        </w:tc>
        <w:tc>
          <w:tcPr>
            <w:tcW w:w="3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9,127</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9,281</w:t>
            </w:r>
          </w:p>
        </w:tc>
        <w:tc>
          <w:tcPr>
            <w:tcW w:w="100" w:type="dxa"/>
            <w:vAlign w:val="bottom"/>
          </w:tcPr>
          <w:p>
            <w:pPr>
              <w:spacing w:after="0"/>
              <w:rPr>
                <w:sz w:val="13"/>
                <w:szCs w:val="13"/>
                <w:color w:val="auto"/>
              </w:rPr>
            </w:pPr>
          </w:p>
        </w:tc>
      </w:tr>
      <w:tr>
        <w:trPr>
          <w:trHeight w:val="156"/>
        </w:trPr>
        <w:tc>
          <w:tcPr>
            <w:tcW w:w="6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340" w:type="dxa"/>
            <w:vAlign w:val="bottom"/>
            <w:shd w:val="clear" w:color="auto" w:fill="CCECFF"/>
          </w:tcPr>
          <w:p>
            <w:pPr>
              <w:spacing w:after="0"/>
              <w:rPr>
                <w:sz w:val="13"/>
                <w:szCs w:val="13"/>
                <w:color w:val="auto"/>
              </w:rPr>
            </w:pPr>
          </w:p>
        </w:tc>
        <w:tc>
          <w:tcPr>
            <w:tcW w:w="1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3"/>
                <w:szCs w:val="13"/>
                <w:color w:val="auto"/>
              </w:rPr>
              <w:t>17,521</w:t>
            </w:r>
          </w:p>
        </w:tc>
        <w:tc>
          <w:tcPr>
            <w:tcW w:w="38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shd w:val="clear" w:color="auto" w:fill="CCECFF"/>
          </w:tcPr>
          <w:p>
            <w:pPr>
              <w:spacing w:after="0"/>
              <w:rPr>
                <w:sz w:val="13"/>
                <w:szCs w:val="13"/>
                <w:color w:val="auto"/>
              </w:rPr>
            </w:pPr>
          </w:p>
        </w:tc>
      </w:tr>
      <w:tr>
        <w:trPr>
          <w:trHeight w:val="156"/>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payable on notes to members</w:t>
            </w:r>
          </w:p>
        </w:tc>
        <w:tc>
          <w:tcPr>
            <w:tcW w:w="3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6,949</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7,315</w:t>
            </w:r>
          </w:p>
        </w:tc>
        <w:tc>
          <w:tcPr>
            <w:tcW w:w="100" w:type="dxa"/>
            <w:vAlign w:val="bottom"/>
          </w:tcPr>
          <w:p>
            <w:pPr>
              <w:spacing w:after="0"/>
              <w:rPr>
                <w:sz w:val="13"/>
                <w:szCs w:val="13"/>
                <w:color w:val="auto"/>
              </w:rPr>
            </w:pPr>
          </w:p>
        </w:tc>
      </w:tr>
      <w:tr>
        <w:trPr>
          <w:trHeight w:val="156"/>
        </w:trPr>
        <w:tc>
          <w:tcPr>
            <w:tcW w:w="6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Accrued expenses</w:t>
            </w:r>
          </w:p>
        </w:tc>
        <w:tc>
          <w:tcPr>
            <w:tcW w:w="34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882</w:t>
            </w:r>
          </w:p>
        </w:tc>
        <w:tc>
          <w:tcPr>
            <w:tcW w:w="28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822</w:t>
            </w:r>
          </w:p>
        </w:tc>
        <w:tc>
          <w:tcPr>
            <w:tcW w:w="100" w:type="dxa"/>
            <w:vAlign w:val="bottom"/>
            <w:shd w:val="clear" w:color="auto" w:fill="CCECFF"/>
          </w:tcPr>
          <w:p>
            <w:pPr>
              <w:spacing w:after="0"/>
              <w:rPr>
                <w:sz w:val="13"/>
                <w:szCs w:val="13"/>
                <w:color w:val="auto"/>
              </w:rPr>
            </w:pPr>
          </w:p>
        </w:tc>
      </w:tr>
      <w:tr>
        <w:trPr>
          <w:trHeight w:val="156"/>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to affiliate</w:t>
            </w:r>
          </w:p>
        </w:tc>
        <w:tc>
          <w:tcPr>
            <w:tcW w:w="3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3"/>
                <w:szCs w:val="13"/>
                <w:color w:val="auto"/>
              </w:rPr>
            </w:pPr>
          </w:p>
        </w:tc>
      </w:tr>
      <w:tr>
        <w:trPr>
          <w:trHeight w:val="156"/>
        </w:trPr>
        <w:tc>
          <w:tcPr>
            <w:tcW w:w="610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34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1,053,731</w:t>
            </w:r>
          </w:p>
        </w:tc>
        <w:tc>
          <w:tcPr>
            <w:tcW w:w="28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923,575</w:t>
            </w:r>
          </w:p>
        </w:tc>
        <w:tc>
          <w:tcPr>
            <w:tcW w:w="100" w:type="dxa"/>
            <w:vAlign w:val="bottom"/>
            <w:shd w:val="clear" w:color="auto" w:fill="CCECFF"/>
          </w:tcPr>
          <w:p>
            <w:pPr>
              <w:spacing w:after="0"/>
              <w:rPr>
                <w:sz w:val="13"/>
                <w:szCs w:val="13"/>
                <w:color w:val="auto"/>
              </w:rPr>
            </w:pPr>
          </w:p>
        </w:tc>
      </w:tr>
      <w:tr>
        <w:trPr>
          <w:trHeight w:val="156"/>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w:t>
            </w:r>
          </w:p>
        </w:tc>
        <w:tc>
          <w:tcPr>
            <w:tcW w:w="3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610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340" w:type="dxa"/>
            <w:vAlign w:val="bottom"/>
            <w:shd w:val="clear" w:color="auto" w:fill="CCECFF"/>
          </w:tcPr>
          <w:p>
            <w:pPr>
              <w:spacing w:after="0"/>
              <w:rPr>
                <w:sz w:val="13"/>
                <w:szCs w:val="13"/>
                <w:color w:val="auto"/>
              </w:rPr>
            </w:pPr>
          </w:p>
        </w:tc>
        <w:tc>
          <w:tcPr>
            <w:tcW w:w="1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3"/>
                <w:szCs w:val="13"/>
                <w:color w:val="auto"/>
              </w:rPr>
              <w:t>55,899</w:t>
            </w:r>
          </w:p>
        </w:tc>
        <w:tc>
          <w:tcPr>
            <w:tcW w:w="380" w:type="dxa"/>
            <w:vAlign w:val="bottom"/>
            <w:shd w:val="clear" w:color="auto" w:fill="CCECFF"/>
          </w:tcPr>
          <w:p>
            <w:pPr>
              <w:spacing w:after="0"/>
              <w:rPr>
                <w:sz w:val="13"/>
                <w:szCs w:val="13"/>
                <w:color w:val="auto"/>
              </w:rPr>
            </w:pPr>
          </w:p>
        </w:tc>
        <w:tc>
          <w:tcPr>
            <w:tcW w:w="17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64,547</w:t>
            </w:r>
          </w:p>
        </w:tc>
      </w:tr>
      <w:tr>
        <w:trPr>
          <w:trHeight w:val="156"/>
        </w:trPr>
        <w:tc>
          <w:tcPr>
            <w:tcW w:w="610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1,109,630</w:t>
            </w:r>
          </w:p>
        </w:tc>
        <w:tc>
          <w:tcPr>
            <w:tcW w:w="280" w:type="dxa"/>
            <w:vAlign w:val="bottom"/>
          </w:tcPr>
          <w:p>
            <w:pPr>
              <w:spacing w:after="0"/>
              <w:rPr>
                <w:sz w:val="13"/>
                <w:szCs w:val="13"/>
                <w:color w:val="auto"/>
              </w:rPr>
            </w:pPr>
          </w:p>
        </w:tc>
        <w:tc>
          <w:tcPr>
            <w:tcW w:w="3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988,122</w:t>
            </w:r>
          </w:p>
        </w:tc>
        <w:tc>
          <w:tcPr>
            <w:tcW w:w="100" w:type="dxa"/>
            <w:vAlign w:val="bottom"/>
          </w:tcPr>
          <w:p>
            <w:pPr>
              <w:spacing w:after="0"/>
              <w:rPr>
                <w:sz w:val="13"/>
                <w:szCs w:val="13"/>
                <w:color w:val="auto"/>
              </w:rPr>
            </w:pPr>
          </w:p>
        </w:tc>
      </w:tr>
      <w:tr>
        <w:trPr>
          <w:trHeight w:val="20"/>
        </w:trPr>
        <w:tc>
          <w:tcPr>
            <w:tcW w:w="6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 w:lineRule="exact"/>
        <w:rPr>
          <w:sz w:val="20"/>
          <w:szCs w:val="20"/>
          <w:color w:val="auto"/>
        </w:rPr>
      </w:pPr>
    </w:p>
    <w:p>
      <w:pPr>
        <w:ind w:left="106" w:hanging="106"/>
        <w:spacing w:after="0"/>
        <w:tabs>
          <w:tab w:leader="none" w:pos="106" w:val="left"/>
        </w:tabs>
        <w:numPr>
          <w:ilvl w:val="0"/>
          <w:numId w:val="15"/>
        </w:numPr>
        <w:rPr>
          <w:rFonts w:ascii="Times New Roman" w:cs="Times New Roman" w:eastAsia="Times New Roman" w:hAnsi="Times New Roman"/>
          <w:sz w:val="12"/>
          <w:szCs w:val="12"/>
          <w:b w:val="1"/>
          <w:bCs w:val="1"/>
          <w:color w:val="auto"/>
          <w:vertAlign w:val="superscript"/>
        </w:rPr>
      </w:pPr>
      <w:r>
        <w:rPr>
          <w:rFonts w:ascii="Times New Roman" w:cs="Times New Roman" w:eastAsia="Times New Roman" w:hAnsi="Times New Roman"/>
          <w:sz w:val="10"/>
          <w:szCs w:val="10"/>
          <w:color w:val="auto"/>
        </w:rPr>
        <w:t>As of December 31, 2024 and September 30, 2024, PSSL had unfunded commitments to fund investments of less than $0.1 million and $0.6 million, respectively.</w:t>
      </w:r>
    </w:p>
    <w:p>
      <w:pPr>
        <w:spacing w:after="0" w:line="283"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419735</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6"/>
          </w:cols>
          <w:pgMar w:left="654" w:top="1410" w:right="68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72"/>
        </w:trPr>
        <w:tc>
          <w:tcPr>
            <w:tcW w:w="73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are the consolidated statements of operations for PSSL ($ in thousands):</w:t>
            </w: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5"/>
        </w:trPr>
        <w:tc>
          <w:tcPr>
            <w:tcW w:w="7360" w:type="dxa"/>
            <w:vAlign w:val="bottom"/>
          </w:tcPr>
          <w:p>
            <w:pPr>
              <w:spacing w:after="0"/>
              <w:rPr>
                <w:sz w:val="24"/>
                <w:szCs w:val="24"/>
                <w:color w:val="auto"/>
              </w:rPr>
            </w:pPr>
          </w:p>
        </w:tc>
        <w:tc>
          <w:tcPr>
            <w:tcW w:w="2660" w:type="dxa"/>
            <w:vAlign w:val="bottom"/>
            <w:gridSpan w:val="4"/>
          </w:tcPr>
          <w:p>
            <w:pPr>
              <w:ind w:left="58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92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736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920" w:type="dxa"/>
            <w:vAlign w:val="bottom"/>
            <w:shd w:val="clear" w:color="auto" w:fill="CCECFF"/>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3"/>
                <w:szCs w:val="13"/>
                <w:color w:val="auto"/>
              </w:rPr>
              <w:t>29,425</w:t>
            </w:r>
          </w:p>
        </w:tc>
        <w:tc>
          <w:tcPr>
            <w:tcW w:w="940" w:type="dxa"/>
            <w:vAlign w:val="bottom"/>
            <w:shd w:val="clear" w:color="auto" w:fill="CCECFF"/>
          </w:tcPr>
          <w:p>
            <w:pPr>
              <w:jc w:val="right"/>
              <w:ind w:right="794"/>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26,048</w:t>
            </w:r>
          </w:p>
        </w:tc>
        <w:tc>
          <w:tcPr>
            <w:tcW w:w="0" w:type="dxa"/>
            <w:vAlign w:val="bottom"/>
          </w:tcPr>
          <w:p>
            <w:pPr>
              <w:spacing w:after="0"/>
              <w:rPr>
                <w:sz w:val="1"/>
                <w:szCs w:val="1"/>
                <w:color w:val="auto"/>
              </w:rPr>
            </w:pPr>
          </w:p>
        </w:tc>
      </w:tr>
      <w:tr>
        <w:trPr>
          <w:trHeight w:val="156"/>
        </w:trPr>
        <w:tc>
          <w:tcPr>
            <w:tcW w:w="7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9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920" w:type="dxa"/>
            <w:vAlign w:val="bottom"/>
            <w:shd w:val="clear" w:color="auto" w:fill="CCECFF"/>
          </w:tcPr>
          <w:p>
            <w:pPr>
              <w:spacing w:after="0"/>
              <w:rPr>
                <w:sz w:val="13"/>
                <w:szCs w:val="13"/>
                <w:color w:val="auto"/>
              </w:rPr>
            </w:pPr>
          </w:p>
        </w:tc>
        <w:tc>
          <w:tcPr>
            <w:tcW w:w="8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3"/>
                <w:szCs w:val="13"/>
                <w:color w:val="auto"/>
              </w:rPr>
              <w:t>30,008</w:t>
            </w:r>
          </w:p>
        </w:tc>
        <w:tc>
          <w:tcPr>
            <w:tcW w:w="940" w:type="dxa"/>
            <w:vAlign w:val="bottom"/>
            <w:shd w:val="clear" w:color="auto" w:fill="CCECFF"/>
          </w:tcPr>
          <w:p>
            <w:pPr>
              <w:spacing w:after="0"/>
              <w:rPr>
                <w:sz w:val="13"/>
                <w:szCs w:val="13"/>
                <w:color w:val="auto"/>
              </w:rPr>
            </w:pPr>
          </w:p>
        </w:tc>
        <w:tc>
          <w:tcPr>
            <w:tcW w:w="5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26,225</w:t>
            </w:r>
          </w:p>
        </w:tc>
        <w:tc>
          <w:tcPr>
            <w:tcW w:w="0" w:type="dxa"/>
            <w:vAlign w:val="bottom"/>
          </w:tcPr>
          <w:p>
            <w:pPr>
              <w:spacing w:after="0"/>
              <w:rPr>
                <w:sz w:val="1"/>
                <w:szCs w:val="1"/>
                <w:color w:val="auto"/>
              </w:rPr>
            </w:pPr>
          </w:p>
        </w:tc>
      </w:tr>
      <w:tr>
        <w:trPr>
          <w:trHeight w:val="156"/>
        </w:trPr>
        <w:tc>
          <w:tcPr>
            <w:tcW w:w="7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 and expense on credit facility and asset-backed debt</w:t>
            </w:r>
          </w:p>
        </w:tc>
        <w:tc>
          <w:tcPr>
            <w:tcW w:w="920" w:type="dxa"/>
            <w:vAlign w:val="bottom"/>
            <w:shd w:val="clear" w:color="auto" w:fill="CCECFF"/>
          </w:tcPr>
          <w:p>
            <w:pPr>
              <w:spacing w:after="0"/>
              <w:rPr>
                <w:sz w:val="13"/>
                <w:szCs w:val="13"/>
                <w:color w:val="auto"/>
              </w:rPr>
            </w:pPr>
          </w:p>
        </w:tc>
        <w:tc>
          <w:tcPr>
            <w:tcW w:w="8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3"/>
                <w:szCs w:val="13"/>
                <w:color w:val="auto"/>
              </w:rPr>
              <w:t>14,085</w:t>
            </w:r>
          </w:p>
        </w:tc>
        <w:tc>
          <w:tcPr>
            <w:tcW w:w="940" w:type="dxa"/>
            <w:vAlign w:val="bottom"/>
            <w:shd w:val="clear" w:color="auto" w:fill="CCECFF"/>
          </w:tcPr>
          <w:p>
            <w:pPr>
              <w:spacing w:after="0"/>
              <w:rPr>
                <w:sz w:val="13"/>
                <w:szCs w:val="13"/>
                <w:color w:val="auto"/>
              </w:rPr>
            </w:pPr>
          </w:p>
        </w:tc>
        <w:tc>
          <w:tcPr>
            <w:tcW w:w="5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13,398</w:t>
            </w:r>
          </w:p>
        </w:tc>
        <w:tc>
          <w:tcPr>
            <w:tcW w:w="0" w:type="dxa"/>
            <w:vAlign w:val="bottom"/>
          </w:tcPr>
          <w:p>
            <w:pPr>
              <w:spacing w:after="0"/>
              <w:rPr>
                <w:sz w:val="1"/>
                <w:szCs w:val="1"/>
                <w:color w:val="auto"/>
              </w:rPr>
            </w:pPr>
          </w:p>
        </w:tc>
      </w:tr>
      <w:tr>
        <w:trPr>
          <w:trHeight w:val="156"/>
        </w:trPr>
        <w:tc>
          <w:tcPr>
            <w:tcW w:w="7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expense on notes to members</w:t>
            </w:r>
          </w:p>
        </w:tc>
        <w:tc>
          <w:tcPr>
            <w:tcW w:w="9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8,853</w:t>
            </w: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Administration fees</w:t>
            </w:r>
          </w:p>
        </w:tc>
        <w:tc>
          <w:tcPr>
            <w:tcW w:w="92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668</w:t>
            </w:r>
          </w:p>
        </w:tc>
        <w:tc>
          <w:tcPr>
            <w:tcW w:w="32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558</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9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w:t>
            </w: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expenses</w:t>
            </w:r>
          </w:p>
        </w:tc>
        <w:tc>
          <w:tcPr>
            <w:tcW w:w="920" w:type="dxa"/>
            <w:vAlign w:val="bottom"/>
            <w:shd w:val="clear" w:color="auto" w:fill="CCECFF"/>
          </w:tcPr>
          <w:p>
            <w:pPr>
              <w:spacing w:after="0"/>
              <w:rPr>
                <w:sz w:val="13"/>
                <w:szCs w:val="13"/>
                <w:color w:val="auto"/>
              </w:rPr>
            </w:pPr>
          </w:p>
        </w:tc>
        <w:tc>
          <w:tcPr>
            <w:tcW w:w="8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3"/>
                <w:szCs w:val="13"/>
                <w:color w:val="auto"/>
              </w:rPr>
              <w:t>24,099</w:t>
            </w:r>
          </w:p>
        </w:tc>
        <w:tc>
          <w:tcPr>
            <w:tcW w:w="940" w:type="dxa"/>
            <w:vAlign w:val="bottom"/>
            <w:shd w:val="clear" w:color="auto" w:fill="CCECFF"/>
          </w:tcPr>
          <w:p>
            <w:pPr>
              <w:spacing w:after="0"/>
              <w:rPr>
                <w:sz w:val="13"/>
                <w:szCs w:val="13"/>
                <w:color w:val="auto"/>
              </w:rPr>
            </w:pPr>
          </w:p>
        </w:tc>
        <w:tc>
          <w:tcPr>
            <w:tcW w:w="5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22,438</w:t>
            </w:r>
          </w:p>
        </w:tc>
        <w:tc>
          <w:tcPr>
            <w:tcW w:w="0" w:type="dxa"/>
            <w:vAlign w:val="bottom"/>
          </w:tcPr>
          <w:p>
            <w:pPr>
              <w:spacing w:after="0"/>
              <w:rPr>
                <w:sz w:val="1"/>
                <w:szCs w:val="1"/>
                <w:color w:val="auto"/>
              </w:rPr>
            </w:pPr>
          </w:p>
        </w:tc>
      </w:tr>
      <w:tr>
        <w:trPr>
          <w:trHeight w:val="156"/>
        </w:trPr>
        <w:tc>
          <w:tcPr>
            <w:tcW w:w="73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9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5,909</w:t>
            </w: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Realized and unrealized gain (loss) on investments:</w:t>
            </w:r>
          </w:p>
        </w:tc>
        <w:tc>
          <w:tcPr>
            <w:tcW w:w="920" w:type="dxa"/>
            <w:vAlign w:val="bottom"/>
            <w:shd w:val="clear" w:color="auto" w:fill="CCECFF"/>
          </w:tcPr>
          <w:p>
            <w:pPr>
              <w:spacing w:after="0"/>
              <w:rPr>
                <w:sz w:val="13"/>
                <w:szCs w:val="13"/>
                <w:color w:val="auto"/>
              </w:rPr>
            </w:pPr>
          </w:p>
        </w:tc>
        <w:tc>
          <w:tcPr>
            <w:tcW w:w="48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9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1,333</w:t>
            </w: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(6,420)</w:t>
            </w:r>
          </w:p>
        </w:tc>
        <w:tc>
          <w:tcPr>
            <w:tcW w:w="0" w:type="dxa"/>
            <w:vAlign w:val="bottom"/>
          </w:tcPr>
          <w:p>
            <w:pPr>
              <w:spacing w:after="0"/>
              <w:rPr>
                <w:sz w:val="1"/>
                <w:szCs w:val="1"/>
                <w:color w:val="auto"/>
              </w:rPr>
            </w:pPr>
          </w:p>
        </w:tc>
      </w:tr>
      <w:tr>
        <w:trPr>
          <w:trHeight w:val="156"/>
        </w:trPr>
        <w:tc>
          <w:tcPr>
            <w:tcW w:w="73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920" w:type="dxa"/>
            <w:vAlign w:val="bottom"/>
            <w:shd w:val="clear" w:color="auto" w:fill="CCECFF"/>
          </w:tcPr>
          <w:p>
            <w:pPr>
              <w:spacing w:after="0"/>
              <w:rPr>
                <w:sz w:val="13"/>
                <w:szCs w:val="13"/>
                <w:color w:val="auto"/>
              </w:rPr>
            </w:pPr>
          </w:p>
        </w:tc>
        <w:tc>
          <w:tcPr>
            <w:tcW w:w="8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(10,890)</w:t>
            </w:r>
          </w:p>
        </w:tc>
        <w:tc>
          <w:tcPr>
            <w:tcW w:w="9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8,059</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on investments</w:t>
            </w:r>
          </w:p>
        </w:tc>
        <w:tc>
          <w:tcPr>
            <w:tcW w:w="92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(9,557)</w:t>
            </w:r>
          </w:p>
        </w:tc>
        <w:tc>
          <w:tcPr>
            <w:tcW w:w="9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360" w:type="dxa"/>
            <w:vAlign w:val="bottom"/>
            <w:shd w:val="clear" w:color="auto" w:fill="CCECFF"/>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Net increase (decrease) in members' equity resulting from operations</w:t>
            </w:r>
          </w:p>
        </w:tc>
        <w:tc>
          <w:tcPr>
            <w:tcW w:w="920" w:type="dxa"/>
            <w:vAlign w:val="bottom"/>
            <w:shd w:val="clear" w:color="auto" w:fill="CCECFF"/>
          </w:tcPr>
          <w:p>
            <w:pPr>
              <w:jc w:val="right"/>
              <w:ind w:right="77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CFF"/>
          </w:tcPr>
          <w:p>
            <w:pPr>
              <w:jc w:val="right"/>
              <w:ind w:right="260"/>
              <w:spacing w:after="0" w:line="136" w:lineRule="exact"/>
              <w:rPr>
                <w:sz w:val="20"/>
                <w:szCs w:val="20"/>
                <w:color w:val="auto"/>
              </w:rPr>
            </w:pPr>
            <w:r>
              <w:rPr>
                <w:rFonts w:ascii="Times New Roman" w:cs="Times New Roman" w:eastAsia="Times New Roman" w:hAnsi="Times New Roman"/>
                <w:sz w:val="9"/>
                <w:szCs w:val="9"/>
                <w:color w:val="auto"/>
              </w:rPr>
              <w:t>(3,648</w:t>
            </w:r>
            <w:r>
              <w:rPr>
                <w:rFonts w:ascii="Times New Roman" w:cs="Times New Roman" w:eastAsia="Times New Roman" w:hAnsi="Times New Roman"/>
                <w:sz w:val="15"/>
                <w:szCs w:val="15"/>
                <w:color w:val="auto"/>
                <w:vertAlign w:val="subscript"/>
              </w:rPr>
              <w:t>)</w:t>
            </w:r>
          </w:p>
        </w:tc>
        <w:tc>
          <w:tcPr>
            <w:tcW w:w="940" w:type="dxa"/>
            <w:vAlign w:val="bottom"/>
            <w:shd w:val="clear" w:color="auto" w:fill="CCECFF"/>
          </w:tcPr>
          <w:p>
            <w:pPr>
              <w:jc w:val="right"/>
              <w:ind w:right="79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rPr>
              <w:t>5,426</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360" w:type="dxa"/>
            <w:vAlign w:val="bottom"/>
            <w:tcBorders>
              <w:top w:val="single" w:sz="8" w:color="CCECFF"/>
            </w:tcBorders>
            <w:shd w:val="clear" w:color="auto" w:fill="CCEC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CFF"/>
            </w:tcBorders>
            <w:shd w:val="clear" w:color="auto" w:fill="CCEC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Currently, no management or incentive fees are payable by PSSL. If any fees were to be charged, they would be separately disclosed in the Statements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Off-Balance Sheet Arrangements</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We currently engage in no off-balance sheet arrangements other than our funding requirements for the unfunded investments described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Distributions</w:t>
      </w:r>
    </w:p>
    <w:p>
      <w:pPr>
        <w:spacing w:after="0" w:line="167" w:lineRule="exact"/>
        <w:rPr>
          <w:sz w:val="20"/>
          <w:szCs w:val="20"/>
          <w:color w:val="auto"/>
        </w:rPr>
      </w:pPr>
    </w:p>
    <w:p>
      <w:pPr>
        <w:ind w:right="80" w:firstLine="420"/>
        <w:spacing w:after="0" w:line="268" w:lineRule="auto"/>
        <w:rPr>
          <w:sz w:val="20"/>
          <w:szCs w:val="20"/>
          <w:color w:val="auto"/>
        </w:rPr>
      </w:pPr>
      <w:r>
        <w:rPr>
          <w:rFonts w:ascii="Times New Roman" w:cs="Times New Roman" w:eastAsia="Times New Roman" w:hAnsi="Times New Roman"/>
          <w:sz w:val="13"/>
          <w:szCs w:val="13"/>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23" w:lineRule="exact"/>
        <w:rPr>
          <w:sz w:val="20"/>
          <w:szCs w:val="20"/>
          <w:color w:val="auto"/>
        </w:rPr>
      </w:pPr>
    </w:p>
    <w:p>
      <w:pPr>
        <w:jc w:val="both"/>
        <w:ind w:right="160" w:firstLine="420"/>
        <w:spacing w:after="0" w:line="259" w:lineRule="auto"/>
        <w:rPr>
          <w:sz w:val="20"/>
          <w:szCs w:val="20"/>
          <w:color w:val="auto"/>
        </w:rPr>
      </w:pPr>
      <w:r>
        <w:rPr>
          <w:rFonts w:ascii="Times New Roman" w:cs="Times New Roman" w:eastAsia="Times New Roman" w:hAnsi="Times New Roman"/>
          <w:sz w:val="13"/>
          <w:szCs w:val="13"/>
          <w:color w:val="auto"/>
        </w:rPr>
        <w:t>Although not required for us to maintain our RIC tax status, in order to preclude the imposition of a 4% nondeductible federal excise tax imposed on RICs, we must distribute dividends for federal income tax purposes to our stockholders in respect of each calendar year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30"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During the three months ended December 31, 2024, we declared distributions of $ 0.3075 per share for total distributions of $25.2 million. During the three months ended December 31, 2023, we declared distributions of $0.3075 per share for total distributions of $18.1 million.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We intend to continue to make monthly distributions to our stockholders. Our monthly distributions, if any, are determined by our board of directors quarterly.</w:t>
      </w:r>
    </w:p>
    <w:p>
      <w:pPr>
        <w:spacing w:after="0" w:line="163"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Recent Accounting Pronouncements</w:t>
      </w:r>
    </w:p>
    <w:p>
      <w:pPr>
        <w:spacing w:after="0" w:line="167"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In March 2020, the FASB issued Accounting Standards Update, or ASU,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FASB approved an (optional) two year extension to December 31, 2024, for transitioning away from LIBOR. The Company utilized the optional expedients and exceptions provided by ASU 2020-04 during the three months ended December 31, 2024, the effect of which was not material to the Consolidated Financial Statements and the notes thereto.</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0" w:right="680" w:bottom="1440" w:gutter="0" w:footer="0" w:header="0"/>
        </w:sectPr>
      </w:pPr>
    </w:p>
    <w:bookmarkStart w:id="65" w:name="page66"/>
    <w:bookmarkEnd w:id="65"/>
    <w:p>
      <w:pPr>
        <w:ind w:right="20" w:firstLine="420"/>
        <w:spacing w:after="0" w:line="257" w:lineRule="auto"/>
        <w:rPr>
          <w:sz w:val="20"/>
          <w:szCs w:val="20"/>
          <w:color w:val="auto"/>
        </w:rPr>
      </w:pPr>
      <w:r>
        <w:rPr>
          <w:rFonts w:ascii="Times New Roman" w:cs="Times New Roman" w:eastAsia="Times New Roman" w:hAnsi="Times New Roman"/>
          <w:sz w:val="13"/>
          <w:szCs w:val="13"/>
          <w:color w:val="auto"/>
        </w:rPr>
        <w:t>In June 2022, the FASB issued Accounting Standards Update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has adopted the new accounting standard, the effect of which was not material to the consolidated financial statements and the notes thereto.</w:t>
      </w:r>
    </w:p>
    <w:p>
      <w:pPr>
        <w:spacing w:after="0" w:line="132" w:lineRule="exact"/>
        <w:rPr>
          <w:sz w:val="20"/>
          <w:szCs w:val="20"/>
          <w:color w:val="auto"/>
        </w:rPr>
      </w:pPr>
    </w:p>
    <w:p>
      <w:pPr>
        <w:ind w:right="180" w:firstLine="420"/>
        <w:spacing w:after="0" w:line="256" w:lineRule="auto"/>
        <w:rPr>
          <w:sz w:val="20"/>
          <w:szCs w:val="20"/>
          <w:color w:val="auto"/>
        </w:rPr>
      </w:pPr>
      <w:r>
        <w:rPr>
          <w:rFonts w:ascii="Times New Roman" w:cs="Times New Roman" w:eastAsia="Times New Roman" w:hAnsi="Times New Roman"/>
          <w:sz w:val="13"/>
          <w:szCs w:val="13"/>
          <w:color w:val="auto"/>
        </w:rPr>
        <w:t>In November 2023, the Financial Accounting Standards Board (FASB) issued ASU 2023-07, Segment Reporting (Topic 280), Improvements to Reportable Segment Disclosures to improve reportable segment disclosure requirements through enhanced disclosures about significant segment expenses. ASU 2023-07 expands public entities' segment disclosure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 of a reportable segment's profit or loss and assets. All disclosure requirements of ASU 2023-07 are required for entities with a single reportable segment. ASU 2023-07 is effective for fiscal years beginning after December 15, 2023, and interim periods for our fiscal years beginning December 15, 2024, and should be applied on a retrospective basis to all periods presented, noting early adoption is permitted. The Company is currently evaluating the impact of this standard on its consolidated financial statements and related disclosures.</w:t>
      </w:r>
    </w:p>
    <w:p>
      <w:pPr>
        <w:spacing w:after="0" w:line="132" w:lineRule="exact"/>
        <w:rPr>
          <w:sz w:val="20"/>
          <w:szCs w:val="20"/>
          <w:color w:val="auto"/>
        </w:rPr>
      </w:pPr>
    </w:p>
    <w:p>
      <w:pPr>
        <w:jc w:val="both"/>
        <w:ind w:right="420" w:firstLine="420"/>
        <w:spacing w:after="0" w:line="268" w:lineRule="auto"/>
        <w:rPr>
          <w:sz w:val="20"/>
          <w:szCs w:val="20"/>
          <w:color w:val="auto"/>
        </w:rPr>
      </w:pPr>
      <w:r>
        <w:rPr>
          <w:rFonts w:ascii="Times New Roman" w:cs="Times New Roman" w:eastAsia="Times New Roman" w:hAnsi="Times New Roman"/>
          <w:sz w:val="13"/>
          <w:szCs w:val="13"/>
          <w:color w:val="auto"/>
        </w:rPr>
        <w:t>In December 2023, the FASB issued ASU 2023 - 09 "Improvements to Income Tax Disclosures" ("ASU 2023 - 09"). ASU 2023 - 09 intends to improve the transparency of income tax disclosures. ASU 2023 - 09 is effective for fiscal years beginning after December 15, 2024 and is to be adopted on a prospective basis with the option to apply retrospectively. We are currently assessing the impact of this guidance, however, we do not expect a material impact to our consolidated financial statements and related disclosures.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3. Quantitative and Qualitative Disclosures About Market Risk</w:t>
      </w:r>
    </w:p>
    <w:p>
      <w:pPr>
        <w:spacing w:after="0" w:line="165"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We are subject to financial market risks, including changes in interest rates. As of December 31, 2024, our debt portfolio consisted of approximately 100.0% variable-rate investments. The variable-rate loans are usually based on a SOFR (or an alternative risk-free floating interest rate index)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30" w:lineRule="exact"/>
        <w:rPr>
          <w:sz w:val="20"/>
          <w:szCs w:val="20"/>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000" w:type="dxa"/>
            <w:vAlign w:val="bottom"/>
          </w:tcPr>
          <w:p>
            <w:pPr>
              <w:spacing w:after="0"/>
              <w:rPr>
                <w:sz w:val="13"/>
                <w:szCs w:val="13"/>
                <w:color w:val="auto"/>
              </w:rPr>
            </w:pPr>
          </w:p>
        </w:tc>
        <w:tc>
          <w:tcPr>
            <w:tcW w:w="3260" w:type="dxa"/>
            <w:vAlign w:val="bottom"/>
          </w:tcPr>
          <w:p>
            <w:pPr>
              <w:jc w:val="center"/>
              <w:ind w:left="1134"/>
              <w:spacing w:after="0"/>
              <w:rPr>
                <w:sz w:val="20"/>
                <w:szCs w:val="20"/>
                <w:color w:val="auto"/>
              </w:rPr>
            </w:pPr>
            <w:r>
              <w:rPr>
                <w:rFonts w:ascii="Times New Roman" w:cs="Times New Roman" w:eastAsia="Times New Roman" w:hAnsi="Times New Roman"/>
                <w:sz w:val="13"/>
                <w:szCs w:val="13"/>
                <w:b w:val="1"/>
                <w:bCs w:val="1"/>
                <w:color w:val="auto"/>
              </w:rPr>
              <w:t>Change in Interest Income,</w:t>
            </w: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80" w:type="dxa"/>
            <w:vAlign w:val="bottom"/>
          </w:tcPr>
          <w:p>
            <w:pPr>
              <w:jc w:val="center"/>
              <w:ind w:right="494"/>
              <w:spacing w:after="0"/>
              <w:rPr>
                <w:sz w:val="20"/>
                <w:szCs w:val="20"/>
                <w:color w:val="auto"/>
              </w:rPr>
            </w:pPr>
            <w:r>
              <w:rPr>
                <w:rFonts w:ascii="Times New Roman" w:cs="Times New Roman" w:eastAsia="Times New Roman" w:hAnsi="Times New Roman"/>
                <w:sz w:val="13"/>
                <w:szCs w:val="13"/>
                <w:b w:val="1"/>
                <w:bCs w:val="1"/>
                <w:color w:val="auto"/>
              </w:rPr>
              <w:t>Change in Interest Income,</w:t>
            </w:r>
          </w:p>
        </w:tc>
      </w:tr>
      <w:tr>
        <w:trPr>
          <w:trHeight w:val="156"/>
        </w:trPr>
        <w:tc>
          <w:tcPr>
            <w:tcW w:w="3000" w:type="dxa"/>
            <w:vAlign w:val="bottom"/>
          </w:tcPr>
          <w:p>
            <w:pPr>
              <w:spacing w:after="0"/>
              <w:rPr>
                <w:sz w:val="13"/>
                <w:szCs w:val="13"/>
                <w:color w:val="auto"/>
              </w:rPr>
            </w:pPr>
          </w:p>
        </w:tc>
        <w:tc>
          <w:tcPr>
            <w:tcW w:w="3260" w:type="dxa"/>
            <w:vAlign w:val="bottom"/>
          </w:tcPr>
          <w:p>
            <w:pPr>
              <w:jc w:val="center"/>
              <w:ind w:left="1154"/>
              <w:spacing w:after="0"/>
              <w:rPr>
                <w:sz w:val="20"/>
                <w:szCs w:val="20"/>
                <w:color w:val="auto"/>
              </w:rPr>
            </w:pPr>
            <w:r>
              <w:rPr>
                <w:rFonts w:ascii="Times New Roman" w:cs="Times New Roman" w:eastAsia="Times New Roman" w:hAnsi="Times New Roman"/>
                <w:sz w:val="13"/>
                <w:szCs w:val="13"/>
                <w:b w:val="1"/>
                <w:bCs w:val="1"/>
                <w:color w:val="auto"/>
              </w:rPr>
              <w:t>Net of Interest Expense</w:t>
            </w: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80" w:type="dxa"/>
            <w:vAlign w:val="bottom"/>
          </w:tcPr>
          <w:p>
            <w:pPr>
              <w:jc w:val="center"/>
              <w:ind w:right="474"/>
              <w:spacing w:after="0"/>
              <w:rPr>
                <w:sz w:val="20"/>
                <w:szCs w:val="20"/>
                <w:color w:val="auto"/>
              </w:rPr>
            </w:pPr>
            <w:r>
              <w:rPr>
                <w:rFonts w:ascii="Times New Roman" w:cs="Times New Roman" w:eastAsia="Times New Roman" w:hAnsi="Times New Roman"/>
                <w:sz w:val="13"/>
                <w:szCs w:val="13"/>
                <w:b w:val="1"/>
                <w:bCs w:val="1"/>
                <w:color w:val="auto"/>
              </w:rPr>
              <w:t>Net of Interest</w:t>
            </w:r>
          </w:p>
        </w:tc>
      </w:tr>
      <w:tr>
        <w:trPr>
          <w:trHeight w:val="170"/>
        </w:trPr>
        <w:tc>
          <w:tcPr>
            <w:tcW w:w="3000" w:type="dxa"/>
            <w:vAlign w:val="bottom"/>
          </w:tcPr>
          <w:p>
            <w:pPr>
              <w:jc w:val="center"/>
              <w:ind w:left="314"/>
              <w:spacing w:after="0"/>
              <w:rPr>
                <w:sz w:val="20"/>
                <w:szCs w:val="20"/>
                <w:color w:val="auto"/>
              </w:rPr>
            </w:pPr>
            <w:r>
              <w:rPr>
                <w:rFonts w:ascii="Times New Roman" w:cs="Times New Roman" w:eastAsia="Times New Roman" w:hAnsi="Times New Roman"/>
                <w:sz w:val="13"/>
                <w:szCs w:val="13"/>
                <w:b w:val="1"/>
                <w:bCs w:val="1"/>
                <w:color w:val="auto"/>
              </w:rPr>
              <w:t>Change in Interest Rates</w:t>
            </w:r>
          </w:p>
        </w:tc>
        <w:tc>
          <w:tcPr>
            <w:tcW w:w="3260" w:type="dxa"/>
            <w:vAlign w:val="bottom"/>
          </w:tcPr>
          <w:p>
            <w:pPr>
              <w:jc w:val="center"/>
              <w:ind w:left="1154"/>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80" w:type="dxa"/>
            <w:vAlign w:val="bottom"/>
          </w:tcPr>
          <w:p>
            <w:pPr>
              <w:jc w:val="center"/>
              <w:ind w:right="474"/>
              <w:spacing w:after="0"/>
              <w:rPr>
                <w:sz w:val="20"/>
                <w:szCs w:val="20"/>
                <w:color w:val="auto"/>
              </w:rPr>
            </w:pPr>
            <w:r>
              <w:rPr>
                <w:rFonts w:ascii="Times New Roman" w:cs="Times New Roman" w:eastAsia="Times New Roman" w:hAnsi="Times New Roman"/>
                <w:sz w:val="13"/>
                <w:szCs w:val="13"/>
                <w:b w:val="1"/>
                <w:bCs w:val="1"/>
                <w:color w:val="auto"/>
              </w:rPr>
              <w:t>Expense Per Share</w:t>
            </w:r>
          </w:p>
        </w:tc>
      </w:tr>
      <w:tr>
        <w:trPr>
          <w:trHeight w:val="156"/>
        </w:trPr>
        <w:tc>
          <w:tcPr>
            <w:tcW w:w="3000" w:type="dxa"/>
            <w:vAlign w:val="bottom"/>
            <w:shd w:val="clear" w:color="auto" w:fill="CCECFF"/>
          </w:tcPr>
          <w:p>
            <w:pPr>
              <w:jc w:val="center"/>
              <w:ind w:left="314"/>
              <w:spacing w:after="0"/>
              <w:rPr>
                <w:sz w:val="20"/>
                <w:szCs w:val="20"/>
                <w:color w:val="auto"/>
              </w:rPr>
            </w:pPr>
            <w:r>
              <w:rPr>
                <w:rFonts w:ascii="Times New Roman" w:cs="Times New Roman" w:eastAsia="Times New Roman" w:hAnsi="Times New Roman"/>
                <w:sz w:val="13"/>
                <w:szCs w:val="13"/>
                <w:color w:val="auto"/>
              </w:rPr>
              <w:t>Down 1%</w:t>
            </w:r>
          </w:p>
        </w:tc>
        <w:tc>
          <w:tcPr>
            <w:tcW w:w="3260" w:type="dxa"/>
            <w:vAlign w:val="bottom"/>
            <w:shd w:val="clear" w:color="auto" w:fill="CCECFF"/>
          </w:tcPr>
          <w:p>
            <w:pPr>
              <w:jc w:val="right"/>
              <w:ind w:right="251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(8,277 )</w:t>
            </w:r>
          </w:p>
        </w:tc>
        <w:tc>
          <w:tcPr>
            <w:tcW w:w="600" w:type="dxa"/>
            <w:vAlign w:val="bottom"/>
            <w:shd w:val="clear" w:color="auto" w:fill="CCECFF"/>
          </w:tcPr>
          <w:p>
            <w:pPr>
              <w:jc w:val="right"/>
              <w:ind w:right="314"/>
              <w:spacing w:after="0"/>
              <w:rPr>
                <w:sz w:val="20"/>
                <w:szCs w:val="20"/>
                <w:color w:val="auto"/>
              </w:rPr>
            </w:pPr>
            <w:r>
              <w:rPr>
                <w:rFonts w:ascii="Times New Roman" w:cs="Times New Roman" w:eastAsia="Times New Roman" w:hAnsi="Times New Roman"/>
                <w:sz w:val="13"/>
                <w:szCs w:val="13"/>
                <w:color w:val="auto"/>
              </w:rPr>
              <w:t>$</w:t>
            </w:r>
          </w:p>
        </w:tc>
        <w:tc>
          <w:tcPr>
            <w:tcW w:w="2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(0.10 )</w:t>
            </w:r>
          </w:p>
        </w:tc>
      </w:tr>
      <w:tr>
        <w:trPr>
          <w:trHeight w:val="156"/>
        </w:trPr>
        <w:tc>
          <w:tcPr>
            <w:tcW w:w="3000" w:type="dxa"/>
            <w:vAlign w:val="bottom"/>
          </w:tcPr>
          <w:p>
            <w:pPr>
              <w:jc w:val="center"/>
              <w:ind w:left="294"/>
              <w:spacing w:after="0"/>
              <w:rPr>
                <w:sz w:val="20"/>
                <w:szCs w:val="20"/>
                <w:color w:val="auto"/>
              </w:rPr>
            </w:pPr>
            <w:r>
              <w:rPr>
                <w:rFonts w:ascii="Times New Roman" w:cs="Times New Roman" w:eastAsia="Times New Roman" w:hAnsi="Times New Roman"/>
                <w:sz w:val="13"/>
                <w:szCs w:val="13"/>
                <w:color w:val="auto"/>
                <w:w w:val="98"/>
              </w:rPr>
              <w:t>Up 1%</w:t>
            </w:r>
          </w:p>
        </w:tc>
        <w:tc>
          <w:tcPr>
            <w:tcW w:w="3260" w:type="dxa"/>
            <w:vAlign w:val="bottom"/>
          </w:tcPr>
          <w:p>
            <w:pPr>
              <w:spacing w:after="0"/>
              <w:rPr>
                <w:sz w:val="13"/>
                <w:szCs w:val="13"/>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8,277</w:t>
            </w:r>
          </w:p>
        </w:tc>
        <w:tc>
          <w:tcPr>
            <w:tcW w:w="600" w:type="dxa"/>
            <w:vAlign w:val="bottom"/>
          </w:tcPr>
          <w:p>
            <w:pPr>
              <w:spacing w:after="0"/>
              <w:rPr>
                <w:sz w:val="13"/>
                <w:szCs w:val="13"/>
                <w:color w:val="auto"/>
              </w:rPr>
            </w:pPr>
          </w:p>
        </w:tc>
        <w:tc>
          <w:tcPr>
            <w:tcW w:w="2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0.10</w:t>
            </w:r>
          </w:p>
        </w:tc>
      </w:tr>
      <w:tr>
        <w:trPr>
          <w:trHeight w:val="156"/>
        </w:trPr>
        <w:tc>
          <w:tcPr>
            <w:tcW w:w="3000" w:type="dxa"/>
            <w:vAlign w:val="bottom"/>
            <w:shd w:val="clear" w:color="auto" w:fill="CCECFF"/>
          </w:tcPr>
          <w:p>
            <w:pPr>
              <w:jc w:val="center"/>
              <w:ind w:left="294"/>
              <w:spacing w:after="0"/>
              <w:rPr>
                <w:sz w:val="20"/>
                <w:szCs w:val="20"/>
                <w:color w:val="auto"/>
              </w:rPr>
            </w:pPr>
            <w:r>
              <w:rPr>
                <w:rFonts w:ascii="Times New Roman" w:cs="Times New Roman" w:eastAsia="Times New Roman" w:hAnsi="Times New Roman"/>
                <w:sz w:val="13"/>
                <w:szCs w:val="13"/>
                <w:color w:val="auto"/>
                <w:w w:val="98"/>
              </w:rPr>
              <w:t>Up 2%</w:t>
            </w:r>
          </w:p>
        </w:tc>
        <w:tc>
          <w:tcPr>
            <w:tcW w:w="3260" w:type="dxa"/>
            <w:vAlign w:val="bottom"/>
            <w:shd w:val="clear" w:color="auto" w:fill="CCECFF"/>
          </w:tcPr>
          <w:p>
            <w:pPr>
              <w:spacing w:after="0"/>
              <w:rPr>
                <w:sz w:val="13"/>
                <w:szCs w:val="13"/>
                <w:color w:val="auto"/>
              </w:rPr>
            </w:pPr>
          </w:p>
        </w:tc>
        <w:tc>
          <w:tcPr>
            <w:tcW w:w="82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16,553</w:t>
            </w:r>
          </w:p>
        </w:tc>
        <w:tc>
          <w:tcPr>
            <w:tcW w:w="600" w:type="dxa"/>
            <w:vAlign w:val="bottom"/>
            <w:shd w:val="clear" w:color="auto" w:fill="CCECFF"/>
          </w:tcPr>
          <w:p>
            <w:pPr>
              <w:spacing w:after="0"/>
              <w:rPr>
                <w:sz w:val="13"/>
                <w:szCs w:val="13"/>
                <w:color w:val="auto"/>
              </w:rPr>
            </w:pPr>
          </w:p>
        </w:tc>
        <w:tc>
          <w:tcPr>
            <w:tcW w:w="28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0.20</w:t>
            </w:r>
          </w:p>
        </w:tc>
      </w:tr>
      <w:tr>
        <w:trPr>
          <w:trHeight w:val="156"/>
        </w:trPr>
        <w:tc>
          <w:tcPr>
            <w:tcW w:w="3000" w:type="dxa"/>
            <w:vAlign w:val="bottom"/>
          </w:tcPr>
          <w:p>
            <w:pPr>
              <w:jc w:val="center"/>
              <w:ind w:left="294"/>
              <w:spacing w:after="0"/>
              <w:rPr>
                <w:sz w:val="20"/>
                <w:szCs w:val="20"/>
                <w:color w:val="auto"/>
              </w:rPr>
            </w:pPr>
            <w:r>
              <w:rPr>
                <w:rFonts w:ascii="Times New Roman" w:cs="Times New Roman" w:eastAsia="Times New Roman" w:hAnsi="Times New Roman"/>
                <w:sz w:val="13"/>
                <w:szCs w:val="13"/>
                <w:color w:val="auto"/>
                <w:w w:val="98"/>
              </w:rPr>
              <w:t>Up 3%</w:t>
            </w:r>
          </w:p>
        </w:tc>
        <w:tc>
          <w:tcPr>
            <w:tcW w:w="3260" w:type="dxa"/>
            <w:vAlign w:val="bottom"/>
          </w:tcPr>
          <w:p>
            <w:pPr>
              <w:spacing w:after="0"/>
              <w:rPr>
                <w:sz w:val="13"/>
                <w:szCs w:val="13"/>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24,830</w:t>
            </w:r>
          </w:p>
        </w:tc>
        <w:tc>
          <w:tcPr>
            <w:tcW w:w="600" w:type="dxa"/>
            <w:vAlign w:val="bottom"/>
          </w:tcPr>
          <w:p>
            <w:pPr>
              <w:spacing w:after="0"/>
              <w:rPr>
                <w:sz w:val="13"/>
                <w:szCs w:val="13"/>
                <w:color w:val="auto"/>
              </w:rPr>
            </w:pPr>
          </w:p>
        </w:tc>
        <w:tc>
          <w:tcPr>
            <w:tcW w:w="2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0.29</w:t>
            </w:r>
          </w:p>
        </w:tc>
      </w:tr>
      <w:tr>
        <w:trPr>
          <w:trHeight w:val="156"/>
        </w:trPr>
        <w:tc>
          <w:tcPr>
            <w:tcW w:w="3000" w:type="dxa"/>
            <w:vAlign w:val="bottom"/>
            <w:shd w:val="clear" w:color="auto" w:fill="CCECFF"/>
          </w:tcPr>
          <w:p>
            <w:pPr>
              <w:jc w:val="center"/>
              <w:ind w:left="294"/>
              <w:spacing w:after="0"/>
              <w:rPr>
                <w:sz w:val="20"/>
                <w:szCs w:val="20"/>
                <w:color w:val="auto"/>
              </w:rPr>
            </w:pPr>
            <w:r>
              <w:rPr>
                <w:rFonts w:ascii="Times New Roman" w:cs="Times New Roman" w:eastAsia="Times New Roman" w:hAnsi="Times New Roman"/>
                <w:sz w:val="13"/>
                <w:szCs w:val="13"/>
                <w:color w:val="auto"/>
                <w:w w:val="98"/>
              </w:rPr>
              <w:t>Up 4%</w:t>
            </w:r>
          </w:p>
        </w:tc>
        <w:tc>
          <w:tcPr>
            <w:tcW w:w="3260" w:type="dxa"/>
            <w:vAlign w:val="bottom"/>
            <w:shd w:val="clear" w:color="auto" w:fill="CCECFF"/>
          </w:tcPr>
          <w:p>
            <w:pPr>
              <w:spacing w:after="0"/>
              <w:rPr>
                <w:sz w:val="13"/>
                <w:szCs w:val="13"/>
                <w:color w:val="auto"/>
              </w:rPr>
            </w:pPr>
          </w:p>
        </w:tc>
        <w:tc>
          <w:tcPr>
            <w:tcW w:w="82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33,120</w:t>
            </w:r>
          </w:p>
        </w:tc>
        <w:tc>
          <w:tcPr>
            <w:tcW w:w="600" w:type="dxa"/>
            <w:vAlign w:val="bottom"/>
            <w:shd w:val="clear" w:color="auto" w:fill="CCECFF"/>
          </w:tcPr>
          <w:p>
            <w:pPr>
              <w:spacing w:after="0"/>
              <w:rPr>
                <w:sz w:val="13"/>
                <w:szCs w:val="13"/>
                <w:color w:val="auto"/>
              </w:rPr>
            </w:pPr>
          </w:p>
        </w:tc>
        <w:tc>
          <w:tcPr>
            <w:tcW w:w="28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0.39</w:t>
            </w:r>
          </w:p>
        </w:tc>
      </w:tr>
    </w:tbl>
    <w:p>
      <w:pPr>
        <w:spacing w:after="0" w:line="144" w:lineRule="exact"/>
        <w:rPr>
          <w:sz w:val="20"/>
          <w:szCs w:val="20"/>
          <w:color w:val="auto"/>
        </w:rPr>
      </w:pPr>
    </w:p>
    <w:p>
      <w:pPr>
        <w:ind w:right="260" w:firstLine="420"/>
        <w:spacing w:after="0" w:line="268" w:lineRule="auto"/>
        <w:rPr>
          <w:sz w:val="20"/>
          <w:szCs w:val="20"/>
          <w:color w:val="auto"/>
        </w:rPr>
      </w:pPr>
      <w:r>
        <w:rPr>
          <w:rFonts w:ascii="Times New Roman" w:cs="Times New Roman" w:eastAsia="Times New Roman" w:hAnsi="Times New Roman"/>
          <w:sz w:val="13"/>
          <w:szCs w:val="13"/>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23" w:lineRule="exact"/>
        <w:rPr>
          <w:sz w:val="20"/>
          <w:szCs w:val="20"/>
          <w:color w:val="auto"/>
        </w:rPr>
      </w:pPr>
    </w:p>
    <w:p>
      <w:pPr>
        <w:ind w:right="80" w:firstLine="420"/>
        <w:spacing w:after="0" w:line="268" w:lineRule="auto"/>
        <w:rPr>
          <w:sz w:val="20"/>
          <w:szCs w:val="20"/>
          <w:color w:val="auto"/>
        </w:rPr>
      </w:pPr>
      <w:r>
        <w:rPr>
          <w:rFonts w:ascii="Times New Roman" w:cs="Times New Roman" w:eastAsia="Times New Roman" w:hAnsi="Times New Roman"/>
          <w:sz w:val="13"/>
          <w:szCs w:val="13"/>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23"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4. Controls and Procedures</w:t>
      </w:r>
    </w:p>
    <w:p>
      <w:pPr>
        <w:spacing w:after="0" w:line="165" w:lineRule="exact"/>
        <w:rPr>
          <w:sz w:val="20"/>
          <w:szCs w:val="20"/>
          <w:color w:val="auto"/>
        </w:rPr>
      </w:pPr>
    </w:p>
    <w:p>
      <w:pPr>
        <w:ind w:right="60" w:firstLine="420"/>
        <w:spacing w:after="0" w:line="256" w:lineRule="auto"/>
        <w:rPr>
          <w:sz w:val="20"/>
          <w:szCs w:val="20"/>
          <w:color w:val="auto"/>
        </w:rPr>
      </w:pPr>
      <w:r>
        <w:rPr>
          <w:rFonts w:ascii="Times New Roman" w:cs="Times New Roman" w:eastAsia="Times New Roman" w:hAnsi="Times New Roman"/>
          <w:sz w:val="13"/>
          <w:szCs w:val="13"/>
          <w:color w:val="auto"/>
        </w:rPr>
        <w:t>As of the period ended December 31, 2024,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32" w:lineRule="exact"/>
        <w:rPr>
          <w:sz w:val="20"/>
          <w:szCs w:val="20"/>
          <w:color w:val="auto"/>
        </w:rPr>
      </w:pPr>
    </w:p>
    <w:p>
      <w:pPr>
        <w:ind w:right="40" w:firstLine="420"/>
        <w:spacing w:after="0" w:line="286" w:lineRule="auto"/>
        <w:rPr>
          <w:sz w:val="20"/>
          <w:szCs w:val="20"/>
          <w:color w:val="auto"/>
        </w:rPr>
      </w:pPr>
      <w:r>
        <w:rPr>
          <w:rFonts w:ascii="Times New Roman" w:cs="Times New Roman" w:eastAsia="Times New Roman" w:hAnsi="Times New Roman"/>
          <w:sz w:val="13"/>
          <w:szCs w:val="13"/>
          <w:color w:val="auto"/>
        </w:rPr>
        <w:t>There have been no changes in our internal control over financial reporting that occurred during the quarter ended December 31, 2024 that have materially affected, or are reasonably likely to materially affect, our internal control over financial reporting</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90" w:right="68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3"/>
          <w:szCs w:val="13"/>
          <w:b w:val="1"/>
          <w:bCs w:val="1"/>
          <w:color w:val="auto"/>
        </w:rPr>
        <w:t>PART II – OTHER INFORMATION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 Legal Proceedings</w:t>
      </w:r>
    </w:p>
    <w:p>
      <w:pPr>
        <w:spacing w:after="0" w:line="165"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and any future legal proceedings cannot be predicted with certainty, we do not expect that these proceedings will have a material effect upon our financial condition or results of operations.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1A. Risk Factors</w:t>
      </w:r>
    </w:p>
    <w:p>
      <w:pPr>
        <w:spacing w:after="0" w:line="165"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In addition to the other information set forth in this Report, you should consider carefully the factors discussed below, as well as in Part I “Item 1A. Risk Factors” in our Annual Report on Form 10-K for the fiscal year ended September 30, 2024 filed on November 26, 2024, which could materially affect our business, financial condition and/or operating results. The risks described as in our Annual Report on Form 10-K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288" w:right="72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3"/>
          <w:szCs w:val="13"/>
          <w:b w:val="1"/>
          <w:bCs w:val="1"/>
          <w:color w:val="auto"/>
        </w:rPr>
        <w:t>Item 2. Unregistered Sales of Equity Securities and Use of Proceeds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None.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3. Defaults Upon Senior Securities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None.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4. Mine Safety Disclosures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Not applicable.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5. Other Information</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Not applicable.</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color w:val="auto"/>
        </w:rPr>
        <w:t>10b5-1 Disclosure</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None of the officers or directors of the Company have adopted or terminated any Rule 10b5-1 trading arrangements applicable to them (if any) or the Company.</w:t>
      </w:r>
    </w:p>
    <w:p>
      <w:pPr>
        <w:spacing w:after="0" w:line="200" w:lineRule="exact"/>
        <w:rPr>
          <w:sz w:val="20"/>
          <w:szCs w:val="20"/>
          <w:color w:val="auto"/>
        </w:rPr>
      </w:pPr>
    </w:p>
    <w:p>
      <w:pPr>
        <w:spacing w:after="0" w:line="2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288"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3"/>
          <w:szCs w:val="13"/>
          <w:b w:val="1"/>
          <w:bCs w:val="1"/>
          <w:color w:val="auto"/>
        </w:rPr>
        <w:t>Item 6. Exhibits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10540" w:type="dxa"/>
            <w:vAlign w:val="bottom"/>
            <w:gridSpan w:val="17"/>
          </w:tcPr>
          <w:p>
            <w:pPr>
              <w:ind w:left="400"/>
              <w:spacing w:after="0"/>
              <w:rPr>
                <w:sz w:val="20"/>
                <w:szCs w:val="20"/>
                <w:color w:val="auto"/>
              </w:rPr>
            </w:pPr>
            <w:r>
              <w:rPr>
                <w:rFonts w:ascii="Times New Roman" w:cs="Times New Roman" w:eastAsia="Times New Roman" w:hAnsi="Times New Roman"/>
                <w:sz w:val="13"/>
                <w:szCs w:val="13"/>
                <w:color w:val="auto"/>
              </w:rPr>
              <w:t>Unless specifically indicated otherwise, the following exhibits are incorporated by reference to exhibits previously filed with the SEC:</w:t>
            </w:r>
          </w:p>
        </w:tc>
      </w:tr>
      <w:tr>
        <w:trPr>
          <w:trHeight w:val="308"/>
        </w:trPr>
        <w:tc>
          <w:tcPr>
            <w:tcW w:w="740" w:type="dxa"/>
            <w:vAlign w:val="bottom"/>
          </w:tcPr>
          <w:p>
            <w:pPr>
              <w:jc w:val="right"/>
              <w:ind w:right="455"/>
              <w:spacing w:after="0"/>
              <w:rPr>
                <w:sz w:val="20"/>
                <w:szCs w:val="20"/>
                <w:color w:val="auto"/>
              </w:rPr>
            </w:pPr>
            <w:r>
              <w:rPr>
                <w:rFonts w:ascii="Times New Roman" w:cs="Times New Roman" w:eastAsia="Times New Roman" w:hAnsi="Times New Roman"/>
                <w:sz w:val="13"/>
                <w:szCs w:val="13"/>
                <w:color w:val="auto"/>
              </w:rPr>
              <w:t>3.1</w:t>
            </w:r>
          </w:p>
        </w:tc>
        <w:tc>
          <w:tcPr>
            <w:tcW w:w="9740" w:type="dxa"/>
            <w:vAlign w:val="bottom"/>
            <w:tcBorders>
              <w:bottom w:val="single" w:sz="8" w:color="0000EE"/>
            </w:tcBorders>
            <w:gridSpan w:val="15"/>
          </w:tcPr>
          <w:p>
            <w:pPr>
              <w:spacing w:after="0"/>
              <w:rPr>
                <w:rFonts w:ascii="Times New Roman" w:cs="Times New Roman" w:eastAsia="Times New Roman" w:hAnsi="Times New Roman"/>
                <w:sz w:val="13"/>
                <w:szCs w:val="13"/>
                <w:color w:val="0000FF"/>
              </w:rPr>
            </w:pPr>
            <w:hyperlink r:id="rId82">
              <w:r>
                <w:rPr>
                  <w:rFonts w:ascii="Times New Roman" w:cs="Times New Roman" w:eastAsia="Times New Roman" w:hAnsi="Times New Roman"/>
                  <w:sz w:val="13"/>
                  <w:szCs w:val="13"/>
                  <w:color w:val="0000FF"/>
                </w:rPr>
                <w:t>Articles of Amendment and Restatement of the Registrant (Incorporated by reference to Exhibit 99(A) to the Registrant's Pre-Effective Amendment No. 3 to the Registration Statement</w:t>
              </w:r>
            </w:hyperlink>
          </w:p>
        </w:tc>
        <w:tc>
          <w:tcPr>
            <w:tcW w:w="60" w:type="dxa"/>
            <w:vAlign w:val="bottom"/>
          </w:tcPr>
          <w:p>
            <w:pPr>
              <w:spacing w:after="0"/>
              <w:rPr>
                <w:sz w:val="24"/>
                <w:szCs w:val="24"/>
                <w:color w:val="auto"/>
              </w:rPr>
            </w:pPr>
          </w:p>
        </w:tc>
      </w:tr>
      <w:tr>
        <w:trPr>
          <w:trHeight w:val="136"/>
        </w:trPr>
        <w:tc>
          <w:tcPr>
            <w:tcW w:w="740" w:type="dxa"/>
            <w:vAlign w:val="bottom"/>
          </w:tcPr>
          <w:p>
            <w:pPr>
              <w:spacing w:after="0"/>
              <w:rPr>
                <w:sz w:val="11"/>
                <w:szCs w:val="11"/>
                <w:color w:val="auto"/>
              </w:rPr>
            </w:pPr>
          </w:p>
        </w:tc>
        <w:tc>
          <w:tcPr>
            <w:tcW w:w="3340" w:type="dxa"/>
            <w:vAlign w:val="bottom"/>
            <w:tcBorders>
              <w:bottom w:val="single" w:sz="8" w:color="0000EE"/>
            </w:tcBorders>
            <w:gridSpan w:val="5"/>
          </w:tcPr>
          <w:p>
            <w:pPr>
              <w:spacing w:after="0" w:line="136" w:lineRule="exact"/>
              <w:rPr>
                <w:rFonts w:ascii="Times New Roman" w:cs="Times New Roman" w:eastAsia="Times New Roman" w:hAnsi="Times New Roman"/>
                <w:sz w:val="13"/>
                <w:szCs w:val="13"/>
                <w:color w:val="0000FF"/>
              </w:rPr>
            </w:pPr>
            <w:hyperlink r:id="rId82">
              <w:r>
                <w:rPr>
                  <w:rFonts w:ascii="Times New Roman" w:cs="Times New Roman" w:eastAsia="Times New Roman" w:hAnsi="Times New Roman"/>
                  <w:sz w:val="13"/>
                  <w:szCs w:val="13"/>
                  <w:color w:val="0000FF"/>
                </w:rPr>
                <w:t>on Form N-2 (File No. 333-170243), filed on March 29, 2011).</w:t>
              </w:r>
            </w:hyperlink>
          </w:p>
        </w:tc>
        <w:tc>
          <w:tcPr>
            <w:tcW w:w="6460" w:type="dxa"/>
            <w:vAlign w:val="bottom"/>
            <w:gridSpan w:val="11"/>
          </w:tcPr>
          <w:p>
            <w:pPr>
              <w:spacing w:after="0"/>
              <w:rPr>
                <w:sz w:val="11"/>
                <w:szCs w:val="11"/>
                <w:color w:val="auto"/>
              </w:rPr>
            </w:pPr>
          </w:p>
        </w:tc>
      </w:tr>
      <w:tr>
        <w:trPr>
          <w:trHeight w:val="256"/>
        </w:trPr>
        <w:tc>
          <w:tcPr>
            <w:tcW w:w="7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3.2</w:t>
            </w:r>
          </w:p>
        </w:tc>
        <w:tc>
          <w:tcPr>
            <w:tcW w:w="9740" w:type="dxa"/>
            <w:vAlign w:val="bottom"/>
            <w:tcBorders>
              <w:bottom w:val="single" w:sz="8" w:color="0000EE"/>
            </w:tcBorders>
            <w:gridSpan w:val="15"/>
          </w:tcPr>
          <w:p>
            <w:pPr>
              <w:spacing w:after="0"/>
              <w:rPr>
                <w:rFonts w:ascii="Times New Roman" w:cs="Times New Roman" w:eastAsia="Times New Roman" w:hAnsi="Times New Roman"/>
                <w:sz w:val="13"/>
                <w:szCs w:val="13"/>
                <w:color w:val="0000FF"/>
              </w:rPr>
            </w:pPr>
            <w:hyperlink r:id="rId83">
              <w:r>
                <w:rPr>
                  <w:rFonts w:ascii="Times New Roman" w:cs="Times New Roman" w:eastAsia="Times New Roman" w:hAnsi="Times New Roman"/>
                  <w:sz w:val="13"/>
                  <w:szCs w:val="13"/>
                  <w:color w:val="0000FF"/>
                </w:rPr>
                <w:t>Articles of Amendment to Articles of Amendment and Restatement of the Registrant (Incorporated by reference to Exhibit 3.2) to the Registrant's Quarterly Report on Form 10-Q (File</w:t>
              </w:r>
            </w:hyperlink>
          </w:p>
        </w:tc>
        <w:tc>
          <w:tcPr>
            <w:tcW w:w="60" w:type="dxa"/>
            <w:vAlign w:val="bottom"/>
          </w:tcPr>
          <w:p>
            <w:pPr>
              <w:spacing w:after="0"/>
              <w:rPr>
                <w:sz w:val="22"/>
                <w:szCs w:val="22"/>
                <w:color w:val="auto"/>
              </w:rPr>
            </w:pPr>
          </w:p>
        </w:tc>
      </w:tr>
      <w:tr>
        <w:trPr>
          <w:trHeight w:val="136"/>
        </w:trPr>
        <w:tc>
          <w:tcPr>
            <w:tcW w:w="740" w:type="dxa"/>
            <w:vAlign w:val="bottom"/>
          </w:tcPr>
          <w:p>
            <w:pPr>
              <w:spacing w:after="0"/>
              <w:rPr>
                <w:sz w:val="11"/>
                <w:szCs w:val="11"/>
                <w:color w:val="auto"/>
              </w:rPr>
            </w:pPr>
          </w:p>
        </w:tc>
        <w:tc>
          <w:tcPr>
            <w:tcW w:w="2340" w:type="dxa"/>
            <w:vAlign w:val="bottom"/>
            <w:tcBorders>
              <w:bottom w:val="single" w:sz="8" w:color="0000EE"/>
            </w:tcBorders>
            <w:gridSpan w:val="4"/>
          </w:tcPr>
          <w:p>
            <w:pPr>
              <w:spacing w:after="0" w:line="136" w:lineRule="exact"/>
              <w:rPr>
                <w:rFonts w:ascii="Times New Roman" w:cs="Times New Roman" w:eastAsia="Times New Roman" w:hAnsi="Times New Roman"/>
                <w:sz w:val="13"/>
                <w:szCs w:val="13"/>
                <w:color w:val="0000FF"/>
              </w:rPr>
            </w:pPr>
            <w:hyperlink r:id="rId83">
              <w:r>
                <w:rPr>
                  <w:rFonts w:ascii="Times New Roman" w:cs="Times New Roman" w:eastAsia="Times New Roman" w:hAnsi="Times New Roman"/>
                  <w:sz w:val="13"/>
                  <w:szCs w:val="13"/>
                  <w:color w:val="0000FF"/>
                </w:rPr>
                <w:t>No. 814-00891), filed on August 07, 2024).</w:t>
              </w:r>
            </w:hyperlink>
          </w:p>
        </w:tc>
        <w:tc>
          <w:tcPr>
            <w:tcW w:w="7460" w:type="dxa"/>
            <w:vAlign w:val="bottom"/>
            <w:gridSpan w:val="12"/>
          </w:tcPr>
          <w:p>
            <w:pPr>
              <w:spacing w:after="0"/>
              <w:rPr>
                <w:sz w:val="11"/>
                <w:szCs w:val="11"/>
                <w:color w:val="auto"/>
              </w:rPr>
            </w:pPr>
          </w:p>
        </w:tc>
      </w:tr>
      <w:tr>
        <w:trPr>
          <w:trHeight w:val="256"/>
        </w:trPr>
        <w:tc>
          <w:tcPr>
            <w:tcW w:w="7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3.3</w:t>
            </w:r>
          </w:p>
        </w:tc>
        <w:tc>
          <w:tcPr>
            <w:tcW w:w="9580" w:type="dxa"/>
            <w:vAlign w:val="bottom"/>
            <w:tcBorders>
              <w:bottom w:val="single" w:sz="8" w:color="0000EE"/>
            </w:tcBorders>
            <w:gridSpan w:val="13"/>
          </w:tcPr>
          <w:p>
            <w:pPr>
              <w:spacing w:after="0"/>
              <w:rPr>
                <w:rFonts w:ascii="Times New Roman" w:cs="Times New Roman" w:eastAsia="Times New Roman" w:hAnsi="Times New Roman"/>
                <w:sz w:val="13"/>
                <w:szCs w:val="13"/>
                <w:color w:val="0000FF"/>
              </w:rPr>
            </w:pPr>
            <w:hyperlink r:id="rId84">
              <w:r>
                <w:rPr>
                  <w:rFonts w:ascii="Times New Roman" w:cs="Times New Roman" w:eastAsia="Times New Roman" w:hAnsi="Times New Roman"/>
                  <w:sz w:val="13"/>
                  <w:szCs w:val="13"/>
                  <w:color w:val="0000FF"/>
                </w:rPr>
                <w:t>Second Amended and Restated Bylaws of the Registrant (Incorporated by reference to Exhibit 3.2 to the Registrant's Quarterly Report on Form 10-Q (File No. 814-00891), filed on</w:t>
              </w:r>
            </w:hyperlink>
          </w:p>
        </w:tc>
        <w:tc>
          <w:tcPr>
            <w:tcW w:w="220" w:type="dxa"/>
            <w:vAlign w:val="bottom"/>
            <w:gridSpan w:val="3"/>
          </w:tcPr>
          <w:p>
            <w:pPr>
              <w:spacing w:after="0"/>
              <w:rPr>
                <w:sz w:val="22"/>
                <w:szCs w:val="22"/>
                <w:color w:val="auto"/>
              </w:rPr>
            </w:pPr>
          </w:p>
        </w:tc>
      </w:tr>
      <w:tr>
        <w:trPr>
          <w:trHeight w:val="136"/>
        </w:trPr>
        <w:tc>
          <w:tcPr>
            <w:tcW w:w="740" w:type="dxa"/>
            <w:vAlign w:val="bottom"/>
          </w:tcPr>
          <w:p>
            <w:pPr>
              <w:spacing w:after="0"/>
              <w:rPr>
                <w:sz w:val="11"/>
                <w:szCs w:val="11"/>
                <w:color w:val="auto"/>
              </w:rPr>
            </w:pPr>
          </w:p>
        </w:tc>
        <w:tc>
          <w:tcPr>
            <w:tcW w:w="860" w:type="dxa"/>
            <w:vAlign w:val="bottom"/>
            <w:tcBorders>
              <w:bottom w:val="single" w:sz="8" w:color="0000EE"/>
            </w:tcBorders>
          </w:tcPr>
          <w:p>
            <w:pPr>
              <w:spacing w:after="0" w:line="136" w:lineRule="exact"/>
              <w:rPr>
                <w:rFonts w:ascii="Times New Roman" w:cs="Times New Roman" w:eastAsia="Times New Roman" w:hAnsi="Times New Roman"/>
                <w:sz w:val="13"/>
                <w:szCs w:val="13"/>
                <w:color w:val="0000FF"/>
              </w:rPr>
            </w:pPr>
            <w:hyperlink r:id="rId84">
              <w:r>
                <w:rPr>
                  <w:rFonts w:ascii="Times New Roman" w:cs="Times New Roman" w:eastAsia="Times New Roman" w:hAnsi="Times New Roman"/>
                  <w:sz w:val="13"/>
                  <w:szCs w:val="13"/>
                  <w:color w:val="0000FF"/>
                </w:rPr>
                <w:t>May 11, 2020).</w:t>
              </w:r>
            </w:hyperlink>
          </w:p>
        </w:tc>
        <w:tc>
          <w:tcPr>
            <w:tcW w:w="8940" w:type="dxa"/>
            <w:vAlign w:val="bottom"/>
            <w:gridSpan w:val="15"/>
          </w:tcPr>
          <w:p>
            <w:pPr>
              <w:spacing w:after="0"/>
              <w:rPr>
                <w:sz w:val="11"/>
                <w:szCs w:val="11"/>
                <w:color w:val="auto"/>
              </w:rPr>
            </w:pPr>
          </w:p>
        </w:tc>
      </w:tr>
      <w:tr>
        <w:trPr>
          <w:trHeight w:val="256"/>
        </w:trPr>
        <w:tc>
          <w:tcPr>
            <w:tcW w:w="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4.1</w:t>
            </w:r>
          </w:p>
        </w:tc>
        <w:tc>
          <w:tcPr>
            <w:tcW w:w="9500" w:type="dxa"/>
            <w:vAlign w:val="bottom"/>
            <w:tcBorders>
              <w:bottom w:val="single" w:sz="8" w:color="0000EE"/>
            </w:tcBorders>
            <w:gridSpan w:val="12"/>
          </w:tcPr>
          <w:p>
            <w:pPr>
              <w:spacing w:after="0"/>
              <w:rPr>
                <w:rFonts w:ascii="Times New Roman" w:cs="Times New Roman" w:eastAsia="Times New Roman" w:hAnsi="Times New Roman"/>
                <w:sz w:val="13"/>
                <w:szCs w:val="13"/>
                <w:color w:val="0000FF"/>
              </w:rPr>
            </w:pPr>
            <w:hyperlink r:id="rId85">
              <w:r>
                <w:rPr>
                  <w:rFonts w:ascii="Times New Roman" w:cs="Times New Roman" w:eastAsia="Times New Roman" w:hAnsi="Times New Roman"/>
                  <w:sz w:val="13"/>
                  <w:szCs w:val="13"/>
                  <w:color w:val="0000FF"/>
                </w:rPr>
                <w:t>Form of Share Certificate (Incorporated by reference to Exhibit 99(D) to the Registrant's Pre-Effective Amendment No. 5 to the Registration Statement on Form N-2 (File No. 333</w:t>
              </w:r>
            </w:hyperlink>
            <w:r>
              <w:rPr>
                <w:rFonts w:ascii="Times New Roman" w:cs="Times New Roman" w:eastAsia="Times New Roman" w:hAnsi="Times New Roman"/>
                <w:sz w:val="13"/>
                <w:szCs w:val="13"/>
                <w:color w:val="0000FF"/>
              </w:rPr>
              <w:t>-</w:t>
            </w:r>
          </w:p>
        </w:tc>
        <w:tc>
          <w:tcPr>
            <w:tcW w:w="300" w:type="dxa"/>
            <w:vAlign w:val="bottom"/>
            <w:gridSpan w:val="4"/>
          </w:tcPr>
          <w:p>
            <w:pPr>
              <w:spacing w:after="0"/>
              <w:rPr>
                <w:sz w:val="22"/>
                <w:szCs w:val="22"/>
                <w:color w:val="auto"/>
              </w:rPr>
            </w:pPr>
          </w:p>
        </w:tc>
      </w:tr>
      <w:tr>
        <w:trPr>
          <w:trHeight w:val="136"/>
        </w:trPr>
        <w:tc>
          <w:tcPr>
            <w:tcW w:w="740" w:type="dxa"/>
            <w:vAlign w:val="bottom"/>
          </w:tcPr>
          <w:p>
            <w:pPr>
              <w:spacing w:after="0"/>
              <w:rPr>
                <w:sz w:val="11"/>
                <w:szCs w:val="11"/>
                <w:color w:val="auto"/>
              </w:rPr>
            </w:pPr>
          </w:p>
        </w:tc>
        <w:tc>
          <w:tcPr>
            <w:tcW w:w="1760" w:type="dxa"/>
            <w:vAlign w:val="bottom"/>
            <w:tcBorders>
              <w:bottom w:val="single" w:sz="8" w:color="0000EE"/>
            </w:tcBorders>
            <w:gridSpan w:val="3"/>
          </w:tcPr>
          <w:p>
            <w:pPr>
              <w:spacing w:after="0" w:line="136" w:lineRule="exact"/>
              <w:rPr>
                <w:rFonts w:ascii="Times New Roman" w:cs="Times New Roman" w:eastAsia="Times New Roman" w:hAnsi="Times New Roman"/>
                <w:sz w:val="13"/>
                <w:szCs w:val="13"/>
                <w:color w:val="0000FF"/>
              </w:rPr>
            </w:pPr>
            <w:hyperlink r:id="rId85">
              <w:r>
                <w:rPr>
                  <w:rFonts w:ascii="Times New Roman" w:cs="Times New Roman" w:eastAsia="Times New Roman" w:hAnsi="Times New Roman"/>
                  <w:sz w:val="13"/>
                  <w:szCs w:val="13"/>
                  <w:color w:val="0000FF"/>
                </w:rPr>
                <w:t>170243), filed on April 5, 2011).</w:t>
              </w:r>
            </w:hyperlink>
          </w:p>
        </w:tc>
        <w:tc>
          <w:tcPr>
            <w:tcW w:w="8040" w:type="dxa"/>
            <w:vAlign w:val="bottom"/>
            <w:gridSpan w:val="13"/>
          </w:tcPr>
          <w:p>
            <w:pPr>
              <w:spacing w:after="0"/>
              <w:rPr>
                <w:sz w:val="11"/>
                <w:szCs w:val="11"/>
                <w:color w:val="auto"/>
              </w:rPr>
            </w:pPr>
          </w:p>
        </w:tc>
      </w:tr>
      <w:tr>
        <w:trPr>
          <w:trHeight w:val="256"/>
        </w:trPr>
        <w:tc>
          <w:tcPr>
            <w:tcW w:w="740" w:type="dxa"/>
            <w:vAlign w:val="bottom"/>
          </w:tcPr>
          <w:p>
            <w:pPr>
              <w:jc w:val="right"/>
              <w:ind w:right="375"/>
              <w:spacing w:after="0"/>
              <w:rPr>
                <w:sz w:val="20"/>
                <w:szCs w:val="20"/>
                <w:color w:val="auto"/>
              </w:rPr>
            </w:pPr>
            <w:r>
              <w:rPr>
                <w:rFonts w:ascii="Times New Roman" w:cs="Times New Roman" w:eastAsia="Times New Roman" w:hAnsi="Times New Roman"/>
                <w:sz w:val="13"/>
                <w:szCs w:val="13"/>
                <w:color w:val="auto"/>
                <w:w w:val="95"/>
              </w:rPr>
              <w:t>10.1*</w:t>
            </w:r>
          </w:p>
        </w:tc>
        <w:tc>
          <w:tcPr>
            <w:tcW w:w="9680" w:type="dxa"/>
            <w:vAlign w:val="bottom"/>
            <w:tcBorders>
              <w:bottom w:val="single" w:sz="8" w:color="0000EE"/>
            </w:tcBorders>
            <w:gridSpan w:val="14"/>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Facility Amount Increase Request, dated as of December 11, 2024, among Truist Bank, as Administrative Agent, PennantPark Floating Rate Funding I, LLC, PennantPark Investment</w:t>
              </w:r>
            </w:hyperlink>
          </w:p>
        </w:tc>
        <w:tc>
          <w:tcPr>
            <w:tcW w:w="120" w:type="dxa"/>
            <w:vAlign w:val="bottom"/>
            <w:gridSpan w:val="2"/>
          </w:tcPr>
          <w:p>
            <w:pPr>
              <w:spacing w:after="0"/>
              <w:rPr>
                <w:sz w:val="22"/>
                <w:szCs w:val="22"/>
                <w:color w:val="auto"/>
              </w:rPr>
            </w:pPr>
          </w:p>
        </w:tc>
      </w:tr>
      <w:tr>
        <w:trPr>
          <w:trHeight w:val="136"/>
        </w:trPr>
        <w:tc>
          <w:tcPr>
            <w:tcW w:w="740" w:type="dxa"/>
            <w:vAlign w:val="bottom"/>
          </w:tcPr>
          <w:p>
            <w:pPr>
              <w:spacing w:after="0"/>
              <w:rPr>
                <w:sz w:val="11"/>
                <w:szCs w:val="11"/>
                <w:color w:val="auto"/>
              </w:rPr>
            </w:pPr>
          </w:p>
        </w:tc>
        <w:tc>
          <w:tcPr>
            <w:tcW w:w="9800" w:type="dxa"/>
            <w:vAlign w:val="bottom"/>
            <w:gridSpan w:val="16"/>
          </w:tcPr>
          <w:p>
            <w:pPr>
              <w:spacing w:after="0" w:line="136"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Advisers, LLC, Raymond James Bank, Western Alliance Bank and U.S. Bank Trust Company, National Association as Collateral Administrator.</w:t>
              </w:r>
            </w:hyperlink>
          </w:p>
        </w:tc>
      </w:tr>
      <w:tr>
        <w:trPr>
          <w:trHeight w:val="20"/>
        </w:trPr>
        <w:tc>
          <w:tcPr>
            <w:tcW w:w="74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37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r>
      <w:tr>
        <w:trPr>
          <w:trHeight w:val="292"/>
        </w:trPr>
        <w:tc>
          <w:tcPr>
            <w:tcW w:w="740" w:type="dxa"/>
            <w:vAlign w:val="bottom"/>
          </w:tcPr>
          <w:p>
            <w:pPr>
              <w:jc w:val="right"/>
              <w:ind w:right="455"/>
              <w:spacing w:after="0"/>
              <w:rPr>
                <w:sz w:val="20"/>
                <w:szCs w:val="20"/>
                <w:color w:val="auto"/>
              </w:rPr>
            </w:pPr>
            <w:r>
              <w:rPr>
                <w:rFonts w:ascii="Times New Roman" w:cs="Times New Roman" w:eastAsia="Times New Roman" w:hAnsi="Times New Roman"/>
                <w:sz w:val="13"/>
                <w:szCs w:val="13"/>
                <w:color w:val="auto"/>
                <w:w w:val="87"/>
              </w:rPr>
              <w:t>10.9</w:t>
            </w:r>
          </w:p>
        </w:tc>
        <w:tc>
          <w:tcPr>
            <w:tcW w:w="9800" w:type="dxa"/>
            <w:vAlign w:val="bottom"/>
            <w:tcBorders>
              <w:bottom w:val="single" w:sz="8" w:color="0000EE"/>
            </w:tcBorders>
            <w:gridSpan w:val="16"/>
          </w:tcPr>
          <w:p>
            <w:pPr>
              <w:spacing w:after="0"/>
              <w:rPr>
                <w:rFonts w:ascii="Times New Roman" w:cs="Times New Roman" w:eastAsia="Times New Roman" w:hAnsi="Times New Roman"/>
                <w:sz w:val="13"/>
                <w:szCs w:val="13"/>
                <w:color w:val="0000FF"/>
              </w:rPr>
            </w:pPr>
            <w:hyperlink r:id="rId86">
              <w:r>
                <w:rPr>
                  <w:rFonts w:ascii="Times New Roman" w:cs="Times New Roman" w:eastAsia="Times New Roman" w:hAnsi="Times New Roman"/>
                  <w:sz w:val="13"/>
                  <w:szCs w:val="13"/>
                  <w:color w:val="0000FF"/>
                </w:rPr>
                <w:t>Amended and Restated Purchase and Contribution Agreement, dated as of August 12, 2021, among PennantPark Floating Rate Capital Ltd., as the seller, and PennantPark Floating Rate</w:t>
              </w:r>
            </w:hyperlink>
          </w:p>
        </w:tc>
      </w:tr>
      <w:tr>
        <w:trPr>
          <w:trHeight w:val="136"/>
        </w:trPr>
        <w:tc>
          <w:tcPr>
            <w:tcW w:w="740" w:type="dxa"/>
            <w:vAlign w:val="bottom"/>
          </w:tcPr>
          <w:p>
            <w:pPr>
              <w:spacing w:after="0"/>
              <w:rPr>
                <w:sz w:val="11"/>
                <w:szCs w:val="11"/>
                <w:color w:val="auto"/>
              </w:rPr>
            </w:pPr>
          </w:p>
        </w:tc>
        <w:tc>
          <w:tcPr>
            <w:tcW w:w="9800" w:type="dxa"/>
            <w:vAlign w:val="bottom"/>
            <w:gridSpan w:val="16"/>
          </w:tcPr>
          <w:p>
            <w:pPr>
              <w:spacing w:after="0" w:line="136" w:lineRule="exact"/>
              <w:rPr>
                <w:rFonts w:ascii="Times New Roman" w:cs="Times New Roman" w:eastAsia="Times New Roman" w:hAnsi="Times New Roman"/>
                <w:sz w:val="13"/>
                <w:szCs w:val="13"/>
                <w:color w:val="0000FF"/>
              </w:rPr>
            </w:pPr>
            <w:hyperlink r:id="rId86">
              <w:r>
                <w:rPr>
                  <w:rFonts w:ascii="Times New Roman" w:cs="Times New Roman" w:eastAsia="Times New Roman" w:hAnsi="Times New Roman"/>
                  <w:sz w:val="13"/>
                  <w:szCs w:val="13"/>
                  <w:color w:val="0000FF"/>
                </w:rPr>
                <w:t>Funding I, LLC, as the buyer. (Incorporated by reference to Exhibit 10.2 to the Registrant’s Current Report on Form 8-K (File No. 814-00891), filed on August 18, 2021).</w:t>
              </w:r>
            </w:hyperlink>
          </w:p>
        </w:tc>
      </w:tr>
      <w:tr>
        <w:trPr>
          <w:trHeight w:val="20"/>
        </w:trPr>
        <w:tc>
          <w:tcPr>
            <w:tcW w:w="74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r>
      <w:tr>
        <w:trPr>
          <w:trHeight w:val="292"/>
        </w:trPr>
        <w:tc>
          <w:tcPr>
            <w:tcW w:w="740" w:type="dxa"/>
            <w:vAlign w:val="bottom"/>
          </w:tcPr>
          <w:p>
            <w:pPr>
              <w:jc w:val="right"/>
              <w:ind w:right="375"/>
              <w:spacing w:after="0"/>
              <w:rPr>
                <w:sz w:val="20"/>
                <w:szCs w:val="20"/>
                <w:color w:val="auto"/>
              </w:rPr>
            </w:pPr>
            <w:r>
              <w:rPr>
                <w:rFonts w:ascii="Times New Roman" w:cs="Times New Roman" w:eastAsia="Times New Roman" w:hAnsi="Times New Roman"/>
                <w:sz w:val="13"/>
                <w:szCs w:val="13"/>
                <w:color w:val="auto"/>
                <w:w w:val="95"/>
              </w:rPr>
              <w:t>31.1*</w:t>
            </w:r>
          </w:p>
        </w:tc>
        <w:tc>
          <w:tcPr>
            <w:tcW w:w="6240" w:type="dxa"/>
            <w:vAlign w:val="bottom"/>
            <w:tcBorders>
              <w:bottom w:val="single" w:sz="8" w:color="0000EE"/>
            </w:tcBorders>
            <w:gridSpan w:val="9"/>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Executive Officer pursuant to Rule 13a-14 of the Securities Exchange Act of 1934, as amended.</w:t>
              </w:r>
            </w:hyperlink>
          </w:p>
        </w:tc>
        <w:tc>
          <w:tcPr>
            <w:tcW w:w="3560" w:type="dxa"/>
            <w:vAlign w:val="bottom"/>
            <w:gridSpan w:val="7"/>
          </w:tcPr>
          <w:p>
            <w:pPr>
              <w:spacing w:after="0"/>
              <w:rPr>
                <w:sz w:val="24"/>
                <w:szCs w:val="24"/>
                <w:color w:val="auto"/>
              </w:rPr>
            </w:pPr>
          </w:p>
        </w:tc>
      </w:tr>
      <w:tr>
        <w:trPr>
          <w:trHeight w:val="256"/>
        </w:trPr>
        <w:tc>
          <w:tcPr>
            <w:tcW w:w="740" w:type="dxa"/>
            <w:vAlign w:val="bottom"/>
          </w:tcPr>
          <w:p>
            <w:pPr>
              <w:jc w:val="right"/>
              <w:ind w:right="375"/>
              <w:spacing w:after="0"/>
              <w:rPr>
                <w:sz w:val="20"/>
                <w:szCs w:val="20"/>
                <w:color w:val="auto"/>
              </w:rPr>
            </w:pPr>
            <w:r>
              <w:rPr>
                <w:rFonts w:ascii="Times New Roman" w:cs="Times New Roman" w:eastAsia="Times New Roman" w:hAnsi="Times New Roman"/>
                <w:sz w:val="13"/>
                <w:szCs w:val="13"/>
                <w:color w:val="auto"/>
                <w:w w:val="95"/>
              </w:rPr>
              <w:t>31.2*</w:t>
            </w:r>
          </w:p>
        </w:tc>
        <w:tc>
          <w:tcPr>
            <w:tcW w:w="9800" w:type="dxa"/>
            <w:vAlign w:val="bottom"/>
            <w:gridSpan w:val="16"/>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Financial Officer pursuant to Rule 13a-14 of the Securities Exchange Act of 1934, as amended.</w:t>
              </w:r>
            </w:hyperlink>
          </w:p>
        </w:tc>
      </w:tr>
      <w:tr>
        <w:trPr>
          <w:trHeight w:val="256"/>
        </w:trPr>
        <w:tc>
          <w:tcPr>
            <w:tcW w:w="740" w:type="dxa"/>
            <w:vAlign w:val="bottom"/>
          </w:tcPr>
          <w:p>
            <w:pPr>
              <w:jc w:val="right"/>
              <w:ind w:right="375"/>
              <w:spacing w:after="0"/>
              <w:rPr>
                <w:sz w:val="20"/>
                <w:szCs w:val="20"/>
                <w:color w:val="auto"/>
              </w:rPr>
            </w:pPr>
            <w:r>
              <w:rPr>
                <w:rFonts w:ascii="Times New Roman" w:cs="Times New Roman" w:eastAsia="Times New Roman" w:hAnsi="Times New Roman"/>
                <w:sz w:val="13"/>
                <w:szCs w:val="13"/>
                <w:color w:val="auto"/>
                <w:w w:val="95"/>
              </w:rPr>
              <w:t>32.1*</w:t>
            </w:r>
          </w:p>
        </w:tc>
        <w:tc>
          <w:tcPr>
            <w:tcW w:w="6200" w:type="dxa"/>
            <w:vAlign w:val="bottom"/>
            <w:tcBorders>
              <w:top w:val="single" w:sz="8" w:color="0000EE"/>
            </w:tcBorders>
            <w:gridSpan w:val="8"/>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Executive Officer pursuant to section 906 of The Sarbanes-Oxley Act of 2002.</w:t>
              </w:r>
            </w:hyperlink>
          </w:p>
        </w:tc>
        <w:tc>
          <w:tcPr>
            <w:tcW w:w="3600" w:type="dxa"/>
            <w:vAlign w:val="bottom"/>
            <w:gridSpan w:val="8"/>
          </w:tcPr>
          <w:p>
            <w:pPr>
              <w:spacing w:after="0"/>
              <w:rPr>
                <w:sz w:val="22"/>
                <w:szCs w:val="22"/>
                <w:color w:val="auto"/>
              </w:rPr>
            </w:pPr>
          </w:p>
        </w:tc>
      </w:tr>
      <w:tr>
        <w:trPr>
          <w:trHeight w:val="256"/>
        </w:trPr>
        <w:tc>
          <w:tcPr>
            <w:tcW w:w="740" w:type="dxa"/>
            <w:vAlign w:val="bottom"/>
          </w:tcPr>
          <w:p>
            <w:pPr>
              <w:jc w:val="right"/>
              <w:ind w:right="375"/>
              <w:spacing w:after="0"/>
              <w:rPr>
                <w:sz w:val="20"/>
                <w:szCs w:val="20"/>
                <w:color w:val="auto"/>
              </w:rPr>
            </w:pPr>
            <w:r>
              <w:rPr>
                <w:rFonts w:ascii="Times New Roman" w:cs="Times New Roman" w:eastAsia="Times New Roman" w:hAnsi="Times New Roman"/>
                <w:sz w:val="13"/>
                <w:szCs w:val="13"/>
                <w:color w:val="auto"/>
                <w:w w:val="95"/>
              </w:rPr>
              <w:t>32.2*</w:t>
            </w:r>
          </w:p>
        </w:tc>
        <w:tc>
          <w:tcPr>
            <w:tcW w:w="5320" w:type="dxa"/>
            <w:vAlign w:val="bottom"/>
            <w:tcBorders>
              <w:top w:val="single" w:sz="8" w:color="0000EE"/>
            </w:tcBorders>
            <w:gridSpan w:val="7"/>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Financial Officer pursuant to section 906 of The Sarbanes-Oxley Act of 2002.</w:t>
              </w:r>
            </w:hyperlink>
          </w:p>
        </w:tc>
        <w:tc>
          <w:tcPr>
            <w:tcW w:w="4480" w:type="dxa"/>
            <w:vAlign w:val="bottom"/>
            <w:gridSpan w:val="9"/>
          </w:tcPr>
          <w:p>
            <w:pPr>
              <w:spacing w:after="0"/>
              <w:rPr>
                <w:sz w:val="22"/>
                <w:szCs w:val="22"/>
                <w:color w:val="auto"/>
              </w:rPr>
            </w:pPr>
          </w:p>
        </w:tc>
      </w:tr>
      <w:tr>
        <w:trPr>
          <w:trHeight w:val="20"/>
        </w:trPr>
        <w:tc>
          <w:tcPr>
            <w:tcW w:w="740" w:type="dxa"/>
            <w:vAlign w:val="bottom"/>
          </w:tcPr>
          <w:p>
            <w:pPr>
              <w:spacing w:after="0" w:line="20" w:lineRule="exact"/>
              <w:rPr>
                <w:sz w:val="1"/>
                <w:szCs w:val="1"/>
                <w:color w:val="auto"/>
              </w:rPr>
            </w:pPr>
          </w:p>
        </w:tc>
        <w:tc>
          <w:tcPr>
            <w:tcW w:w="5280" w:type="dxa"/>
            <w:vAlign w:val="bottom"/>
            <w:gridSpan w:val="6"/>
            <w:shd w:val="clear" w:color="auto" w:fill="0000EE"/>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r>
      <w:tr>
        <w:trPr>
          <w:trHeight w:val="256"/>
        </w:trPr>
        <w:tc>
          <w:tcPr>
            <w:tcW w:w="740" w:type="dxa"/>
            <w:vAlign w:val="bottom"/>
          </w:tcPr>
          <w:p>
            <w:pPr>
              <w:jc w:val="right"/>
              <w:ind w:right="455"/>
              <w:spacing w:after="0"/>
              <w:rPr>
                <w:sz w:val="20"/>
                <w:szCs w:val="20"/>
                <w:color w:val="auto"/>
              </w:rPr>
            </w:pPr>
            <w:r>
              <w:rPr>
                <w:rFonts w:ascii="Times New Roman" w:cs="Times New Roman" w:eastAsia="Times New Roman" w:hAnsi="Times New Roman"/>
                <w:sz w:val="13"/>
                <w:szCs w:val="13"/>
                <w:color w:val="auto"/>
                <w:w w:val="87"/>
              </w:rPr>
              <w:t>99.1</w:t>
            </w:r>
          </w:p>
        </w:tc>
        <w:tc>
          <w:tcPr>
            <w:tcW w:w="9800" w:type="dxa"/>
            <w:vAlign w:val="bottom"/>
            <w:gridSpan w:val="16"/>
          </w:tcPr>
          <w:p>
            <w:pPr>
              <w:spacing w:after="0"/>
              <w:rPr>
                <w:rFonts w:ascii="Times New Roman" w:cs="Times New Roman" w:eastAsia="Times New Roman" w:hAnsi="Times New Roman"/>
                <w:sz w:val="13"/>
                <w:szCs w:val="13"/>
                <w:color w:val="0000FF"/>
              </w:rPr>
            </w:pPr>
            <w:hyperlink r:id="rId87">
              <w:r>
                <w:rPr>
                  <w:rFonts w:ascii="Times New Roman" w:cs="Times New Roman" w:eastAsia="Times New Roman" w:hAnsi="Times New Roman"/>
                  <w:sz w:val="13"/>
                  <w:szCs w:val="13"/>
                  <w:color w:val="0000FF"/>
                </w:rPr>
                <w:t>Privacy Policy of the Registrant (Incorporated by reference to Exhibit 99.1 to the Registrant’s Annual Report on Form 10-K (File No. 814-00891), filed on November 17, 2011)</w:t>
              </w:r>
            </w:hyperlink>
            <w:r>
              <w:rPr>
                <w:rFonts w:ascii="Times New Roman" w:cs="Times New Roman" w:eastAsia="Times New Roman" w:hAnsi="Times New Roman"/>
                <w:sz w:val="13"/>
                <w:szCs w:val="13"/>
                <w:color w:val="0000FF"/>
              </w:rPr>
              <w:t>.</w:t>
            </w:r>
          </w:p>
        </w:tc>
      </w:tr>
      <w:tr>
        <w:trPr>
          <w:trHeight w:val="28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101.INS*</w:t>
            </w:r>
          </w:p>
        </w:tc>
        <w:tc>
          <w:tcPr>
            <w:tcW w:w="934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3"/>
                <w:szCs w:val="13"/>
                <w:color w:val="auto"/>
              </w:rPr>
              <w:t>Inline XBRL Instance Document-the instance document does not appear in the Interactive Data File as its XBRL tags are embedded within the Inline XBRL document</w:t>
            </w:r>
          </w:p>
        </w:tc>
        <w:tc>
          <w:tcPr>
            <w:tcW w:w="460" w:type="dxa"/>
            <w:vAlign w:val="bottom"/>
            <w:gridSpan w:val="5"/>
          </w:tcPr>
          <w:p>
            <w:pPr>
              <w:spacing w:after="0"/>
              <w:rPr>
                <w:sz w:val="24"/>
                <w:szCs w:val="24"/>
                <w:color w:val="auto"/>
              </w:rPr>
            </w:pPr>
          </w:p>
        </w:tc>
      </w:tr>
      <w:tr>
        <w:trPr>
          <w:trHeight w:val="276"/>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101.SCH*</w:t>
            </w:r>
          </w:p>
        </w:tc>
        <w:tc>
          <w:tcPr>
            <w:tcW w:w="9800" w:type="dxa"/>
            <w:vAlign w:val="bottom"/>
            <w:gridSpan w:val="16"/>
          </w:tcPr>
          <w:p>
            <w:pPr>
              <w:spacing w:after="0"/>
              <w:rPr>
                <w:sz w:val="20"/>
                <w:szCs w:val="20"/>
                <w:color w:val="auto"/>
              </w:rPr>
            </w:pPr>
            <w:r>
              <w:rPr>
                <w:rFonts w:ascii="Times New Roman" w:cs="Times New Roman" w:eastAsia="Times New Roman" w:hAnsi="Times New Roman"/>
                <w:sz w:val="13"/>
                <w:szCs w:val="13"/>
                <w:color w:val="auto"/>
              </w:rPr>
              <w:t>Inline XBRL Taxonomy Extension Schema With Embedded Linkbase Documents</w:t>
            </w:r>
          </w:p>
        </w:tc>
      </w:tr>
      <w:tr>
        <w:trPr>
          <w:trHeight w:val="276"/>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101.CAL*</w:t>
            </w:r>
          </w:p>
        </w:tc>
        <w:tc>
          <w:tcPr>
            <w:tcW w:w="9800" w:type="dxa"/>
            <w:vAlign w:val="bottom"/>
            <w:gridSpan w:val="16"/>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 Document</w:t>
            </w:r>
          </w:p>
        </w:tc>
      </w:tr>
      <w:tr>
        <w:trPr>
          <w:trHeight w:val="276"/>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101.DEF*</w:t>
            </w:r>
          </w:p>
        </w:tc>
        <w:tc>
          <w:tcPr>
            <w:tcW w:w="9800" w:type="dxa"/>
            <w:vAlign w:val="bottom"/>
            <w:gridSpan w:val="16"/>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tc>
      </w:tr>
      <w:tr>
        <w:trPr>
          <w:trHeight w:val="276"/>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101.LAB*</w:t>
            </w:r>
          </w:p>
        </w:tc>
        <w:tc>
          <w:tcPr>
            <w:tcW w:w="9800" w:type="dxa"/>
            <w:vAlign w:val="bottom"/>
            <w:gridSpan w:val="16"/>
          </w:tcPr>
          <w:p>
            <w:pPr>
              <w:spacing w:after="0"/>
              <w:rPr>
                <w:sz w:val="20"/>
                <w:szCs w:val="20"/>
                <w:color w:val="auto"/>
              </w:rPr>
            </w:pPr>
            <w:r>
              <w:rPr>
                <w:rFonts w:ascii="Times New Roman" w:cs="Times New Roman" w:eastAsia="Times New Roman" w:hAnsi="Times New Roman"/>
                <w:sz w:val="13"/>
                <w:szCs w:val="13"/>
                <w:color w:val="auto"/>
              </w:rPr>
              <w:t>Inline XBRL Taxonomy Extension Label Linkbase Document</w:t>
            </w:r>
          </w:p>
        </w:tc>
      </w:tr>
      <w:tr>
        <w:trPr>
          <w:trHeight w:val="276"/>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101.PRE*</w:t>
            </w:r>
          </w:p>
        </w:tc>
        <w:tc>
          <w:tcPr>
            <w:tcW w:w="9800" w:type="dxa"/>
            <w:vAlign w:val="bottom"/>
            <w:gridSpan w:val="16"/>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 Document</w:t>
            </w:r>
          </w:p>
        </w:tc>
      </w:tr>
    </w:tbl>
    <w:p>
      <w:pPr>
        <w:spacing w:after="0" w:line="104" w:lineRule="exact"/>
        <w:rPr>
          <w:sz w:val="20"/>
          <w:szCs w:val="20"/>
          <w:color w:val="auto"/>
        </w:rPr>
      </w:pPr>
    </w:p>
    <w:p>
      <w:pPr>
        <w:ind w:right="6220" w:firstLine="18"/>
        <w:spacing w:after="0" w:line="519" w:lineRule="auto"/>
        <w:tabs>
          <w:tab w:leader="none" w:pos="756" w:val="left"/>
        </w:tabs>
        <w:numPr>
          <w:ilvl w:val="1"/>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 Page formatted as Inline XBRL and contained in Exhibit 101 * Filed herewith.</w:t>
      </w:r>
    </w:p>
    <w:p>
      <w:pPr>
        <w:jc w:val="center"/>
        <w:ind w:right="-1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88" w:right="680" w:bottom="1440" w:gutter="0" w:footer="0" w:header="0"/>
        </w:sectPr>
      </w:pPr>
    </w:p>
    <w:bookmarkStart w:id="69" w:name="page70"/>
    <w:bookmarkEnd w:id="69"/>
    <w:p>
      <w:pPr>
        <w:jc w:val="center"/>
        <w:ind w:right="-279"/>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261" w:lineRule="exact"/>
        <w:rPr>
          <w:sz w:val="20"/>
          <w:szCs w:val="20"/>
          <w:color w:val="auto"/>
        </w:rPr>
      </w:pPr>
    </w:p>
    <w:p>
      <w:pPr>
        <w:ind w:firstLine="420"/>
        <w:spacing w:after="0" w:line="286"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on Form 10-Q to be signed on its behalf by the undersigned, thereunto duly authorized.</w:t>
      </w:r>
    </w:p>
    <w:p>
      <w:pPr>
        <w:sectPr>
          <w:pgSz w:w="11900" w:h="16840" w:orient="portrait"/>
          <w:cols w:equalWidth="0" w:num="1">
            <w:col w:w="10300"/>
          </w:cols>
          <w:pgMar w:left="660" w:top="1288" w:right="9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Date: February 10, 2025</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Date: February 10,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3"/>
          <w:szCs w:val="13"/>
          <w:color w:val="auto"/>
        </w:rPr>
        <w:t>PENNANTPARK FLOATING RATE CAPITAL LTD.</w:t>
      </w:r>
    </w:p>
    <w:p>
      <w:pPr>
        <w:spacing w:after="0" w:line="19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11430</wp:posOffset>
            </wp:positionV>
            <wp:extent cx="302577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3025775" cy="7620"/>
                    </a:xfrm>
                    <a:prstGeom prst="rect">
                      <a:avLst/>
                    </a:prstGeom>
                    <a:noFill/>
                  </pic:spPr>
                </pic:pic>
              </a:graphicData>
            </a:graphic>
          </wp:anchor>
        </w:drawing>
      </w:r>
    </w:p>
    <w:p>
      <w:pPr>
        <w:spacing w:after="0" w:line="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3"/>
          <w:szCs w:val="13"/>
          <w:b w:val="1"/>
          <w:bCs w:val="1"/>
          <w:color w:val="auto"/>
        </w:rPr>
        <w:t>Arthur H. Penn</w:t>
      </w:r>
    </w:p>
    <w:p>
      <w:pPr>
        <w:spacing w:after="0" w:line="1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Chief Executive Officer and Chairman of the Board of Directors</w:t>
      </w:r>
    </w:p>
    <w:p>
      <w:pPr>
        <w:spacing w:after="0" w:line="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(Principal Executive Officer)</w:t>
      </w:r>
    </w:p>
    <w:p>
      <w:pPr>
        <w:spacing w:after="0" w:line="18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/s/ Richard T. Allorto,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11430</wp:posOffset>
            </wp:positionV>
            <wp:extent cx="302577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3025775" cy="7620"/>
                    </a:xfrm>
                    <a:prstGeom prst="rect">
                      <a:avLst/>
                    </a:prstGeom>
                    <a:noFill/>
                  </pic:spPr>
                </pic:pic>
              </a:graphicData>
            </a:graphic>
          </wp:anchor>
        </w:drawing>
      </w:r>
    </w:p>
    <w:p>
      <w:pPr>
        <w:spacing w:after="0" w:line="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3"/>
          <w:szCs w:val="13"/>
          <w:b w:val="1"/>
          <w:bCs w:val="1"/>
          <w:color w:val="auto"/>
        </w:rPr>
        <w:t>Richard T. Allorto, Jr.</w:t>
      </w:r>
    </w:p>
    <w:p>
      <w:pPr>
        <w:spacing w:after="0" w:line="1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Chief Financial Officer and Treasurer</w:t>
      </w:r>
    </w:p>
    <w:p>
      <w:pPr>
        <w:spacing w:after="0" w:line="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(Principal Financial and Accounting Officer)</w:t>
      </w:r>
    </w:p>
    <w:p>
      <w:pPr>
        <w:spacing w:after="0" w:line="171" w:lineRule="exact"/>
        <w:rPr>
          <w:sz w:val="20"/>
          <w:szCs w:val="20"/>
          <w:color w:val="auto"/>
        </w:rPr>
      </w:pPr>
    </w:p>
    <w:p>
      <w:pPr>
        <w:sectPr>
          <w:pgSz w:w="11900" w:h="16840" w:orient="portrait"/>
          <w:cols w:equalWidth="0" w:num="3">
            <w:col w:w="4740" w:space="720"/>
            <w:col w:w="200" w:space="700"/>
            <w:col w:w="3940"/>
          </w:cols>
          <w:pgMar w:left="660" w:top="1288" w:right="940" w:bottom="1440" w:gutter="0" w:footer="0" w:header="0"/>
          <w:type w:val="continuous"/>
        </w:sectPr>
      </w:pPr>
    </w:p>
    <w:p>
      <w:pPr>
        <w:jc w:val="center"/>
        <w:ind w:right="-259"/>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00"/>
          </w:cols>
          <w:pgMar w:left="660" w:top="1288" w:right="940" w:bottom="1440" w:gutter="0" w:footer="0" w:header="0"/>
          <w:type w:val="continuous"/>
        </w:sectPr>
      </w:pPr>
    </w:p>
    <w:bookmarkStart w:id="70" w:name="page71"/>
    <w:bookmarkEnd w:id="70"/>
    <w:p>
      <w:pPr>
        <w:jc w:val="right"/>
        <w:spacing w:after="0"/>
        <w:rPr>
          <w:sz w:val="20"/>
          <w:szCs w:val="20"/>
          <w:color w:val="auto"/>
        </w:rPr>
      </w:pPr>
      <w:r>
        <w:rPr>
          <w:rFonts w:ascii="Times New Roman" w:cs="Times New Roman" w:eastAsia="Times New Roman" w:hAnsi="Times New Roman"/>
          <w:sz w:val="16"/>
          <w:szCs w:val="16"/>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F</w:t>
      </w:r>
      <w:r>
        <w:rPr>
          <w:rFonts w:ascii="Times New Roman" w:cs="Times New Roman" w:eastAsia="Times New Roman" w:hAnsi="Times New Roman"/>
          <w:sz w:val="13"/>
          <w:szCs w:val="13"/>
          <w:b w:val="1"/>
          <w:bCs w:val="1"/>
          <w:color w:val="auto"/>
        </w:rPr>
        <w:t>ACILITY</w:t>
      </w:r>
      <w:r>
        <w:rPr>
          <w:rFonts w:ascii="Times New Roman" w:cs="Times New Roman" w:eastAsia="Times New Roman" w:hAnsi="Times New Roman"/>
          <w:sz w:val="19"/>
          <w:szCs w:val="19"/>
          <w:b w:val="1"/>
          <w:bCs w:val="1"/>
          <w:color w:val="auto"/>
        </w:rPr>
        <w:t xml:space="preserve"> A</w:t>
      </w:r>
      <w:r>
        <w:rPr>
          <w:rFonts w:ascii="Times New Roman" w:cs="Times New Roman" w:eastAsia="Times New Roman" w:hAnsi="Times New Roman"/>
          <w:sz w:val="13"/>
          <w:szCs w:val="13"/>
          <w:b w:val="1"/>
          <w:bCs w:val="1"/>
          <w:color w:val="auto"/>
        </w:rPr>
        <w:t>MOUNT</w:t>
      </w:r>
      <w:r>
        <w:rPr>
          <w:rFonts w:ascii="Times New Roman" w:cs="Times New Roman" w:eastAsia="Times New Roman" w:hAnsi="Times New Roman"/>
          <w:sz w:val="19"/>
          <w:szCs w:val="19"/>
          <w:b w:val="1"/>
          <w:bCs w:val="1"/>
          <w:color w:val="auto"/>
        </w:rPr>
        <w:t xml:space="preserve"> I</w:t>
      </w:r>
      <w:r>
        <w:rPr>
          <w:rFonts w:ascii="Times New Roman" w:cs="Times New Roman" w:eastAsia="Times New Roman" w:hAnsi="Times New Roman"/>
          <w:sz w:val="13"/>
          <w:szCs w:val="13"/>
          <w:b w:val="1"/>
          <w:bCs w:val="1"/>
          <w:color w:val="auto"/>
        </w:rPr>
        <w:t>NCREASE</w:t>
      </w:r>
      <w:r>
        <w:rPr>
          <w:rFonts w:ascii="Times New Roman" w:cs="Times New Roman" w:eastAsia="Times New Roman" w:hAnsi="Times New Roman"/>
          <w:sz w:val="19"/>
          <w:szCs w:val="19"/>
          <w:b w:val="1"/>
          <w:bCs w:val="1"/>
          <w:color w:val="auto"/>
        </w:rPr>
        <w:t xml:space="preserve"> R</w:t>
      </w:r>
      <w:r>
        <w:rPr>
          <w:rFonts w:ascii="Times New Roman" w:cs="Times New Roman" w:eastAsia="Times New Roman" w:hAnsi="Times New Roman"/>
          <w:sz w:val="13"/>
          <w:szCs w:val="13"/>
          <w:b w:val="1"/>
          <w:bCs w:val="1"/>
          <w:color w:val="auto"/>
        </w:rPr>
        <w:t>EQUEST</w:t>
      </w: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December 11, 2024</w:t>
      </w:r>
    </w:p>
    <w:p>
      <w:pPr>
        <w:spacing w:after="0" w:line="226" w:lineRule="exact"/>
        <w:rPr>
          <w:sz w:val="20"/>
          <w:szCs w:val="20"/>
          <w:color w:val="auto"/>
        </w:rPr>
      </w:pPr>
    </w:p>
    <w:p>
      <w:pPr>
        <w:ind w:left="740" w:right="2800" w:hanging="743"/>
        <w:spacing w:after="0" w:line="253" w:lineRule="auto"/>
        <w:rPr>
          <w:sz w:val="20"/>
          <w:szCs w:val="20"/>
          <w:color w:val="auto"/>
        </w:rPr>
      </w:pPr>
      <w:r>
        <w:rPr>
          <w:rFonts w:ascii="Times New Roman" w:cs="Times New Roman" w:eastAsia="Times New Roman" w:hAnsi="Times New Roman"/>
          <w:sz w:val="19"/>
          <w:szCs w:val="19"/>
          <w:color w:val="auto"/>
        </w:rPr>
        <w:t xml:space="preserve">Truist Bank, as Administrative Agent for the Lenders parties to the Revolving Credit and Security Agreement dated as of August 12, 2021 (as extended, renewed, amended or restated from time to time, the </w:t>
      </w:r>
      <w:r>
        <w:rPr>
          <w:rFonts w:ascii="Times New Roman" w:cs="Times New Roman" w:eastAsia="Times New Roman" w:hAnsi="Times New Roman"/>
          <w:sz w:val="19"/>
          <w:szCs w:val="19"/>
          <w:i w:val="1"/>
          <w:iCs w:val="1"/>
          <w:color w:val="auto"/>
        </w:rPr>
        <w:t>“Credit Agreement”</w:t>
      </w:r>
      <w:r>
        <w:rPr>
          <w:rFonts w:ascii="Times New Roman" w:cs="Times New Roman" w:eastAsia="Times New Roman" w:hAnsi="Times New Roman"/>
          <w:sz w:val="19"/>
          <w:szCs w:val="19"/>
          <w:color w:val="auto"/>
        </w:rPr>
        <w:t xml:space="preserve">), among PennantPark Floating Rate Funding I, LLC, a Delaware limited liability company, as borrower (together with its permitted successors and assigns, the </w:t>
      </w:r>
      <w:r>
        <w:rPr>
          <w:rFonts w:ascii="Times New Roman" w:cs="Times New Roman" w:eastAsia="Times New Roman" w:hAnsi="Times New Roman"/>
          <w:sz w:val="19"/>
          <w:szCs w:val="19"/>
          <w:i w:val="1"/>
          <w:iCs w:val="1"/>
          <w:color w:val="auto"/>
        </w:rPr>
        <w:t>“Borrower”</w:t>
      </w:r>
      <w:r>
        <w:rPr>
          <w:rFonts w:ascii="Times New Roman" w:cs="Times New Roman" w:eastAsia="Times New Roman" w:hAnsi="Times New Roman"/>
          <w:sz w:val="19"/>
          <w:szCs w:val="19"/>
          <w:color w:val="auto"/>
        </w:rPr>
        <w:t xml:space="preserve">); PennantPark Investment Advisers, LLC, a Delaware limited liability company, as the collateral manager (together with its permitted successors and assigns, the </w:t>
      </w:r>
      <w:r>
        <w:rPr>
          <w:rFonts w:ascii="Times New Roman" w:cs="Times New Roman" w:eastAsia="Times New Roman" w:hAnsi="Times New Roman"/>
          <w:sz w:val="19"/>
          <w:szCs w:val="19"/>
          <w:i w:val="1"/>
          <w:iCs w:val="1"/>
          <w:color w:val="auto"/>
        </w:rPr>
        <w:t>“Collateral Manager”</w:t>
      </w:r>
      <w:r>
        <w:rPr>
          <w:rFonts w:ascii="Times New Roman" w:cs="Times New Roman" w:eastAsia="Times New Roman" w:hAnsi="Times New Roman"/>
          <w:sz w:val="19"/>
          <w:szCs w:val="19"/>
          <w:color w:val="auto"/>
        </w:rPr>
        <w:t xml:space="preserve">), the Lenders from time to time party thereto; Truist Bank, as administrative agent (in such capacity, together with its successors and assigns, the </w:t>
      </w:r>
      <w:r>
        <w:rPr>
          <w:rFonts w:ascii="Times New Roman" w:cs="Times New Roman" w:eastAsia="Times New Roman" w:hAnsi="Times New Roman"/>
          <w:sz w:val="19"/>
          <w:szCs w:val="19"/>
          <w:i w:val="1"/>
          <w:iCs w:val="1"/>
          <w:color w:val="auto"/>
        </w:rPr>
        <w:t>“Administrative Agent”</w:t>
      </w:r>
      <w:r>
        <w:rPr>
          <w:rFonts w:ascii="Times New Roman" w:cs="Times New Roman" w:eastAsia="Times New Roman" w:hAnsi="Times New Roman"/>
          <w:sz w:val="19"/>
          <w:szCs w:val="19"/>
          <w:color w:val="auto"/>
        </w:rPr>
        <w:t>), Truist Bank, as the swingline lender (the “</w:t>
      </w:r>
      <w:r>
        <w:rPr>
          <w:rFonts w:ascii="Times New Roman" w:cs="Times New Roman" w:eastAsia="Times New Roman" w:hAnsi="Times New Roman"/>
          <w:sz w:val="19"/>
          <w:szCs w:val="19"/>
          <w:i w:val="1"/>
          <w:iCs w:val="1"/>
          <w:color w:val="auto"/>
        </w:rPr>
        <w:t>Swingline Lender</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U.S. Bank Trust Company, National Association, as successor in interest to U.S. Bank National Association, as collateral agent, U.S. Bank National Association, as custodian, U.S. Bank Trust Company, National Association, as successor in interest to U.S. Bank National Association, as Collateral Administrator, and U.S. Bank Trust Company, National Association, as successor in interest to U.S. Bank National Association, as backup collateral manager.</w:t>
      </w:r>
    </w:p>
    <w:p>
      <w:pPr>
        <w:spacing w:after="0" w:line="1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Ladies and Gentlemen:</w:t>
      </w:r>
    </w:p>
    <w:p>
      <w:pPr>
        <w:spacing w:after="0" w:line="224" w:lineRule="exact"/>
        <w:rPr>
          <w:sz w:val="20"/>
          <w:szCs w:val="20"/>
          <w:color w:val="auto"/>
        </w:rPr>
      </w:pPr>
    </w:p>
    <w:p>
      <w:pPr>
        <w:ind w:left="40" w:right="80" w:firstLine="696"/>
        <w:spacing w:after="0" w:line="260" w:lineRule="auto"/>
        <w:rPr>
          <w:sz w:val="20"/>
          <w:szCs w:val="20"/>
          <w:color w:val="auto"/>
        </w:rPr>
      </w:pPr>
      <w:r>
        <w:rPr>
          <w:rFonts w:ascii="Times New Roman" w:cs="Times New Roman" w:eastAsia="Times New Roman" w:hAnsi="Times New Roman"/>
          <w:sz w:val="19"/>
          <w:szCs w:val="19"/>
          <w:color w:val="auto"/>
        </w:rPr>
        <w:t xml:space="preserve">The undersigned, PennantPark Floating Rate Funding I, LLC, a Delaware limited liability company (the </w:t>
      </w:r>
      <w:r>
        <w:rPr>
          <w:rFonts w:ascii="Times New Roman" w:cs="Times New Roman" w:eastAsia="Times New Roman" w:hAnsi="Times New Roman"/>
          <w:sz w:val="19"/>
          <w:szCs w:val="19"/>
          <w:i w:val="1"/>
          <w:iCs w:val="1"/>
          <w:color w:val="auto"/>
        </w:rPr>
        <w:t>“Borrower”</w:t>
      </w:r>
      <w:r>
        <w:rPr>
          <w:rFonts w:ascii="Times New Roman" w:cs="Times New Roman" w:eastAsia="Times New Roman" w:hAnsi="Times New Roman"/>
          <w:sz w:val="19"/>
          <w:szCs w:val="19"/>
          <w:color w:val="auto"/>
        </w:rPr>
        <w:t xml:space="preserve">) hereby refers to the Credit Agreement and requests that the Administrative Agent consent to an increase in the Facility Amount (the </w:t>
      </w:r>
      <w:r>
        <w:rPr>
          <w:rFonts w:ascii="Times New Roman" w:cs="Times New Roman" w:eastAsia="Times New Roman" w:hAnsi="Times New Roman"/>
          <w:sz w:val="19"/>
          <w:szCs w:val="19"/>
          <w:i w:val="1"/>
          <w:iCs w:val="1"/>
          <w:color w:val="auto"/>
        </w:rPr>
        <w:t>“Facility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Amount Increase”</w:t>
      </w:r>
      <w:r>
        <w:rPr>
          <w:rFonts w:ascii="Times New Roman" w:cs="Times New Roman" w:eastAsia="Times New Roman" w:hAnsi="Times New Roman"/>
          <w:sz w:val="19"/>
          <w:szCs w:val="19"/>
          <w:color w:val="auto"/>
        </w:rPr>
        <w:t>), in accordance with Section 2.15 of the Credit Agreement, to be effected by an increase in the Commitment of Truist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Bank (</w:t>
      </w:r>
      <w:r>
        <w:rPr>
          <w:rFonts w:ascii="Times New Roman" w:cs="Times New Roman" w:eastAsia="Times New Roman" w:hAnsi="Times New Roman"/>
          <w:sz w:val="19"/>
          <w:szCs w:val="19"/>
          <w:i w:val="1"/>
          <w:iCs w:val="1"/>
          <w:color w:val="auto"/>
        </w:rPr>
        <w:t>“Truist”</w:t>
      </w:r>
      <w:r>
        <w:rPr>
          <w:rFonts w:ascii="Times New Roman" w:cs="Times New Roman" w:eastAsia="Times New Roman" w:hAnsi="Times New Roman"/>
          <w:sz w:val="19"/>
          <w:szCs w:val="19"/>
          <w:color w:val="auto"/>
        </w:rPr>
        <w:t>), Raymond James Bank (</w:t>
      </w:r>
      <w:r>
        <w:rPr>
          <w:rFonts w:ascii="Times New Roman" w:cs="Times New Roman" w:eastAsia="Times New Roman" w:hAnsi="Times New Roman"/>
          <w:sz w:val="19"/>
          <w:szCs w:val="19"/>
          <w:i w:val="1"/>
          <w:iCs w:val="1"/>
          <w:color w:val="auto"/>
        </w:rPr>
        <w:t>“Raymond James”</w:t>
      </w:r>
      <w:r>
        <w:rPr>
          <w:rFonts w:ascii="Times New Roman" w:cs="Times New Roman" w:eastAsia="Times New Roman" w:hAnsi="Times New Roman"/>
          <w:sz w:val="19"/>
          <w:szCs w:val="19"/>
          <w:color w:val="auto"/>
        </w:rPr>
        <w:t>) and Western Alliance Bank (</w:t>
      </w:r>
      <w:r>
        <w:rPr>
          <w:rFonts w:ascii="Times New Roman" w:cs="Times New Roman" w:eastAsia="Times New Roman" w:hAnsi="Times New Roman"/>
          <w:sz w:val="19"/>
          <w:szCs w:val="19"/>
          <w:i w:val="1"/>
          <w:iCs w:val="1"/>
          <w:color w:val="auto"/>
        </w:rPr>
        <w:t>“Western Alliance”</w:t>
      </w:r>
      <w:r>
        <w:rPr>
          <w:rFonts w:ascii="Times New Roman" w:cs="Times New Roman" w:eastAsia="Times New Roman" w:hAnsi="Times New Roman"/>
          <w:sz w:val="19"/>
          <w:szCs w:val="19"/>
          <w:color w:val="auto"/>
        </w:rPr>
        <w:t>). Capitalized terms used herein without definition shall have the same meanings herein as such terms have in the Credit Agreement.</w:t>
      </w:r>
    </w:p>
    <w:p>
      <w:pPr>
        <w:spacing w:after="0" w:line="175" w:lineRule="exact"/>
        <w:rPr>
          <w:sz w:val="20"/>
          <w:szCs w:val="20"/>
          <w:color w:val="auto"/>
        </w:rPr>
      </w:pPr>
    </w:p>
    <w:p>
      <w:pPr>
        <w:ind w:left="40" w:right="140" w:firstLine="696"/>
        <w:spacing w:after="0" w:line="286" w:lineRule="auto"/>
        <w:rPr>
          <w:sz w:val="20"/>
          <w:szCs w:val="20"/>
          <w:color w:val="auto"/>
        </w:rPr>
      </w:pPr>
      <w:r>
        <w:rPr>
          <w:rFonts w:ascii="Times New Roman" w:cs="Times New Roman" w:eastAsia="Times New Roman" w:hAnsi="Times New Roman"/>
          <w:sz w:val="19"/>
          <w:szCs w:val="19"/>
          <w:color w:val="auto"/>
        </w:rPr>
        <w:t>After giving effect to such Facility Amount Increase, the Commitment of (i) Truist shall be $243,000,000, (ii) Raymond James shall be $100,000,000 and (iii) Western Alliance shall be $115,000,000.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747395</wp:posOffset>
            </wp:positionV>
            <wp:extent cx="673290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20" w:top="1133" w:right="660" w:bottom="1440" w:gutter="0" w:footer="0" w:header="0"/>
        </w:sectPr>
      </w:pPr>
    </w:p>
    <w:bookmarkStart w:id="71" w:name="page72"/>
    <w:bookmarkEnd w:id="71"/>
    <w:p>
      <w:pPr>
        <w:spacing w:after="0" w:line="389" w:lineRule="exact"/>
        <w:rPr>
          <w:sz w:val="20"/>
          <w:szCs w:val="20"/>
          <w:color w:val="auto"/>
        </w:rPr>
      </w:pPr>
    </w:p>
    <w:p>
      <w:pPr>
        <w:ind w:right="340" w:firstLine="696"/>
        <w:spacing w:after="0" w:line="286" w:lineRule="auto"/>
        <w:rPr>
          <w:sz w:val="20"/>
          <w:szCs w:val="20"/>
          <w:color w:val="auto"/>
        </w:rPr>
      </w:pPr>
      <w:r>
        <w:rPr>
          <w:rFonts w:ascii="Times New Roman" w:cs="Times New Roman" w:eastAsia="Times New Roman" w:hAnsi="Times New Roman"/>
          <w:sz w:val="19"/>
          <w:szCs w:val="19"/>
          <w:color w:val="auto"/>
        </w:rPr>
        <w:t>This Agreement shall be deemed to be a contractual obligation under, and shall be governed by and construed in accordance with, the laws of the state of New York.</w:t>
      </w:r>
    </w:p>
    <w:p>
      <w:pPr>
        <w:spacing w:after="0" w:line="151" w:lineRule="exact"/>
        <w:rPr>
          <w:sz w:val="20"/>
          <w:szCs w:val="20"/>
          <w:color w:val="auto"/>
        </w:rPr>
      </w:pPr>
    </w:p>
    <w:p>
      <w:pPr>
        <w:ind w:firstLine="696"/>
        <w:spacing w:after="0" w:line="268" w:lineRule="auto"/>
        <w:rPr>
          <w:sz w:val="20"/>
          <w:szCs w:val="20"/>
          <w:color w:val="auto"/>
        </w:rPr>
      </w:pPr>
      <w:r>
        <w:rPr>
          <w:rFonts w:ascii="Times New Roman" w:cs="Times New Roman" w:eastAsia="Times New Roman" w:hAnsi="Times New Roman"/>
          <w:sz w:val="19"/>
          <w:szCs w:val="19"/>
          <w:color w:val="auto"/>
        </w:rPr>
        <w:t>The Facility Amount Increase shall be effective when the executed consent of the Administrative Agent is received or otherwise in accordance with Section 2.15 of the Credit Agreement, but not in any case prior to December 18, 2024. It shall be a condition to the effectiveness of the Facility Amount Increase that all expenses referred to in Section 2.15 of the Credit Agreement shall have been paid.</w:t>
      </w:r>
    </w:p>
    <w:p>
      <w:pPr>
        <w:spacing w:after="0" w:line="1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The Borrower hereby certifies that no Default or Event of Default has occurred and is continuing.</w:t>
      </w:r>
    </w:p>
    <w:p>
      <w:pPr>
        <w:spacing w:after="0" w:line="22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9"/>
          <w:szCs w:val="19"/>
          <w:color w:val="auto"/>
        </w:rPr>
        <w:t>[Signature Page to Follow]</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to Facility Amount Increase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675640</wp:posOffset>
            </wp:positionV>
            <wp:extent cx="673290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2" w:name="page73"/>
    <w:bookmarkEnd w:id="72"/>
    <w:p>
      <w:pPr>
        <w:spacing w:after="0" w:line="200" w:lineRule="exact"/>
        <w:rPr>
          <w:sz w:val="20"/>
          <w:szCs w:val="20"/>
          <w:color w:val="auto"/>
        </w:rPr>
      </w:pPr>
    </w:p>
    <w:p>
      <w:pPr>
        <w:spacing w:after="0" w:line="285" w:lineRule="exact"/>
        <w:rPr>
          <w:sz w:val="20"/>
          <w:szCs w:val="20"/>
          <w:color w:val="auto"/>
        </w:rPr>
      </w:pPr>
    </w:p>
    <w:p>
      <w:pPr>
        <w:ind w:firstLine="696"/>
        <w:spacing w:after="0" w:line="286" w:lineRule="auto"/>
        <w:rPr>
          <w:sz w:val="20"/>
          <w:szCs w:val="20"/>
          <w:color w:val="auto"/>
        </w:rPr>
      </w:pPr>
      <w:r>
        <w:rPr>
          <w:rFonts w:ascii="Times New Roman" w:cs="Times New Roman" w:eastAsia="Times New Roman" w:hAnsi="Times New Roman"/>
          <w:sz w:val="19"/>
          <w:szCs w:val="19"/>
          <w:color w:val="auto"/>
        </w:rPr>
        <w:t>Please indicate the Administrative Agent’s consent to such Facility Amount Increase by signing the enclosed copy of this letter in the space provided below.</w:t>
      </w:r>
    </w:p>
    <w:p>
      <w:pPr>
        <w:spacing w:after="0" w:line="15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Very truly yours,</w:t>
      </w:r>
    </w:p>
    <w:p>
      <w:pPr>
        <w:spacing w:after="0" w:line="22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PennantPark Floating Rate Funding I, LLC, as Borrower</w:t>
      </w:r>
    </w:p>
    <w:p>
      <w:pPr>
        <w:spacing w:after="0" w:line="22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By: PennantPark Floating Rate Capital Ltd., as Designated Manager</w:t>
      </w:r>
    </w:p>
    <w:p>
      <w:pPr>
        <w:spacing w:after="0" w:line="200" w:lineRule="exact"/>
        <w:rPr>
          <w:sz w:val="20"/>
          <w:szCs w:val="20"/>
          <w:color w:val="auto"/>
        </w:rPr>
      </w:pPr>
    </w:p>
    <w:p>
      <w:pPr>
        <w:spacing w:after="0" w:line="25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auto"/>
        </w:rPr>
        <w:t>By: /s/ Jeffery S. Sion</w:t>
      </w:r>
    </w:p>
    <w:p>
      <w:pPr>
        <w:spacing w:after="0" w:line="3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Name: Jeffery S. Sion</w:t>
      </w:r>
    </w:p>
    <w:p>
      <w:pPr>
        <w:spacing w:after="0" w:line="1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9"/>
          <w:szCs w:val="19"/>
          <w:color w:val="auto"/>
        </w:rPr>
        <w:t>Truist Bank, as a Lender</w:t>
      </w:r>
    </w:p>
    <w:p>
      <w:pPr>
        <w:spacing w:after="0" w:line="200" w:lineRule="exact"/>
        <w:rPr>
          <w:sz w:val="20"/>
          <w:szCs w:val="20"/>
          <w:color w:val="auto"/>
        </w:rPr>
      </w:pPr>
    </w:p>
    <w:p>
      <w:pPr>
        <w:spacing w:after="0" w:line="25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auto"/>
        </w:rPr>
        <w:t>By: /s/ Emily Shields</w:t>
      </w:r>
    </w:p>
    <w:p>
      <w:pPr>
        <w:spacing w:after="0" w:line="3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Name: Emily Shields</w:t>
      </w:r>
    </w:p>
    <w:p>
      <w:pPr>
        <w:spacing w:after="0" w:line="1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20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Raymond James Bank, as a Lender</w:t>
      </w:r>
    </w:p>
    <w:p>
      <w:pPr>
        <w:spacing w:after="0" w:line="200" w:lineRule="exact"/>
        <w:rPr>
          <w:sz w:val="20"/>
          <w:szCs w:val="20"/>
          <w:color w:val="auto"/>
        </w:rPr>
      </w:pPr>
    </w:p>
    <w:p>
      <w:pPr>
        <w:spacing w:after="0" w:line="25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auto"/>
        </w:rPr>
        <w:t>By: /s/ Camilo Rincon</w:t>
      </w:r>
    </w:p>
    <w:p>
      <w:pPr>
        <w:spacing w:after="0" w:line="3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Name: Camilo Rincon</w:t>
      </w:r>
    </w:p>
    <w:p>
      <w:pPr>
        <w:spacing w:after="0" w:line="1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Western Alliance Bank, as a Lender</w:t>
      </w:r>
    </w:p>
    <w:p>
      <w:pPr>
        <w:spacing w:after="0" w:line="200" w:lineRule="exact"/>
        <w:rPr>
          <w:sz w:val="20"/>
          <w:szCs w:val="20"/>
          <w:color w:val="auto"/>
        </w:rPr>
      </w:pPr>
    </w:p>
    <w:p>
      <w:pPr>
        <w:spacing w:after="0" w:line="25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auto"/>
        </w:rPr>
        <w:t>By: /s/ Tyler Peterson</w:t>
      </w:r>
    </w:p>
    <w:p>
      <w:pPr>
        <w:spacing w:after="0" w:line="3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Name: Tyler Peterson</w:t>
      </w:r>
    </w:p>
    <w:p>
      <w:pPr>
        <w:spacing w:after="0" w:line="1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[Signature Page to Facility Amount Increase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685800</wp:posOffset>
            </wp:positionV>
            <wp:extent cx="673290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660" w:top="1440" w:right="780" w:bottom="1440" w:gutter="0" w:footer="0" w:header="0"/>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undersigned hereby consents on this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9"/>
          <w:szCs w:val="19"/>
          <w:color w:val="auto"/>
        </w:rPr>
        <w:t xml:space="preserve"> day of December</w:t>
      </w:r>
    </w:p>
    <w:p>
      <w:pPr>
        <w:spacing w:after="0" w:line="219" w:lineRule="exact"/>
        <w:rPr>
          <w:sz w:val="20"/>
          <w:szCs w:val="20"/>
          <w:color w:val="auto"/>
        </w:rPr>
      </w:pPr>
      <w:r>
        <w:rPr>
          <w:rFonts w:ascii="Times New Roman" w:cs="Times New Roman" w:eastAsia="Times New Roman" w:hAnsi="Times New Roman"/>
          <w:sz w:val="19"/>
          <w:szCs w:val="19"/>
          <w:color w:val="auto"/>
        </w:rPr>
        <w:t>2024 to the above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requested Facility Amount Increase.</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Truist Bank, as Administrative Agent</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/s/ Emily Shields</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Name: Emily Shields</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4" w:lineRule="exact"/>
        <w:rPr>
          <w:sz w:val="20"/>
          <w:szCs w:val="20"/>
          <w:color w:val="auto"/>
        </w:rPr>
      </w:pPr>
    </w:p>
    <w:p>
      <w:pPr>
        <w:jc w:val="right"/>
        <w:ind w:right="2960"/>
        <w:spacing w:after="0"/>
        <w:rPr>
          <w:sz w:val="20"/>
          <w:szCs w:val="20"/>
          <w:color w:val="auto"/>
        </w:rPr>
      </w:pPr>
      <w:r>
        <w:rPr>
          <w:rFonts w:ascii="Times New Roman" w:cs="Times New Roman" w:eastAsia="Times New Roman" w:hAnsi="Times New Roman"/>
          <w:sz w:val="14"/>
          <w:szCs w:val="14"/>
          <w:color w:val="auto"/>
        </w:rPr>
        <w:t>[Signature Page to Facility Amount Increase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675640</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440" w:right="1440"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16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3"/>
          <w:szCs w:val="13"/>
          <w:b w:val="1"/>
          <w:bCs w:val="1"/>
          <w:color w:val="auto"/>
        </w:rPr>
        <w:t>CERTIFICATION PURSUANT TO SECTION 302</w:t>
      </w:r>
    </w:p>
    <w:p>
      <w:pPr>
        <w:spacing w:after="0" w:line="2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3"/>
          <w:szCs w:val="13"/>
          <w:b w:val="1"/>
          <w:bCs w:val="1"/>
          <w:color w:val="auto"/>
        </w:rPr>
        <w:t>CHIEF EXECUTIVE OFFICER CERTIFICATION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Arthur H. Penn, Chief Executive Officer of PennantPark Floating Rate Capital, Ltd., certify that:</w:t>
      </w:r>
    </w:p>
    <w:p>
      <w:pPr>
        <w:spacing w:after="0" w:line="163" w:lineRule="exact"/>
        <w:rPr>
          <w:sz w:val="20"/>
          <w:szCs w:val="20"/>
          <w:color w:val="auto"/>
        </w:rPr>
      </w:pPr>
    </w:p>
    <w:p>
      <w:pPr>
        <w:ind w:left="580" w:hanging="142"/>
        <w:spacing w:after="0"/>
        <w:tabs>
          <w:tab w:leader="none" w:pos="5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Report on Form 10-Q of PennantPark Floating Rate Capital, Ltd.;</w:t>
      </w:r>
    </w:p>
    <w:p>
      <w:pPr>
        <w:spacing w:after="0" w:line="162" w:lineRule="exact"/>
        <w:rPr>
          <w:rFonts w:ascii="Times New Roman" w:cs="Times New Roman" w:eastAsia="Times New Roman" w:hAnsi="Times New Roman"/>
          <w:sz w:val="13"/>
          <w:szCs w:val="13"/>
          <w:color w:val="auto"/>
        </w:rPr>
      </w:pPr>
    </w:p>
    <w:p>
      <w:pPr>
        <w:ind w:right="580" w:firstLine="450"/>
        <w:spacing w:after="0" w:line="286" w:lineRule="auto"/>
        <w:tabs>
          <w:tab w:leader="none" w:pos="576" w:val="left"/>
        </w:tabs>
        <w:numPr>
          <w:ilvl w:val="1"/>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3"/>
          <w:szCs w:val="13"/>
          <w:color w:val="auto"/>
        </w:rPr>
      </w:pPr>
    </w:p>
    <w:p>
      <w:pPr>
        <w:ind w:right="660" w:firstLine="450"/>
        <w:spacing w:after="0" w:line="286" w:lineRule="auto"/>
        <w:tabs>
          <w:tab w:leader="none" w:pos="576" w:val="left"/>
        </w:tabs>
        <w:numPr>
          <w:ilvl w:val="1"/>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sz w:val="20"/>
          <w:szCs w:val="20"/>
          <w:color w:val="auto"/>
        </w:rPr>
      </w:pPr>
    </w:p>
    <w:p>
      <w:pPr>
        <w:ind w:right="300" w:firstLine="438"/>
        <w:spacing w:after="0" w:line="286" w:lineRule="auto"/>
        <w:tabs>
          <w:tab w:leader="none" w:pos="564"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Times New Roman" w:cs="Times New Roman" w:eastAsia="Times New Roman" w:hAnsi="Times New Roman"/>
          <w:sz w:val="13"/>
          <w:szCs w:val="13"/>
          <w:color w:val="auto"/>
        </w:rPr>
      </w:pPr>
    </w:p>
    <w:p>
      <w:pPr>
        <w:ind w:right="480" w:firstLine="738"/>
        <w:spacing w:after="0" w:line="286" w:lineRule="auto"/>
        <w:tabs>
          <w:tab w:leader="none" w:pos="868" w:val="left"/>
        </w:tabs>
        <w:numPr>
          <w:ilvl w:val="3"/>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3"/>
          <w:szCs w:val="13"/>
          <w:color w:val="auto"/>
        </w:rPr>
      </w:pPr>
    </w:p>
    <w:p>
      <w:pPr>
        <w:ind w:right="640" w:firstLine="738"/>
        <w:spacing w:after="0" w:line="286" w:lineRule="auto"/>
        <w:tabs>
          <w:tab w:leader="none" w:pos="875" w:val="left"/>
        </w:tabs>
        <w:numPr>
          <w:ilvl w:val="3"/>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3"/>
          <w:szCs w:val="13"/>
          <w:color w:val="auto"/>
        </w:rPr>
      </w:pPr>
    </w:p>
    <w:p>
      <w:pPr>
        <w:ind w:right="240" w:firstLine="714"/>
        <w:spacing w:after="0" w:line="286" w:lineRule="auto"/>
        <w:tabs>
          <w:tab w:leader="none" w:pos="844" w:val="left"/>
        </w:tabs>
        <w:numPr>
          <w:ilvl w:val="2"/>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3"/>
          <w:szCs w:val="13"/>
          <w:color w:val="auto"/>
        </w:rPr>
      </w:pPr>
    </w:p>
    <w:p>
      <w:pPr>
        <w:ind w:right="560" w:firstLine="726"/>
        <w:spacing w:after="0" w:line="286" w:lineRule="auto"/>
        <w:tabs>
          <w:tab w:leader="none" w:pos="863" w:val="left"/>
        </w:tabs>
        <w:numPr>
          <w:ilvl w:val="3"/>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3"/>
          <w:szCs w:val="13"/>
          <w:color w:val="auto"/>
        </w:rPr>
      </w:pPr>
    </w:p>
    <w:p>
      <w:pPr>
        <w:ind w:right="420" w:firstLine="450"/>
        <w:spacing w:after="0" w:line="286" w:lineRule="auto"/>
        <w:tabs>
          <w:tab w:leader="none" w:pos="576"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3"/>
          <w:szCs w:val="13"/>
          <w:color w:val="auto"/>
        </w:rPr>
      </w:pPr>
    </w:p>
    <w:p>
      <w:pPr>
        <w:ind w:right="620" w:firstLine="714"/>
        <w:spacing w:after="0" w:line="286" w:lineRule="auto"/>
        <w:tabs>
          <w:tab w:leader="none" w:pos="844" w:val="left"/>
        </w:tabs>
        <w:numPr>
          <w:ilvl w:val="2"/>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3"/>
          <w:szCs w:val="13"/>
          <w:color w:val="auto"/>
        </w:rPr>
      </w:pPr>
    </w:p>
    <w:p>
      <w:pPr>
        <w:ind w:left="860" w:hanging="134"/>
        <w:spacing w:after="0"/>
        <w:tabs>
          <w:tab w:leader="none" w:pos="860" w:val="left"/>
        </w:tabs>
        <w:numPr>
          <w:ilvl w:val="3"/>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Dated: February 10, 2025</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 Arthur H. Penn</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Name: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Arthur H. Penn</w:t>
            </w:r>
          </w:p>
        </w:tc>
      </w:tr>
      <w:tr>
        <w:trPr>
          <w:trHeight w:val="172"/>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Title: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Chief Executive Officer</w:t>
            </w:r>
          </w:p>
        </w:tc>
      </w:tr>
      <w:tr>
        <w:trPr>
          <w:trHeight w:val="1016"/>
        </w:trPr>
        <w:tc>
          <w:tcPr>
            <w:tcW w:w="460" w:type="dxa"/>
            <w:vAlign w:val="bottom"/>
            <w:tcBorders>
              <w:bottom w:val="single" w:sz="8" w:color="EEEEEE"/>
            </w:tcBorders>
          </w:tcPr>
          <w:p>
            <w:pPr>
              <w:spacing w:after="0"/>
              <w:rPr>
                <w:sz w:val="24"/>
                <w:szCs w:val="24"/>
                <w:color w:val="auto"/>
              </w:rPr>
            </w:pPr>
          </w:p>
        </w:tc>
        <w:tc>
          <w:tcPr>
            <w:tcW w:w="10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16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3"/>
          <w:szCs w:val="13"/>
          <w:b w:val="1"/>
          <w:bCs w:val="1"/>
          <w:color w:val="auto"/>
        </w:rPr>
        <w:t>CERTIFICATION PURSUANT TO SECTION 302</w:t>
      </w:r>
    </w:p>
    <w:p>
      <w:pPr>
        <w:spacing w:after="0" w:line="2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3"/>
          <w:szCs w:val="13"/>
          <w:b w:val="1"/>
          <w:bCs w:val="1"/>
          <w:color w:val="auto"/>
        </w:rPr>
        <w:t>CHIEF FINANCIAL OFFICER CERTIFICATION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Richard T. Allorto, Jr., Chief Financial Officer of PennantPark Floating Rate Capital, Ltd., certify that:</w:t>
      </w:r>
    </w:p>
    <w:p>
      <w:pPr>
        <w:spacing w:after="0" w:line="163" w:lineRule="exact"/>
        <w:rPr>
          <w:sz w:val="20"/>
          <w:szCs w:val="20"/>
          <w:color w:val="auto"/>
        </w:rPr>
      </w:pPr>
    </w:p>
    <w:p>
      <w:pPr>
        <w:ind w:left="580" w:hanging="142"/>
        <w:spacing w:after="0"/>
        <w:tabs>
          <w:tab w:leader="none" w:pos="5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Report on Form 10-Q of PennantPark Floating Rate Capital, Ltd.;</w:t>
      </w:r>
    </w:p>
    <w:p>
      <w:pPr>
        <w:spacing w:after="0" w:line="162" w:lineRule="exact"/>
        <w:rPr>
          <w:rFonts w:ascii="Times New Roman" w:cs="Times New Roman" w:eastAsia="Times New Roman" w:hAnsi="Times New Roman"/>
          <w:sz w:val="13"/>
          <w:szCs w:val="13"/>
          <w:color w:val="auto"/>
        </w:rPr>
      </w:pPr>
    </w:p>
    <w:p>
      <w:pPr>
        <w:ind w:right="580" w:firstLine="450"/>
        <w:spacing w:after="0" w:line="286" w:lineRule="auto"/>
        <w:tabs>
          <w:tab w:leader="none" w:pos="576"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3"/>
          <w:szCs w:val="13"/>
          <w:color w:val="auto"/>
        </w:rPr>
      </w:pPr>
    </w:p>
    <w:p>
      <w:pPr>
        <w:ind w:right="660" w:firstLine="450"/>
        <w:spacing w:after="0" w:line="286" w:lineRule="auto"/>
        <w:tabs>
          <w:tab w:leader="none" w:pos="576"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3"/>
          <w:szCs w:val="13"/>
          <w:color w:val="auto"/>
        </w:rPr>
      </w:pPr>
    </w:p>
    <w:p>
      <w:pPr>
        <w:ind w:left="580" w:hanging="130"/>
        <w:spacing w:after="0"/>
        <w:tabs>
          <w:tab w:leader="none" w:pos="580"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w:t>
      </w:r>
    </w:p>
    <w:p>
      <w:pPr>
        <w:spacing w:after="0" w:line="20"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3"/>
          <w:szCs w:val="13"/>
          <w:color w:val="auto"/>
        </w:rPr>
      </w:pPr>
    </w:p>
    <w:p>
      <w:pPr>
        <w:ind w:right="480" w:firstLine="738"/>
        <w:spacing w:after="0" w:line="286" w:lineRule="auto"/>
        <w:tabs>
          <w:tab w:leader="none" w:pos="868" w:val="left"/>
        </w:tabs>
        <w:numPr>
          <w:ilvl w:val="3"/>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3"/>
          <w:szCs w:val="13"/>
          <w:color w:val="auto"/>
        </w:rPr>
      </w:pPr>
    </w:p>
    <w:p>
      <w:pPr>
        <w:ind w:right="640" w:firstLine="738"/>
        <w:spacing w:after="0" w:line="286" w:lineRule="auto"/>
        <w:tabs>
          <w:tab w:leader="none" w:pos="875" w:val="left"/>
        </w:tabs>
        <w:numPr>
          <w:ilvl w:val="3"/>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3"/>
          <w:szCs w:val="13"/>
          <w:color w:val="auto"/>
        </w:rPr>
      </w:pPr>
    </w:p>
    <w:p>
      <w:pPr>
        <w:ind w:right="240" w:firstLine="714"/>
        <w:spacing w:after="0" w:line="286" w:lineRule="auto"/>
        <w:tabs>
          <w:tab w:leader="none" w:pos="844" w:val="left"/>
        </w:tabs>
        <w:numPr>
          <w:ilvl w:val="2"/>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3"/>
          <w:szCs w:val="13"/>
          <w:color w:val="auto"/>
        </w:rPr>
      </w:pPr>
    </w:p>
    <w:p>
      <w:pPr>
        <w:ind w:right="560" w:firstLine="726"/>
        <w:spacing w:after="0" w:line="286" w:lineRule="auto"/>
        <w:tabs>
          <w:tab w:leader="none" w:pos="863" w:val="left"/>
        </w:tabs>
        <w:numPr>
          <w:ilvl w:val="3"/>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3"/>
          <w:szCs w:val="13"/>
          <w:color w:val="auto"/>
        </w:rPr>
      </w:pPr>
    </w:p>
    <w:p>
      <w:pPr>
        <w:ind w:right="420" w:firstLine="450"/>
        <w:spacing w:after="0" w:line="286" w:lineRule="auto"/>
        <w:tabs>
          <w:tab w:leader="none" w:pos="576" w:val="left"/>
        </w:tabs>
        <w:numPr>
          <w:ilvl w:val="1"/>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3"/>
          <w:szCs w:val="13"/>
          <w:color w:val="auto"/>
        </w:rPr>
      </w:pPr>
    </w:p>
    <w:p>
      <w:pPr>
        <w:ind w:right="620" w:firstLine="714"/>
        <w:spacing w:after="0" w:line="286" w:lineRule="auto"/>
        <w:tabs>
          <w:tab w:leader="none" w:pos="844" w:val="left"/>
        </w:tabs>
        <w:numPr>
          <w:ilvl w:val="2"/>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3"/>
          <w:szCs w:val="13"/>
          <w:color w:val="auto"/>
        </w:rPr>
      </w:pPr>
    </w:p>
    <w:p>
      <w:pPr>
        <w:ind w:left="860" w:hanging="134"/>
        <w:spacing w:after="0"/>
        <w:tabs>
          <w:tab w:leader="none" w:pos="860" w:val="left"/>
        </w:tabs>
        <w:numPr>
          <w:ilvl w:val="3"/>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Dated: February 10, 2025</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 Richard T. Allorto, Jr.</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Name: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Richard T. Allorto, Jr.</w:t>
            </w:r>
          </w:p>
        </w:tc>
      </w:tr>
      <w:tr>
        <w:trPr>
          <w:trHeight w:val="172"/>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Title: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1016"/>
        </w:trPr>
        <w:tc>
          <w:tcPr>
            <w:tcW w:w="460" w:type="dxa"/>
            <w:vAlign w:val="bottom"/>
            <w:tcBorders>
              <w:bottom w:val="single" w:sz="8" w:color="EEEEEE"/>
            </w:tcBorders>
          </w:tcPr>
          <w:p>
            <w:pPr>
              <w:spacing w:after="0"/>
              <w:rPr>
                <w:sz w:val="24"/>
                <w:szCs w:val="24"/>
                <w:color w:val="auto"/>
              </w:rPr>
            </w:pPr>
          </w:p>
        </w:tc>
        <w:tc>
          <w:tcPr>
            <w:tcW w:w="10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76" w:name="page77"/>
    <w:bookmarkEnd w:id="76"/>
    <w:p>
      <w:pPr>
        <w:ind w:left="9740"/>
        <w:spacing w:after="0"/>
        <w:rPr>
          <w:sz w:val="20"/>
          <w:szCs w:val="20"/>
          <w:color w:val="auto"/>
        </w:rPr>
      </w:pPr>
      <w:r>
        <w:rPr>
          <w:rFonts w:ascii="Times New Roman" w:cs="Times New Roman" w:eastAsia="Times New Roman" w:hAnsi="Times New Roman"/>
          <w:sz w:val="13"/>
          <w:szCs w:val="13"/>
          <w:b w:val="1"/>
          <w:bCs w:val="1"/>
          <w:color w:val="auto"/>
        </w:rPr>
        <w:t>EXHIBIT 32.1</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OF CHIEF EXECUTIVE OFFICER</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 (18 U.S.C. 1350)</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In connection with this Report on Form 10-Q for the three months ended December 31, 2024 (the “Report”) of PennantPark Floating Rate Capital, Ltd. (the “Registrant”), as filed with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Securities and Exchange Commission on the date hereof, I, Arthur H. Penn, Chief Executive Officer of the Registrant, hereby certify, to the best of my knowledge, that:</w:t>
      </w:r>
    </w:p>
    <w:p>
      <w:pPr>
        <w:spacing w:after="0" w:line="149" w:lineRule="exact"/>
        <w:rPr>
          <w:sz w:val="20"/>
          <w:szCs w:val="20"/>
          <w:color w:val="auto"/>
        </w:rPr>
      </w:pPr>
    </w:p>
    <w:p>
      <w:pPr>
        <w:ind w:left="720" w:hanging="258"/>
        <w:spacing w:after="0"/>
        <w:tabs>
          <w:tab w:leader="none" w:pos="7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as amended; and</w:t>
      </w:r>
    </w:p>
    <w:p>
      <w:pPr>
        <w:spacing w:after="0" w:line="162" w:lineRule="exact"/>
        <w:rPr>
          <w:rFonts w:ascii="Times New Roman" w:cs="Times New Roman" w:eastAsia="Times New Roman" w:hAnsi="Times New Roman"/>
          <w:sz w:val="13"/>
          <w:szCs w:val="13"/>
          <w:color w:val="auto"/>
        </w:rPr>
      </w:pPr>
    </w:p>
    <w:p>
      <w:pPr>
        <w:ind w:left="720" w:hanging="258"/>
        <w:spacing w:after="0"/>
        <w:tabs>
          <w:tab w:leader="none" w:pos="7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Registrant.</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 Arthur H. Penn</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Name: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Arthur H. Penn</w:t>
            </w:r>
          </w:p>
        </w:tc>
      </w:tr>
      <w:tr>
        <w:trPr>
          <w:trHeight w:val="156"/>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Title: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Chief Executive Officer</w:t>
            </w:r>
          </w:p>
        </w:tc>
      </w:tr>
      <w:tr>
        <w:trPr>
          <w:trHeight w:val="172"/>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Date: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February 10, 2025</w:t>
            </w:r>
          </w:p>
        </w:tc>
      </w:tr>
      <w:tr>
        <w:trPr>
          <w:trHeight w:val="1016"/>
        </w:trPr>
        <w:tc>
          <w:tcPr>
            <w:tcW w:w="460" w:type="dxa"/>
            <w:vAlign w:val="bottom"/>
            <w:tcBorders>
              <w:bottom w:val="single" w:sz="8" w:color="EEEEEE"/>
            </w:tcBorders>
          </w:tcPr>
          <w:p>
            <w:pPr>
              <w:spacing w:after="0"/>
              <w:rPr>
                <w:sz w:val="24"/>
                <w:szCs w:val="24"/>
                <w:color w:val="auto"/>
              </w:rPr>
            </w:pPr>
          </w:p>
        </w:tc>
        <w:tc>
          <w:tcPr>
            <w:tcW w:w="10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77" w:name="page78"/>
    <w:bookmarkEnd w:id="77"/>
    <w:p>
      <w:pPr>
        <w:ind w:left="9740"/>
        <w:spacing w:after="0"/>
        <w:rPr>
          <w:sz w:val="20"/>
          <w:szCs w:val="20"/>
          <w:color w:val="auto"/>
        </w:rPr>
      </w:pPr>
      <w:r>
        <w:rPr>
          <w:rFonts w:ascii="Times New Roman" w:cs="Times New Roman" w:eastAsia="Times New Roman" w:hAnsi="Times New Roman"/>
          <w:sz w:val="13"/>
          <w:szCs w:val="13"/>
          <w:b w:val="1"/>
          <w:bCs w:val="1"/>
          <w:color w:val="auto"/>
        </w:rPr>
        <w:t>EXHIBIT 32.2</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OF CHIEF FINANCIAL OFFICER</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 (18 U.S.C. 1350)</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In connection with this Report on Form 10-Q for the three months ended December 31, 2024 (the “Report”) of PennantPark Floating Rate Capital, Ltd. (the “Registrant”), as filed with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Securities and Exchange Commission on the date hereof, I, Richard T. Allorto, Jr., Chief Financial Officer of the Registrant, hereby certify, to the best of my knowledge, that:</w:t>
      </w:r>
    </w:p>
    <w:p>
      <w:pPr>
        <w:spacing w:after="0" w:line="149" w:lineRule="exact"/>
        <w:rPr>
          <w:sz w:val="20"/>
          <w:szCs w:val="20"/>
          <w:color w:val="auto"/>
        </w:rPr>
      </w:pPr>
    </w:p>
    <w:p>
      <w:pPr>
        <w:ind w:left="720" w:hanging="258"/>
        <w:spacing w:after="0"/>
        <w:tabs>
          <w:tab w:leader="none" w:pos="7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as amended; and</w:t>
      </w:r>
    </w:p>
    <w:p>
      <w:pPr>
        <w:spacing w:after="0" w:line="162" w:lineRule="exact"/>
        <w:rPr>
          <w:rFonts w:ascii="Times New Roman" w:cs="Times New Roman" w:eastAsia="Times New Roman" w:hAnsi="Times New Roman"/>
          <w:sz w:val="13"/>
          <w:szCs w:val="13"/>
          <w:color w:val="auto"/>
        </w:rPr>
      </w:pPr>
    </w:p>
    <w:p>
      <w:pPr>
        <w:ind w:left="720" w:hanging="258"/>
        <w:spacing w:after="0"/>
        <w:tabs>
          <w:tab w:leader="none" w:pos="7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Registrant.</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 Richard T. Allorto, Jr.</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Name:</w:t>
            </w:r>
          </w:p>
        </w:tc>
        <w:tc>
          <w:tcPr>
            <w:tcW w:w="10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Richard T. Allorto, Jr.</w:t>
            </w:r>
          </w:p>
        </w:tc>
      </w:tr>
      <w:tr>
        <w:trPr>
          <w:trHeight w:val="156"/>
        </w:trPr>
        <w:tc>
          <w:tcPr>
            <w:tcW w:w="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Title:</w:t>
            </w:r>
          </w:p>
        </w:tc>
        <w:tc>
          <w:tcPr>
            <w:tcW w:w="10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172"/>
        </w:trPr>
        <w:tc>
          <w:tcPr>
            <w:tcW w:w="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Date:</w:t>
            </w:r>
          </w:p>
        </w:tc>
        <w:tc>
          <w:tcPr>
            <w:tcW w:w="10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February 10, 2025</w:t>
            </w:r>
          </w:p>
        </w:tc>
      </w:tr>
      <w:tr>
        <w:trPr>
          <w:trHeight w:val="1016"/>
        </w:trPr>
        <w:tc>
          <w:tcPr>
            <w:tcW w:w="520" w:type="dxa"/>
            <w:vAlign w:val="bottom"/>
            <w:tcBorders>
              <w:bottom w:val="single" w:sz="8" w:color="EEEEEE"/>
            </w:tcBorders>
          </w:tcPr>
          <w:p>
            <w:pPr>
              <w:spacing w:after="0"/>
              <w:rPr>
                <w:sz w:val="24"/>
                <w:szCs w:val="24"/>
                <w:color w:val="auto"/>
              </w:rPr>
            </w:pPr>
          </w:p>
        </w:tc>
        <w:tc>
          <w:tcPr>
            <w:tcW w:w="100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78" w:name="page79"/>
    <w:bookmarkEnd w:id="78"/>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lowerLetter"/>
      <w:start w:val="5"/>
    </w:lvl>
  </w:abstractNum>
  <w:abstractNum w:abstractNumId="4">
    <w:nsid w:val="1BEFD79F"/>
    <w:multiLevelType w:val="hybridMultilevel"/>
    <w:lvl w:ilvl="0">
      <w:lvlJc w:val="left"/>
      <w:lvlText w:val="%1."/>
      <w:numFmt w:val="decimal"/>
      <w:start w:val="3"/>
    </w:lvl>
    <w:lvl w:ilvl="1">
      <w:lvlJc w:val="left"/>
      <w:lvlText w:val="(%2)"/>
      <w:numFmt w:val="lowerLetter"/>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lowerRoman"/>
      <w:start w:val="4"/>
    </w:lvl>
  </w:abstractNum>
  <w:abstractNum w:abstractNumId="11">
    <w:nsid w:val="3F2DBA31"/>
    <w:multiLevelType w:val="hybridMultilevel"/>
    <w:lvl w:ilvl="0">
      <w:lvlJc w:val="left"/>
      <w:lvlText w:val="(%1)"/>
      <w:numFmt w:val="lowerRoman"/>
      <w:start w:val="1"/>
    </w:lvl>
  </w:abstractNum>
  <w:abstractNum w:abstractNumId="12">
    <w:nsid w:val="7C83E458"/>
    <w:multiLevelType w:val="hybridMultilevel"/>
    <w:lvl w:ilvl="0">
      <w:lvlJc w:val="left"/>
      <w:lvlText w:val="(%1)"/>
      <w:numFmt w:val="lowerRoman"/>
      <w:start w:val="5"/>
    </w:lvl>
  </w:abstractNum>
  <w:abstractNum w:abstractNumId="13">
    <w:nsid w:val="257130A3"/>
    <w:multiLevelType w:val="hybridMultilevel"/>
    <w:lvl w:ilvl="0">
      <w:lvlJc w:val="left"/>
      <w:lvlText w:val="(%1)"/>
      <w:numFmt w:val="upperLetter"/>
      <w:start w:val="3"/>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
      <w:numFmt w:val="bullet"/>
      <w:start w:val="1"/>
    </w:lvl>
    <w:lvl w:ilvl="1">
      <w:lvlJc w:val="left"/>
      <w:lvlText w:val="%2"/>
      <w:numFmt w:val="decimal"/>
      <w:start w:val="104"/>
    </w:lvl>
  </w:abstractNum>
  <w:abstractNum w:abstractNumId="16">
    <w:nsid w:val="628C895D"/>
    <w:multiLevelType w:val="hybridMultilevel"/>
    <w:lvl w:ilvl="0">
      <w:lvlJc w:val="left"/>
      <w:lvlText w:val="%1."/>
      <w:numFmt w:val="decimal"/>
      <w:start w:val="1"/>
    </w:lvl>
    <w:lvl w:ilvl="1">
      <w:lvlJc w:val="left"/>
      <w:lvlText w:val="%2."/>
      <w:numFmt w:val="decimal"/>
      <w:start w:val="2"/>
    </w:lvl>
  </w:abstractNum>
  <w:abstractNum w:abstractNumId="17">
    <w:nsid w:val="333AB105"/>
    <w:multiLevelType w:val="hybridMultilevel"/>
    <w:lvl w:ilvl="0">
      <w:lvlJc w:val="left"/>
      <w:lvlText w:val="%1."/>
      <w:numFmt w:val="decimal"/>
      <w:start w:val="4"/>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18">
    <w:nsid w:val="721DA31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4"/>
    </w:lvl>
  </w:abstractNum>
  <w:abstractNum w:abstractNumId="19">
    <w:nsid w:val="2443A858"/>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Letter"/>
      <w:start w:val="2"/>
    </w:lvl>
  </w:abstractNum>
  <w:abstractNum w:abstractNumId="20">
    <w:nsid w:val="2D1D5AE9"/>
    <w:multiLevelType w:val="hybridMultilevel"/>
    <w:lvl w:ilvl="0">
      <w:lvlJc w:val="left"/>
      <w:lvlText w:val="%1."/>
      <w:numFmt w:val="decimal"/>
      <w:start w:val="1"/>
    </w:lvl>
    <w:lvl w:ilvl="1">
      <w:lvlJc w:val="left"/>
      <w:lvlText w:val="%2."/>
      <w:numFmt w:val="decimal"/>
      <w:start w:val="2"/>
    </w:lvl>
    <w:lvl w:ilvl="2">
      <w:lvlJc w:val="left"/>
      <w:lvlText w:val="%3)"/>
      <w:numFmt w:val="lowerLetter"/>
      <w:start w:val="2"/>
    </w:lvl>
    <w:lvl w:ilvl="3">
      <w:lvlJc w:val="left"/>
      <w:lvlText w:val="%4)"/>
      <w:numFmt w:val="lowerLetter"/>
      <w:start w:val="1"/>
    </w:lvl>
  </w:abstractNum>
  <w:abstractNum w:abstractNumId="21">
    <w:nsid w:val="6763845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4"/>
    </w:lvl>
  </w:abstractNum>
  <w:abstractNum w:abstractNumId="22">
    <w:nsid w:val="75A2A8D4"/>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Letter"/>
      <w:start w:val="2"/>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82" Type="http://schemas.openxmlformats.org/officeDocument/2006/relationships/hyperlink" Target="https://www.sec.gov/Archives/edgar/data/1504619/000119312511080862/dex99a.htm" TargetMode="External"/><Relationship Id="rId83" Type="http://schemas.openxmlformats.org/officeDocument/2006/relationships/hyperlink" Target="https://www.sec.gov/Archives/edgar/data/1504619/000095017024092750/pflt-ex3_2.htm" TargetMode="External"/><Relationship Id="rId84" Type="http://schemas.openxmlformats.org/officeDocument/2006/relationships/hyperlink" Target="https://www.sec.gov/Archives/edgar/data/1504619/000156459020024167/pflt-ex32_144.htm" TargetMode="External"/><Relationship Id="rId85" Type="http://schemas.openxmlformats.org/officeDocument/2006/relationships/hyperlink" Target="https://www.sec.gov/Archives/edgar/data/1504619/000119312511088977/dex99d.htm" TargetMode="External"/><Relationship Id="rId86" Type="http://schemas.openxmlformats.org/officeDocument/2006/relationships/hyperlink" Target="https://www.sec.gov/Archives/edgar/data/1504619/000119312521250566/d198449dex102.htm" TargetMode="External"/><Relationship Id="rId87" Type="http://schemas.openxmlformats.org/officeDocument/2006/relationships/hyperlink" Target="https://www.sec.gov/Archives/edgar/data/1504619/000150461911000050/pfltprivacypolicy0930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2025-02-10T15:42:10Z</dcterms:created>
  <dcterms:modified xsi:type="dcterms:W3CDTF">2025-02-10T15:42:10Z</dcterms:modified>
</cp:coreProperties>
</file>