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2" w:lineRule="exact"/>
        <w:rPr>
          <w:sz w:val="24"/>
          <w:szCs w:val="24"/>
          <w:color w:val="auto"/>
        </w:rPr>
      </w:pPr>
    </w:p>
    <w:p>
      <w:pPr>
        <w:ind w:left="3280" w:right="1860" w:hanging="3272"/>
        <w:spacing w:after="0" w:line="470" w:lineRule="auto"/>
        <w:tabs>
          <w:tab w:leader="none" w:pos="2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DECEMBER 31, 2020</w:t>
      </w:r>
    </w:p>
    <w:p>
      <w:pPr>
        <w:spacing w:after="0" w:line="292"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ind w:left="34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2"/>
              </w:rPr>
              <w:t>TO</w:t>
            </w:r>
          </w:p>
        </w:tc>
        <w:tc>
          <w:tcPr>
            <w:tcW w:w="540" w:type="dxa"/>
            <w:vAlign w:val="bottom"/>
            <w:tcBorders>
              <w:bottom w:val="single" w:sz="8" w:color="auto"/>
            </w:tcBorders>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3860" w:type="dxa"/>
            <w:vAlign w:val="bottom"/>
          </w:tcPr>
          <w:p>
            <w:pPr>
              <w:spacing w:after="0"/>
              <w:rPr>
                <w:sz w:val="24"/>
                <w:szCs w:val="24"/>
                <w:color w:val="auto"/>
              </w:rPr>
            </w:pPr>
          </w:p>
        </w:tc>
        <w:tc>
          <w:tcPr>
            <w:tcW w:w="35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814-00891</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860" w:type="dxa"/>
            <w:vAlign w:val="bottom"/>
            <w:tcBorders>
              <w:bottom w:val="single" w:sz="8" w:color="auto"/>
            </w:tcBorders>
            <w:gridSpan w:val="2"/>
          </w:tcPr>
          <w:p>
            <w:pPr>
              <w:spacing w:after="0"/>
              <w:rPr>
                <w:sz w:val="12"/>
                <w:szCs w:val="12"/>
                <w:color w:val="auto"/>
              </w:rPr>
            </w:pPr>
          </w:p>
        </w:tc>
        <w:tc>
          <w:tcPr>
            <w:tcW w:w="8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68"/>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31"/>
                <w:szCs w:val="31"/>
                <w:b w:val="1"/>
                <w:bCs w:val="1"/>
                <w:color w:val="auto"/>
                <w:w w:val="97"/>
              </w:rPr>
              <w:t>PENNANTPARK FLOATING RATE CAPITAL LTD.</w:t>
            </w:r>
          </w:p>
        </w:tc>
        <w:tc>
          <w:tcPr>
            <w:tcW w:w="0" w:type="dxa"/>
            <w:vAlign w:val="bottom"/>
          </w:tcPr>
          <w:p>
            <w:pPr>
              <w:spacing w:after="0"/>
              <w:rPr>
                <w:sz w:val="1"/>
                <w:szCs w:val="1"/>
                <w:color w:val="auto"/>
              </w:rPr>
            </w:pPr>
          </w:p>
        </w:tc>
      </w:tr>
      <w:tr>
        <w:trPr>
          <w:trHeight w:val="190"/>
        </w:trPr>
        <w:tc>
          <w:tcPr>
            <w:tcW w:w="3860" w:type="dxa"/>
            <w:vAlign w:val="bottom"/>
          </w:tcPr>
          <w:p>
            <w:pPr>
              <w:spacing w:after="0"/>
              <w:rPr>
                <w:sz w:val="16"/>
                <w:szCs w:val="16"/>
                <w:color w:val="auto"/>
              </w:rPr>
            </w:pPr>
          </w:p>
        </w:tc>
        <w:tc>
          <w:tcPr>
            <w:tcW w:w="3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860" w:type="dxa"/>
            <w:vAlign w:val="bottom"/>
          </w:tcPr>
          <w:p>
            <w:pPr>
              <w:jc w:val="center"/>
              <w:ind w:left="1701"/>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3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gridSpan w:val="3"/>
          </w:tcPr>
          <w:p>
            <w:pPr>
              <w:jc w:val="right"/>
              <w:ind w:right="2275"/>
              <w:spacing w:after="0"/>
              <w:rPr>
                <w:sz w:val="20"/>
                <w:szCs w:val="20"/>
                <w:color w:val="auto"/>
              </w:rPr>
            </w:pPr>
            <w:r>
              <w:rPr>
                <w:rFonts w:ascii="Times New Roman" w:cs="Times New Roman" w:eastAsia="Times New Roman" w:hAnsi="Times New Roman"/>
                <w:sz w:val="14"/>
                <w:szCs w:val="14"/>
                <w:b w:val="1"/>
                <w:bCs w:val="1"/>
                <w:color w:val="auto"/>
              </w:rPr>
              <w:t>27-3794690</w:t>
            </w:r>
          </w:p>
        </w:tc>
        <w:tc>
          <w:tcPr>
            <w:tcW w:w="0" w:type="dxa"/>
            <w:vAlign w:val="bottom"/>
          </w:tcPr>
          <w:p>
            <w:pPr>
              <w:spacing w:after="0"/>
              <w:rPr>
                <w:sz w:val="1"/>
                <w:szCs w:val="1"/>
                <w:color w:val="auto"/>
              </w:rPr>
            </w:pPr>
          </w:p>
        </w:tc>
      </w:tr>
      <w:tr>
        <w:trPr>
          <w:trHeight w:val="165"/>
        </w:trPr>
        <w:tc>
          <w:tcPr>
            <w:tcW w:w="7400" w:type="dxa"/>
            <w:vAlign w:val="bottom"/>
            <w:gridSpan w:val="3"/>
          </w:tcPr>
          <w:p>
            <w:pPr>
              <w:jc w:val="center"/>
              <w:ind w:right="1740"/>
              <w:spacing w:after="0"/>
              <w:rPr>
                <w:sz w:val="20"/>
                <w:szCs w:val="20"/>
                <w:color w:val="auto"/>
              </w:rPr>
            </w:pPr>
            <w:r>
              <w:rPr>
                <w:rFonts w:ascii="Times New Roman" w:cs="Times New Roman" w:eastAsia="Times New Roman" w:hAnsi="Times New Roman"/>
                <w:sz w:val="12"/>
                <w:szCs w:val="12"/>
                <w:b w:val="1"/>
                <w:bCs w:val="1"/>
                <w:color w:val="auto"/>
                <w:w w:val="97"/>
              </w:rPr>
              <w:t>(State or other jurisdiction of incorporation or organization)</w:t>
            </w:r>
          </w:p>
        </w:tc>
        <w:tc>
          <w:tcPr>
            <w:tcW w:w="3840" w:type="dxa"/>
            <w:vAlign w:val="bottom"/>
            <w:gridSpan w:val="3"/>
          </w:tcPr>
          <w:p>
            <w:pPr>
              <w:jc w:val="center"/>
              <w:ind w:right="1475"/>
              <w:spacing w:after="0"/>
              <w:rPr>
                <w:sz w:val="20"/>
                <w:szCs w:val="20"/>
                <w:color w:val="auto"/>
              </w:rPr>
            </w:pPr>
            <w:r>
              <w:rPr>
                <w:rFonts w:ascii="Times New Roman" w:cs="Times New Roman" w:eastAsia="Times New Roman" w:hAnsi="Times New Roman"/>
                <w:sz w:val="12"/>
                <w:szCs w:val="12"/>
                <w:b w:val="1"/>
                <w:bCs w:val="1"/>
                <w:color w:val="auto"/>
                <w:w w:val="96"/>
              </w:rPr>
              <w:t>(I.R.S. Employer Identification No.)</w:t>
            </w:r>
          </w:p>
        </w:tc>
        <w:tc>
          <w:tcPr>
            <w:tcW w:w="0" w:type="dxa"/>
            <w:vAlign w:val="bottom"/>
          </w:tcPr>
          <w:p>
            <w:pPr>
              <w:spacing w:after="0"/>
              <w:rPr>
                <w:sz w:val="1"/>
                <w:szCs w:val="1"/>
                <w:color w:val="auto"/>
              </w:rPr>
            </w:pPr>
          </w:p>
        </w:tc>
      </w:tr>
      <w:tr>
        <w:trPr>
          <w:trHeight w:val="454"/>
        </w:trPr>
        <w:tc>
          <w:tcPr>
            <w:tcW w:w="3860" w:type="dxa"/>
            <w:vAlign w:val="bottom"/>
          </w:tcPr>
          <w:p>
            <w:pPr>
              <w:jc w:val="center"/>
              <w:ind w:left="1701"/>
              <w:spacing w:after="0"/>
              <w:rPr>
                <w:sz w:val="20"/>
                <w:szCs w:val="20"/>
                <w:color w:val="auto"/>
              </w:rPr>
            </w:pPr>
            <w:r>
              <w:rPr>
                <w:rFonts w:ascii="Times New Roman" w:cs="Times New Roman" w:eastAsia="Times New Roman" w:hAnsi="Times New Roman"/>
                <w:sz w:val="14"/>
                <w:szCs w:val="14"/>
                <w:b w:val="1"/>
                <w:bCs w:val="1"/>
                <w:color w:val="auto"/>
              </w:rPr>
              <w:t>590 Madison Avenue, 15</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Floor</w:t>
            </w:r>
          </w:p>
        </w:tc>
        <w:tc>
          <w:tcPr>
            <w:tcW w:w="3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60" w:type="dxa"/>
            <w:vAlign w:val="bottom"/>
          </w:tcPr>
          <w:p>
            <w:pPr>
              <w:jc w:val="center"/>
              <w:ind w:left="1701"/>
              <w:spacing w:after="0"/>
              <w:rPr>
                <w:sz w:val="20"/>
                <w:szCs w:val="20"/>
                <w:color w:val="auto"/>
              </w:rPr>
            </w:pPr>
            <w:r>
              <w:rPr>
                <w:rFonts w:ascii="Times New Roman" w:cs="Times New Roman" w:eastAsia="Times New Roman" w:hAnsi="Times New Roman"/>
                <w:sz w:val="14"/>
                <w:szCs w:val="14"/>
                <w:b w:val="1"/>
                <w:bCs w:val="1"/>
                <w:color w:val="auto"/>
              </w:rPr>
              <w:t>New York, N.Y.</w:t>
            </w:r>
          </w:p>
        </w:tc>
        <w:tc>
          <w:tcPr>
            <w:tcW w:w="3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40" w:type="dxa"/>
            <w:vAlign w:val="bottom"/>
            <w:gridSpan w:val="3"/>
            <w:vMerge w:val="restart"/>
          </w:tcPr>
          <w:p>
            <w:pPr>
              <w:jc w:val="right"/>
              <w:ind w:right="2455"/>
              <w:spacing w:after="0"/>
              <w:rPr>
                <w:sz w:val="20"/>
                <w:szCs w:val="20"/>
                <w:color w:val="auto"/>
              </w:rPr>
            </w:pPr>
            <w:r>
              <w:rPr>
                <w:rFonts w:ascii="Times New Roman" w:cs="Times New Roman" w:eastAsia="Times New Roman" w:hAnsi="Times New Roman"/>
                <w:sz w:val="14"/>
                <w:szCs w:val="14"/>
                <w:b w:val="1"/>
                <w:bCs w:val="1"/>
                <w:color w:val="auto"/>
              </w:rPr>
              <w:t>10022</w:t>
            </w:r>
          </w:p>
        </w:tc>
        <w:tc>
          <w:tcPr>
            <w:tcW w:w="0" w:type="dxa"/>
            <w:vAlign w:val="bottom"/>
          </w:tcPr>
          <w:p>
            <w:pPr>
              <w:spacing w:after="0"/>
              <w:rPr>
                <w:sz w:val="1"/>
                <w:szCs w:val="1"/>
                <w:color w:val="auto"/>
              </w:rPr>
            </w:pPr>
          </w:p>
        </w:tc>
      </w:tr>
      <w:tr>
        <w:trPr>
          <w:trHeight w:val="67"/>
        </w:trPr>
        <w:tc>
          <w:tcPr>
            <w:tcW w:w="3860" w:type="dxa"/>
            <w:vAlign w:val="bottom"/>
          </w:tcPr>
          <w:p>
            <w:pPr>
              <w:spacing w:after="0"/>
              <w:rPr>
                <w:sz w:val="5"/>
                <w:szCs w:val="5"/>
                <w:color w:val="auto"/>
              </w:rPr>
            </w:pPr>
          </w:p>
        </w:tc>
        <w:tc>
          <w:tcPr>
            <w:tcW w:w="3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3860" w:type="dxa"/>
            <w:vAlign w:val="bottom"/>
          </w:tcPr>
          <w:p>
            <w:pPr>
              <w:jc w:val="center"/>
              <w:ind w:left="1701"/>
              <w:spacing w:after="0"/>
              <w:rPr>
                <w:sz w:val="20"/>
                <w:szCs w:val="20"/>
                <w:color w:val="auto"/>
              </w:rPr>
            </w:pPr>
            <w:r>
              <w:rPr>
                <w:rFonts w:ascii="Times New Roman" w:cs="Times New Roman" w:eastAsia="Times New Roman" w:hAnsi="Times New Roman"/>
                <w:sz w:val="12"/>
                <w:szCs w:val="12"/>
                <w:b w:val="1"/>
                <w:bCs w:val="1"/>
                <w:color w:val="auto"/>
                <w:w w:val="96"/>
              </w:rPr>
              <w:t>(Address of principal executive offices)</w:t>
            </w:r>
          </w:p>
        </w:tc>
        <w:tc>
          <w:tcPr>
            <w:tcW w:w="3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tcPr>
          <w:p>
            <w:pPr>
              <w:jc w:val="center"/>
              <w:ind w:right="2315"/>
              <w:spacing w:after="0"/>
              <w:rPr>
                <w:sz w:val="20"/>
                <w:szCs w:val="20"/>
                <w:color w:val="auto"/>
              </w:rPr>
            </w:pPr>
            <w:r>
              <w:rPr>
                <w:rFonts w:ascii="Times New Roman" w:cs="Times New Roman" w:eastAsia="Times New Roman" w:hAnsi="Times New Roman"/>
                <w:sz w:val="12"/>
                <w:szCs w:val="12"/>
                <w:b w:val="1"/>
                <w:bCs w:val="1"/>
                <w:color w:val="auto"/>
                <w:w w:val="96"/>
              </w:rPr>
              <w:t>(Zip Code)</w:t>
            </w:r>
          </w:p>
        </w:tc>
        <w:tc>
          <w:tcPr>
            <w:tcW w:w="0" w:type="dxa"/>
            <w:vAlign w:val="bottom"/>
          </w:tcPr>
          <w:p>
            <w:pPr>
              <w:spacing w:after="0"/>
              <w:rPr>
                <w:sz w:val="1"/>
                <w:szCs w:val="1"/>
                <w:color w:val="auto"/>
              </w:rPr>
            </w:pPr>
          </w:p>
        </w:tc>
      </w:tr>
      <w:tr>
        <w:trPr>
          <w:trHeight w:val="280"/>
        </w:trPr>
        <w:tc>
          <w:tcPr>
            <w:tcW w:w="3860" w:type="dxa"/>
            <w:vAlign w:val="bottom"/>
          </w:tcPr>
          <w:p>
            <w:pPr>
              <w:spacing w:after="0"/>
              <w:rPr>
                <w:sz w:val="24"/>
                <w:szCs w:val="24"/>
                <w:color w:val="auto"/>
              </w:rPr>
            </w:pPr>
          </w:p>
        </w:tc>
        <w:tc>
          <w:tcPr>
            <w:tcW w:w="3000" w:type="dxa"/>
            <w:vAlign w:val="bottom"/>
          </w:tcPr>
          <w:p>
            <w:pPr>
              <w:jc w:val="center"/>
              <w:ind w:left="467"/>
              <w:spacing w:after="0"/>
              <w:rPr>
                <w:sz w:val="20"/>
                <w:szCs w:val="20"/>
                <w:color w:val="auto"/>
              </w:rPr>
            </w:pPr>
            <w:r>
              <w:rPr>
                <w:rFonts w:ascii="Times New Roman" w:cs="Times New Roman" w:eastAsia="Times New Roman" w:hAnsi="Times New Roman"/>
                <w:sz w:val="14"/>
                <w:szCs w:val="14"/>
                <w:b w:val="1"/>
                <w:bCs w:val="1"/>
                <w:color w:val="auto"/>
              </w:rPr>
              <w:t>(212) 905-1000</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354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6"/>
              </w:rPr>
              <w:t>(Registrant’s Telephone Number, Including Area Code)</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386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3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00" w:type="dxa"/>
            <w:vAlign w:val="bottom"/>
          </w:tcPr>
          <w:p>
            <w:pPr>
              <w:spacing w:after="0"/>
              <w:rPr>
                <w:sz w:val="22"/>
                <w:szCs w:val="22"/>
                <w:color w:val="auto"/>
              </w:rPr>
            </w:pPr>
          </w:p>
        </w:tc>
        <w:tc>
          <w:tcPr>
            <w:tcW w:w="3540" w:type="dxa"/>
            <w:vAlign w:val="bottom"/>
            <w:gridSpan w:val="2"/>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8"/>
        </w:trPr>
        <w:tc>
          <w:tcPr>
            <w:tcW w:w="3860" w:type="dxa"/>
            <w:vAlign w:val="bottom"/>
          </w:tcPr>
          <w:p>
            <w:pPr>
              <w:jc w:val="center"/>
              <w:ind w:right="41"/>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7"/>
              </w:rPr>
              <w:t>PFLT</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0" w:type="dxa"/>
            <w:vAlign w:val="bottom"/>
          </w:tcPr>
          <w:p>
            <w:pPr>
              <w:jc w:val="center"/>
              <w:ind w:right="715"/>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109" w:lineRule="exact"/>
        <w:rPr>
          <w:sz w:val="24"/>
          <w:szCs w:val="24"/>
          <w:color w:val="auto"/>
        </w:rPr>
      </w:pPr>
    </w:p>
    <w:p>
      <w:pPr>
        <w:jc w:val="both"/>
        <w:ind w:firstLine="467"/>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jc w:val="both"/>
        <w:ind w:firstLine="467"/>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right="180" w:firstLine="467"/>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00"/>
              <w:spacing w:after="0"/>
              <w:rPr>
                <w:sz w:val="20"/>
                <w:szCs w:val="20"/>
                <w:color w:val="auto"/>
              </w:rPr>
            </w:pPr>
            <w:r>
              <w:rPr>
                <w:rFonts w:ascii="Times New Roman" w:cs="Times New Roman" w:eastAsia="Times New Roman" w:hAnsi="Times New Roman"/>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08" w:lineRule="exact"/>
        <w:rPr>
          <w:sz w:val="24"/>
          <w:szCs w:val="24"/>
          <w:color w:val="auto"/>
        </w:rPr>
      </w:pPr>
    </w:p>
    <w:p>
      <w:pPr>
        <w:jc w:val="both"/>
        <w:ind w:right="100" w:firstLine="468"/>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8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9"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color w:val="auto"/>
        </w:rPr>
        <w:t>The number of shares of the registrant’s common stock, $0.001 par value per share, outstanding as of February 9, 2021 was 38,772,074.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FORM 10-Q FOR THE QUARTER ENDED DECEMBER 31, 2020</w:t>
      </w: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0" w:type="dxa"/>
            <w:vAlign w:val="bottom"/>
          </w:tcPr>
          <w:p>
            <w:pPr>
              <w:ind w:left="360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PART I. CONSOLIDATED FINANCIAL INFORMATION</w:t>
              </w:r>
            </w:hyperlink>
          </w:p>
        </w:tc>
        <w:tc>
          <w:tcPr>
            <w:tcW w:w="2040" w:type="dxa"/>
            <w:vAlign w:val="bottom"/>
          </w:tcPr>
          <w:p>
            <w:pPr>
              <w:spacing w:after="0"/>
              <w:rPr>
                <w:sz w:val="16"/>
                <w:szCs w:val="16"/>
                <w:color w:val="auto"/>
              </w:rPr>
            </w:pPr>
          </w:p>
        </w:tc>
      </w:tr>
      <w:tr>
        <w:trPr>
          <w:trHeight w:val="297"/>
        </w:trPr>
        <w:tc>
          <w:tcPr>
            <w:tcW w:w="9200" w:type="dxa"/>
            <w:vAlign w:val="bottom"/>
          </w:tcPr>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Item 1. Consolidated Financial Statements</w:t>
              </w:r>
            </w:hyperlink>
          </w:p>
        </w:tc>
        <w:tc>
          <w:tcPr>
            <w:tcW w:w="2040" w:type="dxa"/>
            <w:vAlign w:val="bottom"/>
          </w:tcPr>
          <w:p>
            <w:pPr>
              <w:spacing w:after="0"/>
              <w:rPr>
                <w:sz w:val="24"/>
                <w:szCs w:val="24"/>
                <w:color w:val="auto"/>
              </w:rPr>
            </w:pPr>
          </w:p>
        </w:tc>
      </w:tr>
      <w:tr>
        <w:trPr>
          <w:trHeight w:val="297"/>
        </w:trPr>
        <w:tc>
          <w:tcPr>
            <w:tcW w:w="9200" w:type="dxa"/>
            <w:vAlign w:val="bottom"/>
          </w:tcPr>
          <w:p>
            <w:pPr>
              <w:ind w:left="380"/>
              <w:spacing w:after="0"/>
              <w:rPr>
                <w:rFonts w:ascii="Times New Roman" w:cs="Times New Roman" w:eastAsia="Times New Roman" w:hAnsi="Times New Roman"/>
                <w:sz w:val="14"/>
                <w:szCs w:val="14"/>
                <w:u w:val="single" w:color="auto"/>
                <w:color w:val="0000EE"/>
              </w:rPr>
            </w:pPr>
            <w:hyperlink w:anchor="page4">
              <w:r>
                <w:rPr>
                  <w:rFonts w:ascii="Times New Roman" w:cs="Times New Roman" w:eastAsia="Times New Roman" w:hAnsi="Times New Roman"/>
                  <w:sz w:val="14"/>
                  <w:szCs w:val="14"/>
                  <w:u w:val="single" w:color="auto"/>
                  <w:color w:val="0000EE"/>
                </w:rPr>
                <w:t>Consolidated Statements of Assets and Liabilities as of December 31, 2020 (unaudited) and September 30, 2020</w:t>
              </w:r>
            </w:hyperlink>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97"/>
        </w:trPr>
        <w:tc>
          <w:tcPr>
            <w:tcW w:w="9200" w:type="dxa"/>
            <w:vAlign w:val="bottom"/>
          </w:tcPr>
          <w:p>
            <w:pPr>
              <w:ind w:left="380"/>
              <w:spacing w:after="0"/>
              <w:rPr>
                <w:rFonts w:ascii="Times New Roman" w:cs="Times New Roman" w:eastAsia="Times New Roman" w:hAnsi="Times New Roman"/>
                <w:sz w:val="14"/>
                <w:szCs w:val="14"/>
                <w:u w:val="single" w:color="auto"/>
                <w:color w:val="0000EE"/>
              </w:rPr>
            </w:pPr>
            <w:hyperlink w:anchor="page5">
              <w:r>
                <w:rPr>
                  <w:rFonts w:ascii="Times New Roman" w:cs="Times New Roman" w:eastAsia="Times New Roman" w:hAnsi="Times New Roman"/>
                  <w:sz w:val="14"/>
                  <w:szCs w:val="14"/>
                  <w:u w:val="single" w:color="auto"/>
                  <w:color w:val="0000EE"/>
                </w:rPr>
                <w:t>Consolidated Statements of Operations for the three months ended December 31, 2020 and 2019 (unaudited)</w:t>
              </w:r>
            </w:hyperlink>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97"/>
        </w:trPr>
        <w:tc>
          <w:tcPr>
            <w:tcW w:w="9200" w:type="dxa"/>
            <w:vAlign w:val="bottom"/>
          </w:tcPr>
          <w:p>
            <w:pPr>
              <w:ind w:left="380"/>
              <w:spacing w:after="0"/>
              <w:rPr>
                <w:rFonts w:ascii="Times New Roman" w:cs="Times New Roman" w:eastAsia="Times New Roman" w:hAnsi="Times New Roman"/>
                <w:sz w:val="14"/>
                <w:szCs w:val="14"/>
                <w:u w:val="single" w:color="auto"/>
                <w:color w:val="0000EE"/>
              </w:rPr>
            </w:pPr>
            <w:hyperlink w:anchor="page6">
              <w:r>
                <w:rPr>
                  <w:rFonts w:ascii="Times New Roman" w:cs="Times New Roman" w:eastAsia="Times New Roman" w:hAnsi="Times New Roman"/>
                  <w:sz w:val="14"/>
                  <w:szCs w:val="14"/>
                  <w:u w:val="single" w:color="auto"/>
                  <w:color w:val="0000EE"/>
                </w:rPr>
                <w:t>Consolidated Statements of Changes in Net Assets for the three months ended December 31, 2020 and 2019 (unaudited)</w:t>
              </w:r>
            </w:hyperlink>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97"/>
        </w:trPr>
        <w:tc>
          <w:tcPr>
            <w:tcW w:w="9200" w:type="dxa"/>
            <w:vAlign w:val="bottom"/>
          </w:tcPr>
          <w:p>
            <w:pPr>
              <w:ind w:left="380"/>
              <w:spacing w:after="0"/>
              <w:rPr>
                <w:rFonts w:ascii="Times New Roman" w:cs="Times New Roman" w:eastAsia="Times New Roman" w:hAnsi="Times New Roman"/>
                <w:sz w:val="14"/>
                <w:szCs w:val="14"/>
                <w:u w:val="single" w:color="auto"/>
                <w:color w:val="0000EE"/>
              </w:rPr>
            </w:pPr>
            <w:hyperlink w:anchor="page7">
              <w:r>
                <w:rPr>
                  <w:rFonts w:ascii="Times New Roman" w:cs="Times New Roman" w:eastAsia="Times New Roman" w:hAnsi="Times New Roman"/>
                  <w:sz w:val="14"/>
                  <w:szCs w:val="14"/>
                  <w:u w:val="single" w:color="auto"/>
                  <w:color w:val="0000EE"/>
                </w:rPr>
                <w:t>Consolidated Statements of Cash Flows for the three months ended December 31, 2020 and 2019 (unaudited)</w:t>
              </w:r>
            </w:hyperlink>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97"/>
        </w:trPr>
        <w:tc>
          <w:tcPr>
            <w:tcW w:w="9200" w:type="dxa"/>
            <w:vAlign w:val="bottom"/>
          </w:tcPr>
          <w:p>
            <w:pPr>
              <w:ind w:left="380"/>
              <w:spacing w:after="0"/>
              <w:rPr>
                <w:rFonts w:ascii="Times New Roman" w:cs="Times New Roman" w:eastAsia="Times New Roman" w:hAnsi="Times New Roman"/>
                <w:sz w:val="14"/>
                <w:szCs w:val="14"/>
                <w:u w:val="single" w:color="auto"/>
                <w:color w:val="0000EE"/>
              </w:rPr>
            </w:pPr>
            <w:hyperlink w:anchor="page8">
              <w:r>
                <w:rPr>
                  <w:rFonts w:ascii="Times New Roman" w:cs="Times New Roman" w:eastAsia="Times New Roman" w:hAnsi="Times New Roman"/>
                  <w:sz w:val="14"/>
                  <w:szCs w:val="14"/>
                  <w:u w:val="single" w:color="auto"/>
                  <w:color w:val="0000EE"/>
                </w:rPr>
                <w:t>Consolidated Schedules of Investments as of December 31, 2020 (unaudited) and September 30, 2020</w:t>
              </w:r>
            </w:hyperlink>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97"/>
        </w:trPr>
        <w:tc>
          <w:tcPr>
            <w:tcW w:w="9200" w:type="dxa"/>
            <w:vAlign w:val="bottom"/>
          </w:tcPr>
          <w:p>
            <w:pPr>
              <w:ind w:left="380"/>
              <w:spacing w:after="0"/>
              <w:rPr>
                <w:rFonts w:ascii="Times New Roman" w:cs="Times New Roman" w:eastAsia="Times New Roman" w:hAnsi="Times New Roman"/>
                <w:sz w:val="14"/>
                <w:szCs w:val="14"/>
                <w:u w:val="single" w:color="auto"/>
                <w:color w:val="0000EE"/>
              </w:rPr>
            </w:pPr>
            <w:hyperlink w:anchor="page16">
              <w:r>
                <w:rPr>
                  <w:rFonts w:ascii="Times New Roman" w:cs="Times New Roman" w:eastAsia="Times New Roman" w:hAnsi="Times New Roman"/>
                  <w:sz w:val="14"/>
                  <w:szCs w:val="14"/>
                  <w:u w:val="single" w:color="auto"/>
                  <w:color w:val="0000EE"/>
                </w:rPr>
                <w:t>Notes to Consolidated Financial Statements (unaudited)</w:t>
              </w:r>
            </w:hyperlink>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97"/>
        </w:trPr>
        <w:tc>
          <w:tcPr>
            <w:tcW w:w="9200" w:type="dxa"/>
            <w:vAlign w:val="bottom"/>
          </w:tcPr>
          <w:p>
            <w:pPr>
              <w:ind w:left="380"/>
              <w:spacing w:after="0"/>
              <w:rPr>
                <w:rFonts w:ascii="Times New Roman" w:cs="Times New Roman" w:eastAsia="Times New Roman" w:hAnsi="Times New Roman"/>
                <w:sz w:val="14"/>
                <w:szCs w:val="14"/>
                <w:u w:val="single" w:color="auto"/>
                <w:color w:val="0000EE"/>
              </w:rPr>
            </w:pPr>
            <w:hyperlink w:anchor="page32">
              <w:r>
                <w:rPr>
                  <w:rFonts w:ascii="Times New Roman" w:cs="Times New Roman" w:eastAsia="Times New Roman" w:hAnsi="Times New Roman"/>
                  <w:sz w:val="14"/>
                  <w:szCs w:val="14"/>
                  <w:u w:val="single" w:color="auto"/>
                  <w:color w:val="0000EE"/>
                </w:rPr>
                <w:t>Report of Independent Registered Public Accounting Firm</w:t>
              </w:r>
            </w:hyperlink>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97"/>
        </w:trPr>
        <w:tc>
          <w:tcPr>
            <w:tcW w:w="9200" w:type="dxa"/>
            <w:vAlign w:val="bottom"/>
          </w:tcPr>
          <w:p>
            <w:pPr>
              <w:ind w:left="20"/>
              <w:spacing w:after="0"/>
              <w:rPr>
                <w:rFonts w:ascii="Times New Roman" w:cs="Times New Roman" w:eastAsia="Times New Roman" w:hAnsi="Times New Roman"/>
                <w:sz w:val="14"/>
                <w:szCs w:val="14"/>
                <w:b w:val="1"/>
                <w:bCs w:val="1"/>
                <w:u w:val="single" w:color="auto"/>
                <w:color w:val="0000EE"/>
              </w:rPr>
            </w:pPr>
            <w:hyperlink w:anchor="page33">
              <w:r>
                <w:rPr>
                  <w:rFonts w:ascii="Times New Roman" w:cs="Times New Roman" w:eastAsia="Times New Roman" w:hAnsi="Times New Roman"/>
                  <w:sz w:val="14"/>
                  <w:szCs w:val="14"/>
                  <w:b w:val="1"/>
                  <w:bCs w:val="1"/>
                  <w:u w:val="single" w:color="auto"/>
                  <w:color w:val="0000EE"/>
                </w:rPr>
                <w:t>Item 2. Management’s Discussion and Analysis of Financial Condition and Results of Operations</w:t>
              </w:r>
            </w:hyperlink>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97"/>
        </w:trPr>
        <w:tc>
          <w:tcPr>
            <w:tcW w:w="9200" w:type="dxa"/>
            <w:vAlign w:val="bottom"/>
          </w:tcPr>
          <w:p>
            <w:pPr>
              <w:ind w:left="20"/>
              <w:spacing w:after="0"/>
              <w:rPr>
                <w:rFonts w:ascii="Times New Roman" w:cs="Times New Roman" w:eastAsia="Times New Roman" w:hAnsi="Times New Roman"/>
                <w:sz w:val="14"/>
                <w:szCs w:val="14"/>
                <w:b w:val="1"/>
                <w:bCs w:val="1"/>
                <w:u w:val="single" w:color="auto"/>
                <w:color w:val="0000EE"/>
              </w:rPr>
            </w:pPr>
            <w:hyperlink w:anchor="page46">
              <w:r>
                <w:rPr>
                  <w:rFonts w:ascii="Times New Roman" w:cs="Times New Roman" w:eastAsia="Times New Roman" w:hAnsi="Times New Roman"/>
                  <w:sz w:val="14"/>
                  <w:szCs w:val="14"/>
                  <w:b w:val="1"/>
                  <w:bCs w:val="1"/>
                  <w:u w:val="single" w:color="auto"/>
                  <w:color w:val="0000EE"/>
                </w:rPr>
                <w:t>Item 3. Quantitative and Qualitative Disclosures About Market Risk</w:t>
              </w:r>
            </w:hyperlink>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97"/>
        </w:trPr>
        <w:tc>
          <w:tcPr>
            <w:tcW w:w="9200" w:type="dxa"/>
            <w:vAlign w:val="bottom"/>
          </w:tcPr>
          <w:p>
            <w:pPr>
              <w:ind w:left="20"/>
              <w:spacing w:after="0"/>
              <w:rPr>
                <w:rFonts w:ascii="Times New Roman" w:cs="Times New Roman" w:eastAsia="Times New Roman" w:hAnsi="Times New Roman"/>
                <w:sz w:val="14"/>
                <w:szCs w:val="14"/>
                <w:b w:val="1"/>
                <w:bCs w:val="1"/>
                <w:u w:val="single" w:color="auto"/>
                <w:color w:val="0000EE"/>
              </w:rPr>
            </w:pPr>
            <w:hyperlink w:anchor="page46">
              <w:r>
                <w:rPr>
                  <w:rFonts w:ascii="Times New Roman" w:cs="Times New Roman" w:eastAsia="Times New Roman" w:hAnsi="Times New Roman"/>
                  <w:sz w:val="14"/>
                  <w:szCs w:val="14"/>
                  <w:b w:val="1"/>
                  <w:bCs w:val="1"/>
                  <w:u w:val="single" w:color="auto"/>
                  <w:color w:val="0000EE"/>
                </w:rPr>
                <w:t>Item 4. Controls and Procedures</w:t>
              </w:r>
            </w:hyperlink>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97"/>
        </w:trPr>
        <w:tc>
          <w:tcPr>
            <w:tcW w:w="9200" w:type="dxa"/>
            <w:vAlign w:val="bottom"/>
          </w:tcPr>
          <w:p>
            <w:pPr>
              <w:ind w:left="4320"/>
              <w:spacing w:after="0"/>
              <w:rPr>
                <w:rFonts w:ascii="Times New Roman" w:cs="Times New Roman" w:eastAsia="Times New Roman" w:hAnsi="Times New Roman"/>
                <w:sz w:val="14"/>
                <w:szCs w:val="14"/>
                <w:b w:val="1"/>
                <w:bCs w:val="1"/>
                <w:u w:val="single" w:color="auto"/>
                <w:color w:val="0000EE"/>
              </w:rPr>
            </w:pPr>
            <w:hyperlink w:anchor="page47">
              <w:r>
                <w:rPr>
                  <w:rFonts w:ascii="Times New Roman" w:cs="Times New Roman" w:eastAsia="Times New Roman" w:hAnsi="Times New Roman"/>
                  <w:sz w:val="14"/>
                  <w:szCs w:val="14"/>
                  <w:b w:val="1"/>
                  <w:bCs w:val="1"/>
                  <w:u w:val="single" w:color="auto"/>
                  <w:color w:val="0000EE"/>
                </w:rPr>
                <w:t>PART II. OTHER INFORMATION</w:t>
              </w:r>
            </w:hyperlink>
          </w:p>
        </w:tc>
        <w:tc>
          <w:tcPr>
            <w:tcW w:w="2040" w:type="dxa"/>
            <w:vAlign w:val="bottom"/>
          </w:tcPr>
          <w:p>
            <w:pPr>
              <w:spacing w:after="0"/>
              <w:rPr>
                <w:sz w:val="24"/>
                <w:szCs w:val="24"/>
                <w:color w:val="auto"/>
              </w:rPr>
            </w:pPr>
          </w:p>
        </w:tc>
      </w:tr>
      <w:tr>
        <w:trPr>
          <w:trHeight w:val="297"/>
        </w:trPr>
        <w:tc>
          <w:tcPr>
            <w:tcW w:w="9200" w:type="dxa"/>
            <w:vAlign w:val="bottom"/>
          </w:tcPr>
          <w:p>
            <w:pPr>
              <w:ind w:left="20"/>
              <w:spacing w:after="0"/>
              <w:rPr>
                <w:rFonts w:ascii="Times New Roman" w:cs="Times New Roman" w:eastAsia="Times New Roman" w:hAnsi="Times New Roman"/>
                <w:sz w:val="14"/>
                <w:szCs w:val="14"/>
                <w:b w:val="1"/>
                <w:bCs w:val="1"/>
                <w:u w:val="single" w:color="auto"/>
                <w:color w:val="0000EE"/>
              </w:rPr>
            </w:pPr>
            <w:hyperlink w:anchor="page47">
              <w:r>
                <w:rPr>
                  <w:rFonts w:ascii="Times New Roman" w:cs="Times New Roman" w:eastAsia="Times New Roman" w:hAnsi="Times New Roman"/>
                  <w:sz w:val="14"/>
                  <w:szCs w:val="14"/>
                  <w:b w:val="1"/>
                  <w:bCs w:val="1"/>
                  <w:u w:val="single" w:color="auto"/>
                  <w:color w:val="0000EE"/>
                </w:rPr>
                <w:t>Item 1. Legal Proceedings</w:t>
              </w:r>
            </w:hyperlink>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97"/>
        </w:trPr>
        <w:tc>
          <w:tcPr>
            <w:tcW w:w="9200" w:type="dxa"/>
            <w:vAlign w:val="bottom"/>
          </w:tcPr>
          <w:p>
            <w:pPr>
              <w:ind w:left="20"/>
              <w:spacing w:after="0"/>
              <w:rPr>
                <w:rFonts w:ascii="Times New Roman" w:cs="Times New Roman" w:eastAsia="Times New Roman" w:hAnsi="Times New Roman"/>
                <w:sz w:val="14"/>
                <w:szCs w:val="14"/>
                <w:b w:val="1"/>
                <w:bCs w:val="1"/>
                <w:u w:val="single" w:color="auto"/>
                <w:color w:val="0000EE"/>
              </w:rPr>
            </w:pPr>
            <w:hyperlink w:anchor="page47">
              <w:r>
                <w:rPr>
                  <w:rFonts w:ascii="Times New Roman" w:cs="Times New Roman" w:eastAsia="Times New Roman" w:hAnsi="Times New Roman"/>
                  <w:sz w:val="14"/>
                  <w:szCs w:val="14"/>
                  <w:b w:val="1"/>
                  <w:bCs w:val="1"/>
                  <w:u w:val="single" w:color="auto"/>
                  <w:color w:val="0000EE"/>
                </w:rPr>
                <w:t>Item 1A. Risk Factors</w:t>
              </w:r>
            </w:hyperlink>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97"/>
        </w:trPr>
        <w:tc>
          <w:tcPr>
            <w:tcW w:w="9200" w:type="dxa"/>
            <w:vAlign w:val="bottom"/>
          </w:tcPr>
          <w:p>
            <w:pPr>
              <w:ind w:left="20"/>
              <w:spacing w:after="0"/>
              <w:rPr>
                <w:rFonts w:ascii="Times New Roman" w:cs="Times New Roman" w:eastAsia="Times New Roman" w:hAnsi="Times New Roman"/>
                <w:sz w:val="14"/>
                <w:szCs w:val="14"/>
                <w:b w:val="1"/>
                <w:bCs w:val="1"/>
                <w:u w:val="single" w:color="auto"/>
                <w:color w:val="0000EE"/>
              </w:rPr>
            </w:pPr>
            <w:hyperlink w:anchor="page47">
              <w:r>
                <w:rPr>
                  <w:rFonts w:ascii="Times New Roman" w:cs="Times New Roman" w:eastAsia="Times New Roman" w:hAnsi="Times New Roman"/>
                  <w:sz w:val="14"/>
                  <w:szCs w:val="14"/>
                  <w:b w:val="1"/>
                  <w:bCs w:val="1"/>
                  <w:u w:val="single" w:color="auto"/>
                  <w:color w:val="0000EE"/>
                </w:rPr>
                <w:t>Item 2. Unregistered Sales of Equity Securities and Use of Proceeds</w:t>
              </w:r>
            </w:hyperlink>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97"/>
        </w:trPr>
        <w:tc>
          <w:tcPr>
            <w:tcW w:w="9200" w:type="dxa"/>
            <w:vAlign w:val="bottom"/>
          </w:tcPr>
          <w:p>
            <w:pPr>
              <w:ind w:left="20"/>
              <w:spacing w:after="0"/>
              <w:rPr>
                <w:rFonts w:ascii="Times New Roman" w:cs="Times New Roman" w:eastAsia="Times New Roman" w:hAnsi="Times New Roman"/>
                <w:sz w:val="14"/>
                <w:szCs w:val="14"/>
                <w:b w:val="1"/>
                <w:bCs w:val="1"/>
                <w:u w:val="single" w:color="auto"/>
                <w:color w:val="0000EE"/>
              </w:rPr>
            </w:pPr>
            <w:hyperlink w:anchor="page47">
              <w:r>
                <w:rPr>
                  <w:rFonts w:ascii="Times New Roman" w:cs="Times New Roman" w:eastAsia="Times New Roman" w:hAnsi="Times New Roman"/>
                  <w:sz w:val="14"/>
                  <w:szCs w:val="14"/>
                  <w:b w:val="1"/>
                  <w:bCs w:val="1"/>
                  <w:u w:val="single" w:color="auto"/>
                  <w:color w:val="0000EE"/>
                </w:rPr>
                <w:t>Item 3. Defaults Upon Senior Securities</w:t>
              </w:r>
            </w:hyperlink>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97"/>
        </w:trPr>
        <w:tc>
          <w:tcPr>
            <w:tcW w:w="9200" w:type="dxa"/>
            <w:vAlign w:val="bottom"/>
          </w:tcPr>
          <w:p>
            <w:pPr>
              <w:ind w:left="20"/>
              <w:spacing w:after="0"/>
              <w:rPr>
                <w:rFonts w:ascii="Times New Roman" w:cs="Times New Roman" w:eastAsia="Times New Roman" w:hAnsi="Times New Roman"/>
                <w:sz w:val="14"/>
                <w:szCs w:val="14"/>
                <w:b w:val="1"/>
                <w:bCs w:val="1"/>
                <w:u w:val="single" w:color="auto"/>
                <w:color w:val="0000EE"/>
              </w:rPr>
            </w:pPr>
            <w:hyperlink w:anchor="page48">
              <w:r>
                <w:rPr>
                  <w:rFonts w:ascii="Times New Roman" w:cs="Times New Roman" w:eastAsia="Times New Roman" w:hAnsi="Times New Roman"/>
                  <w:sz w:val="14"/>
                  <w:szCs w:val="14"/>
                  <w:b w:val="1"/>
                  <w:bCs w:val="1"/>
                  <w:u w:val="single" w:color="auto"/>
                  <w:color w:val="0000EE"/>
                </w:rPr>
                <w:t>Item 4. Mine Safety Disclosures</w:t>
              </w:r>
            </w:hyperlink>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97"/>
        </w:trPr>
        <w:tc>
          <w:tcPr>
            <w:tcW w:w="9200" w:type="dxa"/>
            <w:vAlign w:val="bottom"/>
          </w:tcPr>
          <w:p>
            <w:pPr>
              <w:ind w:left="20"/>
              <w:spacing w:after="0"/>
              <w:rPr>
                <w:rFonts w:ascii="Times New Roman" w:cs="Times New Roman" w:eastAsia="Times New Roman" w:hAnsi="Times New Roman"/>
                <w:sz w:val="14"/>
                <w:szCs w:val="14"/>
                <w:b w:val="1"/>
                <w:bCs w:val="1"/>
                <w:u w:val="single" w:color="auto"/>
                <w:color w:val="0000EE"/>
              </w:rPr>
            </w:pPr>
            <w:hyperlink w:anchor="page48">
              <w:r>
                <w:rPr>
                  <w:rFonts w:ascii="Times New Roman" w:cs="Times New Roman" w:eastAsia="Times New Roman" w:hAnsi="Times New Roman"/>
                  <w:sz w:val="14"/>
                  <w:szCs w:val="14"/>
                  <w:b w:val="1"/>
                  <w:bCs w:val="1"/>
                  <w:u w:val="single" w:color="auto"/>
                  <w:color w:val="0000EE"/>
                </w:rPr>
                <w:t>Item 5. Other Information</w:t>
              </w:r>
            </w:hyperlink>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97"/>
        </w:trPr>
        <w:tc>
          <w:tcPr>
            <w:tcW w:w="9200" w:type="dxa"/>
            <w:vAlign w:val="bottom"/>
          </w:tcPr>
          <w:p>
            <w:pPr>
              <w:ind w:left="20"/>
              <w:spacing w:after="0"/>
              <w:rPr>
                <w:rFonts w:ascii="Times New Roman" w:cs="Times New Roman" w:eastAsia="Times New Roman" w:hAnsi="Times New Roman"/>
                <w:sz w:val="14"/>
                <w:szCs w:val="14"/>
                <w:b w:val="1"/>
                <w:bCs w:val="1"/>
                <w:u w:val="single" w:color="auto"/>
                <w:color w:val="0000EE"/>
              </w:rPr>
            </w:pPr>
            <w:hyperlink w:anchor="page49">
              <w:r>
                <w:rPr>
                  <w:rFonts w:ascii="Times New Roman" w:cs="Times New Roman" w:eastAsia="Times New Roman" w:hAnsi="Times New Roman"/>
                  <w:sz w:val="14"/>
                  <w:szCs w:val="14"/>
                  <w:b w:val="1"/>
                  <w:bCs w:val="1"/>
                  <w:u w:val="single" w:color="auto"/>
                  <w:color w:val="0000EE"/>
                </w:rPr>
                <w:t>Item 6. Exhibits</w:t>
              </w:r>
            </w:hyperlink>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97"/>
        </w:trPr>
        <w:tc>
          <w:tcPr>
            <w:tcW w:w="9200" w:type="dxa"/>
            <w:vAlign w:val="bottom"/>
          </w:tcPr>
          <w:p>
            <w:pPr>
              <w:ind w:left="20"/>
              <w:spacing w:after="0"/>
              <w:rPr>
                <w:rFonts w:ascii="Times New Roman" w:cs="Times New Roman" w:eastAsia="Times New Roman" w:hAnsi="Times New Roman"/>
                <w:sz w:val="14"/>
                <w:szCs w:val="14"/>
                <w:b w:val="1"/>
                <w:bCs w:val="1"/>
                <w:u w:val="single" w:color="auto"/>
                <w:color w:val="0000EE"/>
              </w:rPr>
            </w:pPr>
            <w:hyperlink w:anchor="page50">
              <w:r>
                <w:rPr>
                  <w:rFonts w:ascii="Times New Roman" w:cs="Times New Roman" w:eastAsia="Times New Roman" w:hAnsi="Times New Roman"/>
                  <w:sz w:val="14"/>
                  <w:szCs w:val="14"/>
                  <w:b w:val="1"/>
                  <w:bCs w:val="1"/>
                  <w:u w:val="single" w:color="auto"/>
                  <w:color w:val="0000EE"/>
                </w:rPr>
                <w:t>SIGNATURES</w:t>
              </w:r>
            </w:hyperlink>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I—CONSOLIDATED FINANCIAL INFORMATION</w:t>
      </w:r>
    </w:p>
    <w:p>
      <w:pPr>
        <w:spacing w:after="0" w:line="273" w:lineRule="exact"/>
        <w:rPr>
          <w:sz w:val="20"/>
          <w:szCs w:val="20"/>
          <w:color w:val="auto"/>
        </w:rPr>
      </w:pPr>
    </w:p>
    <w:p>
      <w:pPr>
        <w:ind w:firstLine="438"/>
        <w:spacing w:after="0" w:line="153" w:lineRule="exact"/>
        <w:rPr>
          <w:sz w:val="20"/>
          <w:szCs w:val="20"/>
          <w:color w:val="auto"/>
        </w:rPr>
      </w:pPr>
      <w:r>
        <w:rPr>
          <w:rFonts w:ascii="Times New Roman" w:cs="Times New Roman" w:eastAsia="Times New Roman" w:hAnsi="Times New Roman"/>
          <w:sz w:val="14"/>
          <w:szCs w:val="14"/>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refers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4.3% Series A notes due 2023; “1940 Act” refers to the Investment Company Act of 1940, as amended; “SBCAA” refers to the Small Business Credit Availability Act; “Code” refers to the Internal Revenue Code of 1986, as amended; “RIC” refers to a regulated investment company under the Code; “BDC” refers to a business development company under the 1940 Act; “MCG” refers to MCG Capital Corporation; “Credit Facility” refers to our multi-currency senior secured revolving credit facility, as amended and restated with Truist Bank (formerly SunTrust Bank) and other lenders, or the Lenders;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Senior Secured Floating Rate Loans due 2031 by the Securitization Issuers in connection with the Debt Securitization; and “Depositor” refers to PennantPark CLO I Depositor, LLC. References to our portfolio, our investments, our Credit Facility, and our business include investments we make through our subsidiaries.</w:t>
      </w: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4"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0"/>
        </w:trPr>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7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 Financial Statements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80" w:type="dxa"/>
            <w:vAlign w:val="bottom"/>
          </w:tcPr>
          <w:p>
            <w:pPr>
              <w:spacing w:after="0"/>
              <w:rPr>
                <w:sz w:val="22"/>
                <w:szCs w:val="22"/>
                <w:color w:val="auto"/>
              </w:rPr>
            </w:pPr>
          </w:p>
        </w:tc>
        <w:tc>
          <w:tcPr>
            <w:tcW w:w="8880" w:type="dxa"/>
            <w:vAlign w:val="bottom"/>
            <w:gridSpan w:val="4"/>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16"/>
                <w:szCs w:val="16"/>
                <w:color w:val="auto"/>
              </w:rPr>
            </w:pPr>
          </w:p>
        </w:tc>
        <w:tc>
          <w:tcPr>
            <w:tcW w:w="7180" w:type="dxa"/>
            <w:vAlign w:val="bottom"/>
            <w:gridSpan w:val="2"/>
          </w:tcPr>
          <w:p>
            <w:pPr>
              <w:jc w:val="center"/>
              <w:ind w:left="2628"/>
              <w:spacing w:after="0"/>
              <w:rPr>
                <w:sz w:val="20"/>
                <w:szCs w:val="20"/>
                <w:color w:val="auto"/>
              </w:rPr>
            </w:pPr>
            <w:r>
              <w:rPr>
                <w:rFonts w:ascii="Times New Roman" w:cs="Times New Roman" w:eastAsia="Times New Roman" w:hAnsi="Times New Roman"/>
                <w:sz w:val="14"/>
                <w:szCs w:val="14"/>
                <w:b w:val="1"/>
                <w:bCs w:val="1"/>
                <w:color w:val="auto"/>
              </w:rPr>
              <w:t>CONSOLIDATED STATEMENTS OF ASSETS AND LIABILITIES</w:t>
            </w: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6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8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Assets</w:t>
            </w:r>
          </w:p>
        </w:tc>
        <w:tc>
          <w:tcPr>
            <w:tcW w:w="704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42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Investments at fair value</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Non-controlled, non-affiliated investments (cost—$848,575,368 and $915,874,757, respectively)</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868,035,566</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910,552,309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Non-controlled, affiliated investments (cost—$22,908,099 and $21,964,181,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7,356,141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11,086,834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Controlled, affiliated investments (cost—$202,994,878 and $179,112,500, respectively)</w:t>
            </w: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191,953,675</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165,289,324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gridSpan w:val="2"/>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 of investments (cost—$1,074,478,345 and $1,116,951,438, respectively)</w:t>
            </w:r>
          </w:p>
        </w:tc>
        <w:tc>
          <w:tcPr>
            <w:tcW w:w="140" w:type="dxa"/>
            <w:vAlign w:val="bottom"/>
          </w:tcPr>
          <w:p>
            <w:pPr>
              <w:spacing w:after="0"/>
              <w:rPr>
                <w:sz w:val="13"/>
                <w:szCs w:val="13"/>
                <w:color w:val="auto"/>
              </w:rPr>
            </w:pPr>
          </w:p>
        </w:tc>
        <w:tc>
          <w:tcPr>
            <w:tcW w:w="14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1,067,345,382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1,086,928,467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Cash and cash equivalents (cost—$28,487,798 and $57,534,421, respectively)</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28,488,111</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57,511,928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receivable</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2,820,458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3,673,502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186,656</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173,318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 w:type="dxa"/>
            <w:vAlign w:val="bottom"/>
            <w:tcBorders>
              <w:bottom w:val="single" w:sz="8" w:color="CCECFF"/>
            </w:tcBorders>
          </w:tcPr>
          <w:p>
            <w:pPr>
              <w:spacing w:after="0"/>
              <w:rPr>
                <w:sz w:val="13"/>
                <w:szCs w:val="13"/>
                <w:color w:val="auto"/>
              </w:rPr>
            </w:pPr>
          </w:p>
        </w:tc>
        <w:tc>
          <w:tcPr>
            <w:tcW w:w="7040" w:type="dxa"/>
            <w:vAlign w:val="bottom"/>
            <w:tcBorders>
              <w:bottom w:val="single" w:sz="8" w:color="CCECFF"/>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1,098,840,607</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1,148,287,215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70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4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Distributions payable</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3,683,347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3,683,347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9,578,076</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Credit Facility payable, at fair value (cost—$256,900,000 and $308,598,500, respectively) (See Notes 5 and 10)</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253,303,400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299,047,275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2023 Notes payable, at fair value (par—$117,792,879 and $138,579,858, respectively) (See Notes 5 and 10)</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106,567,218</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129,295,008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2031 Asset-Backed Debt, net (par—$228,000,000 and $228,000,000, respectively) (See Notes 5 and 10)</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225,024,045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224,866,334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Interest payable on debt</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1,891,525</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3,601,479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Base management fee payable (See Note 3)</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2,716,172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2,776,477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Performance-based incentive fee payable (See Note 3)</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1,761,874</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2,071,622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4"/>
                <w:szCs w:val="14"/>
                <w:color w:val="auto"/>
              </w:rPr>
              <w:t>Accrued other expenses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1,964,011</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1,875,281</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 w:type="dxa"/>
            <w:vAlign w:val="bottom"/>
            <w:shd w:val="clear" w:color="auto" w:fill="CCECFF"/>
          </w:tcPr>
          <w:p>
            <w:pPr>
              <w:spacing w:after="0"/>
              <w:rPr>
                <w:sz w:val="13"/>
                <w:szCs w:val="13"/>
                <w:color w:val="auto"/>
              </w:rPr>
            </w:pPr>
          </w:p>
        </w:tc>
        <w:tc>
          <w:tcPr>
            <w:tcW w:w="7040" w:type="dxa"/>
            <w:vAlign w:val="bottom"/>
            <w:shd w:val="clear" w:color="auto" w:fill="CCECFF"/>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606,489,668</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671,016,823</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Commitments and contingencies (See Note 11)</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70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72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Common stock, 38,772,074 shares issued and outstanding Par value $0.001 per share and 100,000,000</w:t>
            </w:r>
          </w:p>
        </w:tc>
        <w:tc>
          <w:tcPr>
            <w:tcW w:w="14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38,772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38,772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shares authorized</w:t>
            </w:r>
          </w:p>
        </w:tc>
        <w:tc>
          <w:tcPr>
            <w:tcW w:w="1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Paid-in capital in excess of par value</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538,151,528</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538,151,528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Accumulated distributable net loss</w:t>
            </w:r>
          </w:p>
        </w:tc>
        <w:tc>
          <w:tcPr>
            <w:tcW w:w="140" w:type="dxa"/>
            <w:vAlign w:val="bottom"/>
          </w:tcPr>
          <w:p>
            <w:pPr>
              <w:spacing w:after="0"/>
              <w:rPr>
                <w:sz w:val="14"/>
                <w:szCs w:val="14"/>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(45,839,361)</w:t>
            </w:r>
          </w:p>
        </w:tc>
        <w:tc>
          <w:tcPr>
            <w:tcW w:w="120" w:type="dxa"/>
            <w:vAlign w:val="bottom"/>
          </w:tcPr>
          <w:p>
            <w:pPr>
              <w:spacing w:after="0"/>
              <w:rPr>
                <w:sz w:val="14"/>
                <w:szCs w:val="14"/>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(60,919,908)</w:t>
            </w:r>
          </w:p>
        </w:tc>
        <w:tc>
          <w:tcPr>
            <w:tcW w:w="0" w:type="dxa"/>
            <w:vAlign w:val="bottom"/>
          </w:tcPr>
          <w:p>
            <w:pPr>
              <w:spacing w:after="0"/>
              <w:rPr>
                <w:sz w:val="1"/>
                <w:szCs w:val="1"/>
                <w:color w:val="auto"/>
              </w:rPr>
            </w:pPr>
          </w:p>
        </w:tc>
      </w:tr>
      <w:tr>
        <w:trPr>
          <w:trHeight w:val="155"/>
        </w:trPr>
        <w:tc>
          <w:tcPr>
            <w:tcW w:w="680" w:type="dxa"/>
            <w:vAlign w:val="bottom"/>
            <w:tcBorders>
              <w:top w:val="single" w:sz="8" w:color="CCECFF"/>
            </w:tcBorders>
            <w:shd w:val="clear" w:color="auto" w:fill="CCECFF"/>
          </w:tcPr>
          <w:p>
            <w:pPr>
              <w:spacing w:after="0"/>
              <w:rPr>
                <w:sz w:val="13"/>
                <w:szCs w:val="13"/>
                <w:color w:val="auto"/>
              </w:rPr>
            </w:pPr>
          </w:p>
        </w:tc>
        <w:tc>
          <w:tcPr>
            <w:tcW w:w="7040" w:type="dxa"/>
            <w:vAlign w:val="bottom"/>
            <w:tcBorders>
              <w:top w:val="single" w:sz="8" w:color="CCECFF"/>
            </w:tcBorders>
            <w:shd w:val="clear" w:color="auto" w:fill="CCECFF"/>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Total net assets</w:t>
            </w:r>
          </w:p>
        </w:tc>
        <w:tc>
          <w:tcPr>
            <w:tcW w:w="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492,350,939</w:t>
            </w: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477,270,392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80" w:type="dxa"/>
            <w:vAlign w:val="bottom"/>
            <w:tcBorders>
              <w:bottom w:val="single" w:sz="8" w:color="CCECFF"/>
            </w:tcBorders>
          </w:tcPr>
          <w:p>
            <w:pPr>
              <w:spacing w:after="0"/>
              <w:rPr>
                <w:sz w:val="17"/>
                <w:szCs w:val="17"/>
                <w:color w:val="auto"/>
              </w:rPr>
            </w:pPr>
          </w:p>
        </w:tc>
        <w:tc>
          <w:tcPr>
            <w:tcW w:w="7040" w:type="dxa"/>
            <w:vAlign w:val="bottom"/>
            <w:tcBorders>
              <w:bottom w:val="single" w:sz="8" w:color="CCECFF"/>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1,098,840,607</w:t>
            </w:r>
          </w:p>
        </w:tc>
        <w:tc>
          <w:tcPr>
            <w:tcW w:w="28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1,148,287,215</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gridSpan w:val="2"/>
            <w:shd w:val="clear" w:color="auto" w:fill="CCEC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14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12.70</w:t>
            </w:r>
          </w:p>
        </w:tc>
        <w:tc>
          <w:tcPr>
            <w:tcW w:w="28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12.31</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Investment income:</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From non-controlled, non-affiliated investments:</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Interest</w:t>
            </w:r>
          </w:p>
        </w:tc>
        <w:tc>
          <w:tcPr>
            <w:tcW w:w="340" w:type="dxa"/>
            <w:vAlign w:val="bottom"/>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15,301,431</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18,909,894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881,785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773,103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From non-controlled, affiliated investments: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96,462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20,307</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From controlled, affiliated investments:</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Interest</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2,662,876</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3,155,324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Dividend</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195,630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20,733,491</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24,638,674</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Base management fee (See Note 3)</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2,716,172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2,830,159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Performance-based incentive fee (See Note 3)</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1,761,874</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2,315,834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and expenses on debt (See Note 10)</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5,341,340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7,307,264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Administrative services expenses (See Note 3)</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616,077</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Expenses before provision for taxes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10,519,386</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13,419,334</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Times New Roman" w:cs="Times New Roman" w:eastAsia="Times New Roman" w:hAnsi="Times New Roman"/>
                <w:sz w:val="14"/>
                <w:szCs w:val="14"/>
                <w:color w:val="auto"/>
              </w:rPr>
              <w:t>Provision for taxes</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3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10,619,386</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13,519,334</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10,114,105</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11,119,340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Realized and unrealized gain (loss) on investments and debt:</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Net realized (loss) gain on investments:</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(1,707,698)</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1,012,313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Controlled and non-controlled, affiliated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(1,052,048)</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7720" w:type="dxa"/>
            <w:vAlign w:val="bottom"/>
            <w:tcBorders>
              <w:top w:val="single" w:sz="8" w:color="CCECFF"/>
            </w:tcBorders>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realized (loss) gain on investments</w:t>
            </w:r>
          </w:p>
        </w:tc>
        <w:tc>
          <w:tcPr>
            <w:tcW w:w="340" w:type="dxa"/>
            <w:vAlign w:val="bottom"/>
            <w:tcBorders>
              <w:top w:val="single" w:sz="8" w:color="auto"/>
              <w:bottom w:val="single" w:sz="8" w:color="auto"/>
            </w:tcBorders>
            <w:shd w:val="clear" w:color="auto" w:fill="CCECFF"/>
          </w:tcPr>
          <w:p>
            <w:pPr>
              <w:spacing w:after="0"/>
              <w:rPr>
                <w:sz w:val="13"/>
                <w:szCs w:val="13"/>
                <w:color w:val="auto"/>
              </w:rPr>
            </w:pP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(2,759,746)</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1,012,313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change in unrealized appreciation (depreciation) on:</w:t>
            </w: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22,537,278</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2,379,358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Controlled and non-controlled, affiliated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252,766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(5,899,705)</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Debt (appreciation) depreciation (See Notes 5 and 10)</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(4,013,815)</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1,361,588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change in unrealized appreciation (depreciation) on investments and debt</w:t>
            </w: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18,776,229</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(2,158,759)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realized and unrealized gain (loss) from investments and debt</w:t>
            </w:r>
          </w:p>
        </w:tc>
        <w:tc>
          <w:tcPr>
            <w:tcW w:w="3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16,016,483</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(1,146,446)</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720" w:type="dxa"/>
            <w:vAlign w:val="bottom"/>
            <w:tcBorders>
              <w:bottom w:val="single" w:sz="8" w:color="CCEC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in net assets resulting from operations</w:t>
            </w:r>
          </w:p>
        </w:tc>
        <w:tc>
          <w:tcPr>
            <w:tcW w:w="34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26,130,588</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9,972,894</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spacing w:after="0" w:line="143" w:lineRule="exact"/>
              <w:rPr>
                <w:sz w:val="20"/>
                <w:szCs w:val="20"/>
                <w:color w:val="auto"/>
              </w:rPr>
            </w:pPr>
            <w:r>
              <w:rPr>
                <w:rFonts w:ascii="Times New Roman" w:cs="Times New Roman" w:eastAsia="Times New Roman" w:hAnsi="Times New Roman"/>
                <w:sz w:val="14"/>
                <w:szCs w:val="14"/>
                <w:color w:val="auto"/>
              </w:rPr>
              <w:t>Net increase in net assets resulting from operations per common share (See Note 7)</w:t>
            </w:r>
          </w:p>
        </w:tc>
        <w:tc>
          <w:tcPr>
            <w:tcW w:w="340" w:type="dxa"/>
            <w:vAlign w:val="bottom"/>
            <w:tcBorders>
              <w:bottom w:val="single" w:sz="8" w:color="auto"/>
            </w:tcBorders>
            <w:shd w:val="clear" w:color="auto" w:fill="CCECFF"/>
          </w:tcPr>
          <w:p>
            <w:pPr>
              <w:jc w:val="right"/>
              <w:ind w:right="18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0.67</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0.26</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investment income per common share</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40" w:type="dxa"/>
            <w:vAlign w:val="bottom"/>
            <w:tcBorders>
              <w:bottom w:val="single" w:sz="8" w:color="auto"/>
            </w:tcBorders>
          </w:tcPr>
          <w:p>
            <w:pPr>
              <w:jc w:val="right"/>
              <w:ind w:right="18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0.26</w:t>
            </w:r>
          </w:p>
        </w:tc>
        <w:tc>
          <w:tcPr>
            <w:tcW w:w="280" w:type="dxa"/>
            <w:vAlign w:val="bottom"/>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CONSOLIDATED STATEMENTS OF CHANGES IN NET ASSETS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155"/>
        </w:trPr>
        <w:tc>
          <w:tcPr>
            <w:tcW w:w="77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in net assets resulting from operations: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investment income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10,114,105</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11,119,340</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Net realized (loss) gain on investments</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(2,759,746)</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1,012,313</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22,790,044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(3,520,347)</w:t>
            </w:r>
          </w:p>
        </w:tc>
      </w:tr>
      <w:tr>
        <w:trPr>
          <w:trHeight w:val="162"/>
        </w:trPr>
        <w:tc>
          <w:tcPr>
            <w:tcW w:w="77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Net change in unrealized (appreciation) depreciation on debt</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(4,013,815)</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1,361,588</w:t>
            </w:r>
          </w:p>
        </w:tc>
        <w:tc>
          <w:tcPr>
            <w:tcW w:w="120" w:type="dxa"/>
            <w:vAlign w:val="bottom"/>
            <w:shd w:val="clear" w:color="auto" w:fill="CCECFF"/>
          </w:tcPr>
          <w:p>
            <w:pPr>
              <w:spacing w:after="0"/>
              <w:rPr>
                <w:sz w:val="14"/>
                <w:szCs w:val="14"/>
                <w:color w:val="auto"/>
              </w:rPr>
            </w:pPr>
          </w:p>
        </w:tc>
      </w:tr>
      <w:tr>
        <w:trPr>
          <w:trHeight w:val="156"/>
        </w:trPr>
        <w:tc>
          <w:tcPr>
            <w:tcW w:w="7720" w:type="dxa"/>
            <w:vAlign w:val="bottom"/>
            <w:tcBorders>
              <w:bottom w:val="single" w:sz="8" w:color="CCECFF"/>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in net assets resulting from operations</w:t>
            </w: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26,130,588</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9,972,894</w:t>
            </w:r>
          </w:p>
        </w:tc>
        <w:tc>
          <w:tcPr>
            <w:tcW w:w="120" w:type="dxa"/>
            <w:vAlign w:val="bottom"/>
            <w:tcBorders>
              <w:bottom w:val="single" w:sz="8" w:color="CCECFF"/>
            </w:tcBorders>
          </w:tcPr>
          <w:p>
            <w:pPr>
              <w:spacing w:after="0"/>
              <w:rPr>
                <w:sz w:val="13"/>
                <w:szCs w:val="13"/>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Distributions to stockholders</w:t>
            </w:r>
          </w:p>
        </w:tc>
        <w:tc>
          <w:tcPr>
            <w:tcW w:w="3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(11,050,041)</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(11,050,041)</w:t>
            </w:r>
          </w:p>
        </w:tc>
        <w:tc>
          <w:tcPr>
            <w:tcW w:w="120" w:type="dxa"/>
            <w:vAlign w:val="bottom"/>
            <w:shd w:val="clear" w:color="auto" w:fill="CCECFF"/>
          </w:tcPr>
          <w:p>
            <w:pPr>
              <w:spacing w:after="0"/>
              <w:rPr>
                <w:sz w:val="13"/>
                <w:szCs w:val="13"/>
                <w:color w:val="auto"/>
              </w:rPr>
            </w:pPr>
          </w:p>
        </w:tc>
      </w:tr>
      <w:tr>
        <w:trPr>
          <w:trHeight w:val="156"/>
        </w:trPr>
        <w:tc>
          <w:tcPr>
            <w:tcW w:w="7720" w:type="dxa"/>
            <w:vAlign w:val="bottom"/>
            <w:tcBorders>
              <w:bottom w:val="single" w:sz="8" w:color="CCEC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(decrease) in net assets</w:t>
            </w: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15,080,547</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(1,077,147)</w:t>
            </w:r>
          </w:p>
        </w:tc>
        <w:tc>
          <w:tcPr>
            <w:tcW w:w="120" w:type="dxa"/>
            <w:vAlign w:val="bottom"/>
            <w:tcBorders>
              <w:bottom w:val="single" w:sz="8" w:color="CCECFF"/>
            </w:tcBorders>
          </w:tcPr>
          <w:p>
            <w:pPr>
              <w:spacing w:after="0"/>
              <w:rPr>
                <w:sz w:val="13"/>
                <w:szCs w:val="13"/>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assets: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Times New Roman" w:cs="Times New Roman" w:eastAsia="Times New Roman" w:hAnsi="Times New Roman"/>
                <w:sz w:val="14"/>
                <w:szCs w:val="14"/>
                <w:color w:val="auto"/>
              </w:rPr>
              <w:t>Beginning of period</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477,270,392</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503,057,511</w:t>
            </w:r>
          </w:p>
        </w:tc>
        <w:tc>
          <w:tcPr>
            <w:tcW w:w="120" w:type="dxa"/>
            <w:vAlign w:val="bottom"/>
            <w:tcBorders>
              <w:bottom w:val="single" w:sz="8" w:color="CCECFF"/>
            </w:tcBorders>
          </w:tcPr>
          <w:p>
            <w:pPr>
              <w:spacing w:after="0"/>
              <w:rPr>
                <w:sz w:val="14"/>
                <w:szCs w:val="14"/>
                <w:color w:val="auto"/>
              </w:rPr>
            </w:pPr>
          </w:p>
        </w:tc>
      </w:tr>
      <w:tr>
        <w:trPr>
          <w:trHeight w:val="156"/>
        </w:trPr>
        <w:tc>
          <w:tcPr>
            <w:tcW w:w="7720" w:type="dxa"/>
            <w:vAlign w:val="bottom"/>
            <w:tcBorders>
              <w:bottom w:val="single" w:sz="8" w:color="CCECFF"/>
            </w:tcBorders>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color w:val="auto"/>
              </w:rPr>
              <w:t>End of period</w:t>
            </w: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492,350,939</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501,980,364</w:t>
            </w:r>
          </w:p>
        </w:tc>
        <w:tc>
          <w:tcPr>
            <w:tcW w:w="120" w:type="dxa"/>
            <w:vAlign w:val="bottom"/>
            <w:tcBorders>
              <w:bottom w:val="single" w:sz="8" w:color="CCECFF"/>
            </w:tcBorders>
            <w:shd w:val="clear" w:color="auto" w:fill="CCECFF"/>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increase in net assets resulting from operations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26,130,588</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9,972,894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720" w:type="dxa"/>
            <w:vAlign w:val="bottom"/>
            <w:shd w:val="clear" w:color="auto" w:fill="CCECFF"/>
          </w:tcPr>
          <w:p>
            <w:pPr>
              <w:ind w:left="260"/>
              <w:spacing w:after="0" w:line="139" w:lineRule="exact"/>
              <w:rPr>
                <w:sz w:val="20"/>
                <w:szCs w:val="20"/>
                <w:color w:val="auto"/>
              </w:rPr>
            </w:pPr>
            <w:r>
              <w:rPr>
                <w:rFonts w:ascii="Times New Roman" w:cs="Times New Roman" w:eastAsia="Times New Roman" w:hAnsi="Times New Roman"/>
                <w:sz w:val="14"/>
                <w:szCs w:val="14"/>
                <w:color w:val="auto"/>
              </w:rPr>
              <w:t>Adjustments to reconcile net increase in net assets resulting from operations to net cash</w:t>
            </w:r>
          </w:p>
        </w:tc>
        <w:tc>
          <w:tcPr>
            <w:tcW w:w="34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4"/>
                <w:szCs w:val="14"/>
                <w:color w:val="auto"/>
              </w:rPr>
              <w:t>provided (used) by operating activities: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(22,790,044)</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3,520,347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Net change in unrealized appreciation (depreciation) on debt</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4,013,815</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(1,361,588)</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realized loss (gain) on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2,759,746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(1,012,313)</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Net accretion of discount and amortization of premium</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(557,400)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(486,937)</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(66,964,523)</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(239,443,417)</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Payment-in-kind interest</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(1,522,805)</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(822,850)</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Proceeds from dispositions of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109,603,991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143,743,301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157,711</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72,101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Decrease in interest receivable</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853,044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747,597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Increase in receivable for investments sold</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(55,428,416)</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(Increase) decrease in prepaid expenses and other assets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(13,338)</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Increase in payable for investments purchased</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5,778,076</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73,423,853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(Decrease) increase in interest payable on debt</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(1,709,954)</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809,575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(Decrease) increase in base management fee payable</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(60,305)</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102,140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Decrease in performance-based incentive fee payable</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(309,748)</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(216,371)</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Increase in accrued other expenses</w:t>
            </w:r>
          </w:p>
        </w:tc>
        <w:tc>
          <w:tcPr>
            <w:tcW w:w="3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88,730</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253,496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Times New Roman" w:cs="Times New Roman" w:eastAsia="Times New Roman" w:hAnsi="Times New Roman"/>
                <w:sz w:val="14"/>
                <w:szCs w:val="14"/>
                <w:color w:val="auto"/>
              </w:rPr>
              <w:t>Net cash provided (used) by operating activities</w:t>
            </w: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55,457,584</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(66,088,011)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Distributions paid to stockholders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(11,050,041)</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(11,050,041)</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Repayments of 2023 Notes (See Notes 5 and 10)</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(20,786,979)</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Borrowings under Credit Facility (See Notes 5 and 10)</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Repayments under Credit Facility (See Notes 5 and 10)</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(79,198,500)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(16,000,000)</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Times New Roman" w:cs="Times New Roman" w:eastAsia="Times New Roman" w:hAnsi="Times New Roman"/>
                <w:sz w:val="14"/>
                <w:szCs w:val="14"/>
                <w:color w:val="auto"/>
              </w:rPr>
              <w:t>Net cash (used) provided by financing activities</w:t>
            </w: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(83,535,520)</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58,949,959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(28,077,936)</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(7,138,052)</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(945,881)</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3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57,511,928</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63,337,728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20" w:type="dxa"/>
            <w:vAlign w:val="bottom"/>
            <w:tcBorders>
              <w:bottom w:val="single" w:sz="8" w:color="CCEC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34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28,488,111</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56,292,541</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4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720" w:type="dxa"/>
            <w:vAlign w:val="bottom"/>
            <w:tcBorders>
              <w:bottom w:val="single" w:sz="8" w:color="CCECFF"/>
            </w:tcBorders>
          </w:tcPr>
          <w:p>
            <w:pPr>
              <w:ind w:left="260"/>
              <w:spacing w:after="0"/>
              <w:rPr>
                <w:sz w:val="20"/>
                <w:szCs w:val="20"/>
                <w:color w:val="auto"/>
              </w:rPr>
            </w:pPr>
            <w:r>
              <w:rPr>
                <w:rFonts w:ascii="Times New Roman" w:cs="Times New Roman" w:eastAsia="Times New Roman" w:hAnsi="Times New Roman"/>
                <w:sz w:val="14"/>
                <w:szCs w:val="14"/>
                <w:color w:val="auto"/>
              </w:rPr>
              <w:t>Interest paid</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6,893,583</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6,425,587</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Times New Roman" w:cs="Times New Roman" w:eastAsia="Times New Roman" w:hAnsi="Times New Roman"/>
                <w:sz w:val="14"/>
                <w:szCs w:val="14"/>
                <w:color w:val="auto"/>
              </w:rPr>
              <w:t>Taxes paid</w:t>
            </w:r>
          </w:p>
        </w:tc>
        <w:tc>
          <w:tcPr>
            <w:tcW w:w="340" w:type="dxa"/>
            <w:vAlign w:val="bottom"/>
            <w:tcBorders>
              <w:bottom w:val="single" w:sz="8" w:color="auto"/>
            </w:tcBorders>
            <w:shd w:val="clear" w:color="auto" w:fill="CCECFF"/>
          </w:tcPr>
          <w:p>
            <w:pPr>
              <w:jc w:val="right"/>
              <w:ind w:right="18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3,682</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37,086</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Non-cash exchanges and conversions</w:t>
            </w: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40" w:type="dxa"/>
            <w:vAlign w:val="bottom"/>
            <w:tcBorders>
              <w:top w:val="single" w:sz="8" w:color="auto"/>
              <w:bottom w:val="single" w:sz="8" w:color="auto"/>
            </w:tcBorders>
          </w:tcPr>
          <w:p>
            <w:pPr>
              <w:jc w:val="right"/>
              <w:ind w:right="18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20,334,379</w:t>
            </w:r>
          </w:p>
        </w:tc>
        <w:tc>
          <w:tcPr>
            <w:tcW w:w="2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2"/>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66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7"/>
        </w:trPr>
        <w:tc>
          <w:tcPr>
            <w:tcW w:w="3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800" w:type="dxa"/>
            <w:vAlign w:val="bottom"/>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(1)</w:t>
            </w: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40" w:type="dxa"/>
            <w:vAlign w:val="bottom"/>
          </w:tcPr>
          <w:p>
            <w:pPr>
              <w:spacing w:after="0"/>
              <w:rPr>
                <w:sz w:val="11"/>
                <w:szCs w:val="11"/>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7"/>
              </w:rPr>
              <w:t xml:space="preserve">Fair Value </w:t>
            </w:r>
            <w:r>
              <w:rPr>
                <w:rFonts w:ascii="Times New Roman" w:cs="Times New Roman" w:eastAsia="Times New Roman" w:hAnsi="Times New Roman"/>
                <w:sz w:val="9"/>
                <w:szCs w:val="9"/>
                <w:b w:val="1"/>
                <w:bCs w:val="1"/>
                <w:color w:val="auto"/>
                <w:w w:val="97"/>
              </w:rPr>
              <w:t>(2)</w:t>
            </w:r>
          </w:p>
        </w:tc>
      </w:tr>
      <w:tr>
        <w:trPr>
          <w:trHeight w:val="128"/>
        </w:trPr>
        <w:tc>
          <w:tcPr>
            <w:tcW w:w="4160" w:type="dxa"/>
            <w:vAlign w:val="bottom"/>
            <w:tcBorders>
              <w:top w:val="single" w:sz="8" w:color="auto"/>
            </w:tcBorders>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Investments in Non-Controlled, Non-Affiliated Portfolio Companies—176.3% </w:t>
            </w:r>
            <w:r>
              <w:rPr>
                <w:rFonts w:ascii="Times New Roman" w:cs="Times New Roman" w:eastAsia="Times New Roman" w:hAnsi="Times New Roman"/>
                <w:sz w:val="9"/>
                <w:szCs w:val="9"/>
                <w:b w:val="1"/>
                <w:bCs w:val="1"/>
                <w:color w:val="auto"/>
              </w:rPr>
              <w:t>(3), (4)</w:t>
            </w:r>
          </w:p>
        </w:tc>
        <w:tc>
          <w:tcPr>
            <w:tcW w:w="246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Debt—157.5%</w:t>
            </w: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18 Freemont Street Acquisition,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08/11/2025</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6,697,697</w:t>
            </w:r>
          </w:p>
        </w:tc>
        <w:tc>
          <w:tcPr>
            <w:tcW w:w="3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6,585,517</w:t>
            </w:r>
          </w:p>
        </w:tc>
        <w:tc>
          <w:tcPr>
            <w:tcW w:w="36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6,630,720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Altamira Technologies,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07/24/2025</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6,231,751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6,156,590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5,951,323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07/24/2025</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549,125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9"/>
                <w:szCs w:val="9"/>
                <w:color w:val="auto"/>
              </w:rPr>
              <w:t>(7), (9)</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07/24/2025</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1,581,250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(71,156)</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American Auto Auction Group,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01/02/2024</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Transportation: Consumer</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7,366,113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7,303,354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7,145,129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12/21/2023</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7"/>
              </w:rPr>
              <w:t>Building Products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14,737,640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14,551,784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14,516,575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American Teleconferencing Services, Ltd.</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06/08/2023</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9,646,899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9,551,068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8,103,395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Apex Service Partners,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07/31/2025</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10,396,314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10,296,575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10,396,314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Apex Service Partners, LLC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07/31/2021</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1,866,535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API Technologies Corp.</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05/11/2026</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4.40%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L+425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5,883,546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5,599,725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12/29/2026</w:t>
            </w:r>
          </w:p>
        </w:tc>
        <w:tc>
          <w:tcPr>
            <w:tcW w:w="258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9,545,455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9,331,335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9,330,682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9"/>
                <w:szCs w:val="9"/>
                <w:color w:val="auto"/>
              </w:rPr>
              <w:t>(7), (9)</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06/29/2022</w:t>
            </w: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3,181,818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12/29/2026</w:t>
            </w:r>
          </w:p>
        </w:tc>
        <w:tc>
          <w:tcPr>
            <w:tcW w:w="258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1,272,727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BEI Precision Systems &amp; Space Company, Inc.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04/28/2023</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11,580,000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11,506,491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11,522,100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05/16/2022</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28,618,332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28,489,487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28,618,332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By Light Professional IT Services, LLC (Revolver) </w:t>
            </w:r>
            <w:r>
              <w:rPr>
                <w:rFonts w:ascii="Times New Roman" w:cs="Times New Roman" w:eastAsia="Times New Roman" w:hAnsi="Times New Roman"/>
                <w:sz w:val="9"/>
                <w:szCs w:val="9"/>
                <w:color w:val="auto"/>
              </w:rPr>
              <w:t>(9)</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05/16/2022</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3,062,602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Cadence Aerospace, LLC </w:t>
            </w:r>
            <w:r>
              <w:rPr>
                <w:rFonts w:ascii="Times New Roman" w:cs="Times New Roman" w:eastAsia="Times New Roman" w:hAnsi="Times New Roman"/>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11/14/2023</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2,922,677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2,900,655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2,834,412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9.50%)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Cardenas Markets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11/29/2023</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3,785,592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3,788,605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3,690,952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CHA Holdings, Inc.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04/10/2025</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Environmental Industries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L+450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7,273,133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7,249,615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7,127,670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Challenger Performance Optimization, Inc. (Revolver) </w:t>
            </w:r>
            <w:r>
              <w:rPr>
                <w:rFonts w:ascii="Times New Roman" w:cs="Times New Roman" w:eastAsia="Times New Roman" w:hAnsi="Times New Roman"/>
                <w:sz w:val="9"/>
                <w:szCs w:val="9"/>
                <w:color w:val="auto"/>
              </w:rPr>
              <w:t>(7), (9)</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08/31/2023</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711,447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(39,130)</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Compex Legal Services, Inc.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02/09/2026</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7,711,197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7,569,066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7,476,777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9"/>
                <w:szCs w:val="9"/>
                <w:color w:val="auto"/>
              </w:rPr>
              <w:t>(7)</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02/07/2025</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983,962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983,962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954,050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02/07/2025</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421,698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(12,820)</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Confluent Health,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06/24/2026</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7"/>
              </w:rPr>
              <w:t>Health Providers and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5.15%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3,905,138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3,871,050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Datalot Inc.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01/24/2025</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Insurance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15,219,468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14,956,248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15,219,468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Datalot Inc. (Revolver) </w:t>
            </w:r>
            <w:r>
              <w:rPr>
                <w:rFonts w:ascii="Times New Roman" w:cs="Times New Roman" w:eastAsia="Times New Roman" w:hAnsi="Times New Roman"/>
                <w:sz w:val="9"/>
                <w:szCs w:val="9"/>
                <w:color w:val="auto"/>
              </w:rPr>
              <w:t>(7)</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9"/>
                <w:szCs w:val="9"/>
                <w:color w:val="auto"/>
              </w:rPr>
              <w:t>(9)</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01/24/2025</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Insurance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3,833,619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Digital Room Holdings, Inc.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05/22/2026</w:t>
            </w:r>
          </w:p>
        </w:tc>
        <w:tc>
          <w:tcPr>
            <w:tcW w:w="258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5.27%</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9,850,000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9,716,191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9,234,375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10/19/2022</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6,595,960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6,543,215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6,530,000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10/19/2022</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P+475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1,463,725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1,463,725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1,449,088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(Revolver)</w:t>
            </w: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10/19/2022</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2,927,451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(29,274)</w:t>
            </w:r>
          </w:p>
        </w:tc>
      </w:tr>
      <w:tr>
        <w:trPr>
          <w:trHeight w:val="135"/>
        </w:trPr>
        <w:tc>
          <w:tcPr>
            <w:tcW w:w="3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(Revolver) </w:t>
            </w:r>
            <w:r>
              <w:rPr>
                <w:rFonts w:ascii="Times New Roman" w:cs="Times New Roman" w:eastAsia="Times New Roman" w:hAnsi="Times New Roman"/>
                <w:sz w:val="9"/>
                <w:szCs w:val="9"/>
                <w:color w:val="auto"/>
              </w:rPr>
              <w:t>(9)</w:t>
            </w: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10/19/2022</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3,014,109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3,002,009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2,983,968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DRS Holdings III, Inc.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11/03/2025</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4,907,849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4,954,950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11/03/2025</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903,716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East Valley Tourist Development Authority</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03/07/2022</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Hotel, Gaming and Leisure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L+800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19,039,079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18,939,595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18,277,516</w:t>
            </w:r>
          </w:p>
        </w:tc>
        <w:tc>
          <w:tcPr>
            <w:tcW w:w="12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3.50%)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ECM Industries,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12/23/2025</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L+450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5,063,199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5,017,551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5,063,199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ECM Industries, LLC (Revolver)</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12/23/2025</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L+450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914,415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914,415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914,415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eCommission Financial Services, Inc. </w:t>
            </w:r>
            <w:r>
              <w:rPr>
                <w:rFonts w:ascii="Times New Roman" w:cs="Times New Roman" w:eastAsia="Times New Roman" w:hAnsi="Times New Roman"/>
                <w:sz w:val="9"/>
                <w:szCs w:val="9"/>
                <w:color w:val="auto"/>
              </w:rPr>
              <w:t>(10)</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10/05/2023</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16,007,500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16,007,500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15,767,388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eCommission Financial Services, Inc. (Revolver) </w:t>
            </w:r>
            <w:r>
              <w:rPr>
                <w:rFonts w:ascii="Times New Roman" w:cs="Times New Roman" w:eastAsia="Times New Roman" w:hAnsi="Times New Roman"/>
                <w:sz w:val="9"/>
                <w:szCs w:val="9"/>
                <w:color w:val="auto"/>
              </w:rPr>
              <w:t>(7), (9), (10)</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10/05/2023</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(75,000)</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Education Networks of America, Inc.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05/06/2021</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L+925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9,853,742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9,853,742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9,853,742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4.75%)</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Education Networks of America, Inc. (Revolver)</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05/06/2021</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10.00%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L+925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2,212,930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2,212,930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2,212,930</w:t>
            </w:r>
          </w:p>
        </w:tc>
        <w:tc>
          <w:tcPr>
            <w:tcW w:w="12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4.75%)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Education Networks of America, Inc. (Revolver) </w:t>
            </w:r>
            <w:r>
              <w:rPr>
                <w:rFonts w:ascii="Times New Roman" w:cs="Times New Roman" w:eastAsia="Times New Roman" w:hAnsi="Times New Roman"/>
                <w:sz w:val="9"/>
                <w:szCs w:val="9"/>
                <w:color w:val="auto"/>
              </w:rPr>
              <w:t>(9)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05/06/2021</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57,236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Efficient Collaborative Retail Marketing Company,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06/15/2022</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7,189,139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7,171,800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6,560,089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Empire Resorts, Inc.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03/22/2021</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Hotel, Gaming and Leisure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3.40%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L+325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7,476,667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7,250,025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FlexPrint,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01/02/2024</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7.29%</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L+705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4,769,595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4,716,502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4,721,899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GCOM Software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11/14/2022</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7.75%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13,588,109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13,409,248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13,588,109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GCOM Software LLC (Revolver) </w:t>
            </w:r>
            <w:r>
              <w:rPr>
                <w:rFonts w:ascii="Times New Roman" w:cs="Times New Roman" w:eastAsia="Times New Roman" w:hAnsi="Times New Roman"/>
                <w:sz w:val="9"/>
                <w:szCs w:val="9"/>
                <w:color w:val="auto"/>
              </w:rPr>
              <w:t>(7)</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11/14/2022</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266,667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266,667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266,667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GCOM Software LLC (Revolver)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11/14/2022</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Good2Grow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11/18/2024</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Beverages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L+425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5,699,510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5,659,192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5,699,510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Good2Grow LLC (Revolver)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11/16/2023</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rPr>
              <w:t>Beverages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3,137,000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12/31/2026</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Insurance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L+450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5,850,295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5,850,000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Hancock Roofing and Construction L.L.C.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12/31/2022</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Insurance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9"/>
                <w:szCs w:val="9"/>
                <w:color w:val="auto"/>
              </w:rPr>
              <w:t>(7), (9)</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12/31/2026</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Insurance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12/19/2025</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3,920,000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HW Holdco,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12/10/2024</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2"/>
              </w:rPr>
              <w:t>Media</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L+450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7,397,419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7,343,518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7,212,484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12/10/2024</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2"/>
              </w:rPr>
              <w:t>Media</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1,451,613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(36,290)</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IMIA Holdings, Inc. (Revolver) </w:t>
            </w:r>
            <w:r>
              <w:rPr>
                <w:rFonts w:ascii="Times New Roman" w:cs="Times New Roman" w:eastAsia="Times New Roman" w:hAnsi="Times New Roman"/>
                <w:sz w:val="9"/>
                <w:szCs w:val="9"/>
                <w:color w:val="auto"/>
              </w:rPr>
              <w:t>(7), (9)</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10/28/2024</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1,968,504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Impact Group,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06/27/2023</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Wholesale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8.37%</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L+737</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12,637,220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12,592,507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12,763,592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Innova Medical Ophthalmics Inc. </w:t>
            </w:r>
            <w:r>
              <w:rPr>
                <w:rFonts w:ascii="Times New Roman" w:cs="Times New Roman" w:eastAsia="Times New Roman" w:hAnsi="Times New Roman"/>
                <w:sz w:val="9"/>
                <w:szCs w:val="9"/>
                <w:color w:val="auto"/>
              </w:rPr>
              <w:t>(5), (10)</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04/13/2023</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3,270,513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3,244,982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3,123,339</w:t>
            </w:r>
          </w:p>
        </w:tc>
        <w:tc>
          <w:tcPr>
            <w:tcW w:w="12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1.00%)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Innova Medical Ophthalmics Inc. (Revolver) </w:t>
            </w:r>
            <w:r>
              <w:rPr>
                <w:rFonts w:ascii="Times New Roman" w:cs="Times New Roman" w:eastAsia="Times New Roman" w:hAnsi="Times New Roman"/>
                <w:sz w:val="9"/>
                <w:szCs w:val="9"/>
                <w:color w:val="auto"/>
              </w:rPr>
              <w:t>(5), (7), (10)</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04/13/2023</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532,168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532,168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508,220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1.00%)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Innova Medical Ophthalmics Inc. (Revolver) </w:t>
            </w:r>
            <w:r>
              <w:rPr>
                <w:rFonts w:ascii="Times New Roman" w:cs="Times New Roman" w:eastAsia="Times New Roman" w:hAnsi="Times New Roman"/>
                <w:sz w:val="9"/>
                <w:szCs w:val="9"/>
                <w:color w:val="auto"/>
              </w:rPr>
              <w:t>(5), (7), (9), (10)</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04/13/2023</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Integrative Nutrition,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09/29/2023</w:t>
            </w:r>
          </w:p>
        </w:tc>
        <w:tc>
          <w:tcPr>
            <w:tcW w:w="258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Consumer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5.75%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L+475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22,108,325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21,976,029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21,887,241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Integrative Nutrition, LLC (Revolver) </w:t>
            </w:r>
            <w:r>
              <w:rPr>
                <w:rFonts w:ascii="Times New Roman" w:cs="Times New Roman" w:eastAsia="Times New Roman" w:hAnsi="Times New Roman"/>
                <w:sz w:val="9"/>
                <w:szCs w:val="9"/>
                <w:color w:val="auto"/>
              </w:rPr>
              <w:t>(7), (9)</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09/29/2023</w:t>
            </w: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Consumer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(50,000)</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Inventus Power, Inc.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04/30/2021</w:t>
            </w:r>
          </w:p>
        </w:tc>
        <w:tc>
          <w:tcPr>
            <w:tcW w:w="258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L+650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3,696,890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3,694,259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3,696,890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9"/>
                <w:szCs w:val="9"/>
                <w:color w:val="auto"/>
              </w:rPr>
              <w:t>(7)</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12/20/2023</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L+700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642,857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642,857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631,607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12/20/2023</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785,714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(13,750)</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Kentucky Downs,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03/07/2025</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10.00%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L+900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5,528,183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5,429,052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5,459,081</w:t>
            </w:r>
          </w:p>
        </w:tc>
        <w:tc>
          <w:tcPr>
            <w:tcW w:w="12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3.00%)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Kentucky Downs, LLC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03/07/2025</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448,276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(5,603)</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2020</w:t>
      </w: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1"/>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66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7"/>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6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(1)</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40" w:type="dxa"/>
            <w:vAlign w:val="bottom"/>
          </w:tcPr>
          <w:p>
            <w:pPr>
              <w:spacing w:after="0"/>
              <w:rPr>
                <w:sz w:val="11"/>
                <w:szCs w:val="11"/>
                <w:color w:val="auto"/>
              </w:rPr>
            </w:pPr>
          </w:p>
        </w:tc>
        <w:tc>
          <w:tcPr>
            <w:tcW w:w="70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7"/>
              </w:rPr>
              <w:t xml:space="preserve">Fair Value </w:t>
            </w:r>
            <w:r>
              <w:rPr>
                <w:rFonts w:ascii="Times New Roman" w:cs="Times New Roman" w:eastAsia="Times New Roman" w:hAnsi="Times New Roman"/>
                <w:sz w:val="9"/>
                <w:szCs w:val="9"/>
                <w:b w:val="1"/>
                <w:bCs w:val="1"/>
                <w:color w:val="auto"/>
                <w:w w:val="97"/>
              </w:rPr>
              <w:t>(2)</w:t>
            </w:r>
          </w:p>
        </w:tc>
        <w:tc>
          <w:tcPr>
            <w:tcW w:w="120" w:type="dxa"/>
            <w:vAlign w:val="bottom"/>
          </w:tcPr>
          <w:p>
            <w:pPr>
              <w:spacing w:after="0"/>
              <w:rPr>
                <w:sz w:val="11"/>
                <w:szCs w:val="11"/>
                <w:color w:val="auto"/>
              </w:rPr>
            </w:pPr>
          </w:p>
        </w:tc>
      </w:tr>
      <w:tr>
        <w:trPr>
          <w:trHeight w:val="128"/>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LAV Gear Holdings, Inc.</w:t>
            </w:r>
          </w:p>
        </w:tc>
        <w:tc>
          <w:tcPr>
            <w:tcW w:w="14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10/31/2024</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20" w:type="dxa"/>
            <w:vAlign w:val="bottom"/>
          </w:tcPr>
          <w:p>
            <w:pPr>
              <w:spacing w:after="0"/>
              <w:rPr>
                <w:sz w:val="11"/>
                <w:szCs w:val="1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9,136,249</w:t>
            </w:r>
          </w:p>
        </w:tc>
        <w:tc>
          <w:tcPr>
            <w:tcW w:w="24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9,093,865</w:t>
            </w:r>
          </w:p>
        </w:tc>
        <w:tc>
          <w:tcPr>
            <w:tcW w:w="24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8,465,648</w:t>
            </w:r>
          </w:p>
        </w:tc>
        <w:tc>
          <w:tcPr>
            <w:tcW w:w="12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5.00%)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LAV Gear Holdings, Inc. (Revolver) </w:t>
            </w:r>
            <w:r>
              <w:rPr>
                <w:rFonts w:ascii="Times New Roman" w:cs="Times New Roman" w:eastAsia="Times New Roman" w:hAnsi="Times New Roman"/>
                <w:sz w:val="9"/>
                <w:szCs w:val="9"/>
                <w:color w:val="auto"/>
              </w:rPr>
              <w:t>(7)</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10/31/2024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L+750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1,628,125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1,628,125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1,508,621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5.00%)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Lightspeed Buyer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02/03/2026</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30,286,335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29,773,383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29,680,609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Lightspeed Buyer Inc. </w:t>
            </w:r>
            <w:r>
              <w:rPr>
                <w:rFonts w:ascii="Times New Roman" w:cs="Times New Roman" w:eastAsia="Times New Roman" w:hAnsi="Times New Roman"/>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08/03/2021</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1,891,068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(18,911)</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9"/>
                <w:szCs w:val="9"/>
                <w:color w:val="auto"/>
              </w:rPr>
              <w:t>(7)</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02/03/2026</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833,100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833,100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816,438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02/03/2026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1,666,199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(33,324)</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Lombart Brothers,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04/13/2023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L+825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13,633,821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13,522,108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13,020,298</w:t>
            </w:r>
          </w:p>
        </w:tc>
        <w:tc>
          <w:tcPr>
            <w:tcW w:w="12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1.00%)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Lombart Brothers, Inc. (Revolver) </w:t>
            </w:r>
            <w:r>
              <w:rPr>
                <w:rFonts w:ascii="Times New Roman" w:cs="Times New Roman" w:eastAsia="Times New Roman" w:hAnsi="Times New Roman"/>
                <w:sz w:val="9"/>
                <w:szCs w:val="9"/>
                <w:color w:val="auto"/>
              </w:rPr>
              <w:t>(7)</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04/13/2023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L+825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1,241,726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1,241,726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1,185,848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1.00%)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Lombart Brothers, Inc. (Revolver) </w:t>
            </w:r>
            <w:r>
              <w:rPr>
                <w:rFonts w:ascii="Times New Roman" w:cs="Times New Roman" w:eastAsia="Times New Roman" w:hAnsi="Times New Roman"/>
                <w:sz w:val="9"/>
                <w:szCs w:val="9"/>
                <w:color w:val="auto"/>
              </w:rPr>
              <w:t>(7), (9)</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04/13/2023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(16)</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Long Island Vision Management,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09/07/2023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8,946,336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8,900,294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8,734,308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LSF9 Atlantis Holdings,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05/01/2023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Retail</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12,988,574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12,935,813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MAG DS Corp.</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04/01/2027</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3,990,000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3,796,073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3,790,500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MeritDirect,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05/23/2024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2"/>
              </w:rPr>
              <w:t>Media</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29,240,928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28,919,107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28,071,292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MeritDirect, LLC (Revolver) </w:t>
            </w:r>
            <w:r>
              <w:rPr>
                <w:rFonts w:ascii="Times New Roman" w:cs="Times New Roman" w:eastAsia="Times New Roman" w:hAnsi="Times New Roman"/>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05/23/2024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2"/>
              </w:rPr>
              <w:t>Media</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4,481,655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(179,266)</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09/28/2022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610,645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606,733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607,714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Mission Critical Electronics, Inc. (Revolver) </w:t>
            </w:r>
            <w:r>
              <w:rPr>
                <w:rFonts w:ascii="Times New Roman" w:cs="Times New Roman" w:eastAsia="Times New Roman" w:hAnsi="Times New Roman"/>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09/28/2021</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1,325,088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(6,360)</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Output Services Group,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03/27/2024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L+450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4,450,867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3,958,878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4,117,052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Ox Two,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02/27/2023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12,462,776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12,414,789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12,462,776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9"/>
                <w:szCs w:val="9"/>
                <w:color w:val="auto"/>
              </w:rPr>
              <w:t>(7)</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02/27/2023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108,444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108,444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108,444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02/27/2023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447,111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10/19/2022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648,989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645,033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642,499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PlayPower, Inc.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05/08/2026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Leisure Products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5.74%</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5,353,361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5,308,876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5,105,768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PRA Events,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08/07/2025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L+1,050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2,898,076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2,464,058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2,506,836</w:t>
            </w:r>
          </w:p>
        </w:tc>
        <w:tc>
          <w:tcPr>
            <w:tcW w:w="12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11.50%)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Questex,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09/09/2024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7,331,250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7,233,706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6,671,438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Questex, LLC (Revolver)</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09/09/2024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877,660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877,660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798,670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09/09/2024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319,149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(28,723)</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Rancho Health MSO,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12/18/2025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3,592,994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3,592,313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Rancho Health MSO, Inc. </w:t>
            </w:r>
            <w:r>
              <w:rPr>
                <w:rFonts w:ascii="Times New Roman" w:cs="Times New Roman" w:eastAsia="Times New Roman" w:hAnsi="Times New Roman"/>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12/18/2022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9"/>
                <w:szCs w:val="9"/>
                <w:color w:val="auto"/>
              </w:rPr>
              <w:t>(7), (9)</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12/18/2025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Research Horizons,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06/28/2022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6,755,828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6,716,520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6,553,153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Research Now Group, Inc. and Survey Sampling</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23,207,063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22,637,019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22,783,534</w:t>
            </w:r>
          </w:p>
        </w:tc>
        <w:tc>
          <w:tcPr>
            <w:tcW w:w="120" w:type="dxa"/>
            <w:vAlign w:val="bottom"/>
          </w:tcPr>
          <w:p>
            <w:pPr>
              <w:spacing w:after="0"/>
              <w:rPr>
                <w:sz w:val="11"/>
                <w:szCs w:val="11"/>
                <w:color w:val="auto"/>
              </w:rPr>
            </w:pPr>
          </w:p>
        </w:tc>
      </w:tr>
      <w:tr>
        <w:trPr>
          <w:trHeight w:val="135"/>
        </w:trPr>
        <w:tc>
          <w:tcPr>
            <w:tcW w:w="3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International LLC</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Riverpoint Medical,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06/20/2025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L+450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4,925,000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4,881,975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4,846,693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9"/>
                <w:szCs w:val="9"/>
                <w:color w:val="auto"/>
              </w:rPr>
              <w:t>(7), (9)</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06/20/2025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909,091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(14,454)</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Riverside Assessments,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03/10/2025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16,000,704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15,733,819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15,120,665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Sales Benchmark Index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01/03/2025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13,899,035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13,667,273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13,655,801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Sales Benchmark Index LLC </w:t>
            </w:r>
            <w:r>
              <w:rPr>
                <w:rFonts w:ascii="Times New Roman" w:cs="Times New Roman" w:eastAsia="Times New Roman" w:hAnsi="Times New Roman"/>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07/07/2021</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3,231,707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(56,555)</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9"/>
                <w:szCs w:val="9"/>
                <w:color w:val="auto"/>
              </w:rPr>
              <w:t>(7), (9)</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01/03/2025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1,292,683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(22,622)</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Salient CRGT Inc.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02/28/2022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L+650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1,671,283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1,661,931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1,600,254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Sargent &amp; Greenleaf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4,676,792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4,618,888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4,618,332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Sargent &amp; Greenleaf Inc. (Revolver) </w:t>
            </w:r>
            <w:r>
              <w:rPr>
                <w:rFonts w:ascii="Times New Roman" w:cs="Times New Roman" w:eastAsia="Times New Roman" w:hAnsi="Times New Roman"/>
                <w:sz w:val="9"/>
                <w:szCs w:val="9"/>
                <w:color w:val="auto"/>
              </w:rPr>
              <w:t>(9)</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1,056,367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(13,205)</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Schlesinger Global,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07/14/2025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13,444,821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13,322,402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12,133,951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Schlesinger Global, Inc. (Revolver)</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07/14/2025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L+600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774,839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774,839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699,292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Schlesinger Global, Inc. (Revolver) </w:t>
            </w:r>
            <w:r>
              <w:rPr>
                <w:rFonts w:ascii="Times New Roman" w:cs="Times New Roman" w:eastAsia="Times New Roman" w:hAnsi="Times New Roman"/>
                <w:sz w:val="9"/>
                <w:szCs w:val="9"/>
                <w:color w:val="auto"/>
              </w:rPr>
              <w:t>(7), (9)</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07/14/2025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1,095,462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(106,808)</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Sigma Defense Systems,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12/18/2025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9.75%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L+875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7,490,000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7,304,638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7,302,750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9"/>
                <w:szCs w:val="9"/>
                <w:color w:val="auto"/>
              </w:rPr>
              <w:t>(7), (9)</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12/18/2025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05/03/2024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L+650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12,187,500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12,052,944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11,913,281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Signature Systems Holding Company (Revolver)</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05/03/2024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1,747,312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1,747,312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1,707,997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Smile Brands Inc.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10/14/2024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4.85%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L+450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3,489,908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3,489,908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3,385,211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Smile Brands Inc. (Revolver) </w:t>
            </w:r>
            <w:r>
              <w:rPr>
                <w:rFonts w:ascii="Times New Roman" w:cs="Times New Roman" w:eastAsia="Times New Roman" w:hAnsi="Times New Roman"/>
                <w:sz w:val="9"/>
                <w:szCs w:val="9"/>
                <w:color w:val="auto"/>
              </w:rPr>
              <w:t>(7), (9)</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10/14/2024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1,616,250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(40,406)</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Snak Club, LLC (Revolver) </w:t>
            </w:r>
            <w:r>
              <w:rPr>
                <w:rFonts w:ascii="Times New Roman" w:cs="Times New Roman" w:eastAsia="Times New Roman" w:hAnsi="Times New Roman"/>
                <w:sz w:val="9"/>
                <w:szCs w:val="9"/>
                <w:color w:val="auto"/>
              </w:rPr>
              <w:t>(7)</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07/19/2021</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Snak Club, LLC (Revolver) </w:t>
            </w:r>
            <w:r>
              <w:rPr>
                <w:rFonts w:ascii="Times New Roman" w:cs="Times New Roman" w:eastAsia="Times New Roman" w:hAnsi="Times New Roman"/>
                <w:sz w:val="9"/>
                <w:szCs w:val="9"/>
                <w:color w:val="auto"/>
              </w:rPr>
              <w:t>(7), (9)</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07/19/2021</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395,136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(3,951)</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Solutionreach, Inc.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01/17/2024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6,300,032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6,217,058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6,255,931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Solutionreach, Inc. (Revolver)</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01/17/2024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1,248,750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1,248,750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1,240,009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01/17/2024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416,250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(2,914)</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Spear Education,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02/26/2025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15,011,563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14,882,642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14,636,274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Spear Education, LLC </w:t>
            </w:r>
            <w:r>
              <w:rPr>
                <w:rFonts w:ascii="Times New Roman" w:cs="Times New Roman" w:eastAsia="Times New Roman" w:hAnsi="Times New Roman"/>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02/26/2022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6,875,000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(171,875)</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Spectacle Gary Holdings,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12/23/2025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11.03%</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L+900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9,178,132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9,400,000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STV Group Incorporated</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12/11/2026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5.40%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12,842,068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12,724,277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12,842,068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TeleGuam Holdings,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11/20/2025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L+450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6,487,377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6,426,830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6,422,503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Teneo Holdings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07/18/2025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Diversified Financial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13,376,038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12,943,766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13,214,455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10/31/2025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14,777,897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14,775,000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The Infosoft Group,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09/16/2024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18,086,303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17,959,491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18,086,303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The Original Cakerie, Co. </w:t>
            </w:r>
            <w:r>
              <w:rPr>
                <w:rFonts w:ascii="Times New Roman" w:cs="Times New Roman" w:eastAsia="Times New Roman" w:hAnsi="Times New Roman"/>
                <w:sz w:val="9"/>
                <w:szCs w:val="9"/>
                <w:color w:val="auto"/>
              </w:rPr>
              <w:t>(5), (10)</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07/20/2022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2M L+500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7,528,212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7,484,228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7,490,571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The Original Cakerie Ltd. </w:t>
            </w:r>
            <w:r>
              <w:rPr>
                <w:rFonts w:ascii="Times New Roman" w:cs="Times New Roman" w:eastAsia="Times New Roman" w:hAnsi="Times New Roman"/>
                <w:sz w:val="9"/>
                <w:szCs w:val="9"/>
                <w:color w:val="auto"/>
              </w:rPr>
              <w:t>(5), (10)</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07/20/2022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2M L+450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5,362,367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5,341,777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5,335,555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The Original Cakerie Ltd. (Revolver) </w:t>
            </w:r>
            <w:r>
              <w:rPr>
                <w:rFonts w:ascii="Times New Roman" w:cs="Times New Roman" w:eastAsia="Times New Roman" w:hAnsi="Times New Roman"/>
                <w:sz w:val="9"/>
                <w:szCs w:val="9"/>
                <w:color w:val="auto"/>
              </w:rPr>
              <w:t>(5), (9), (10)</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07/20/2022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1,418,484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(7,092)</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TPC Canada Parent, Inc. and TPC US Parent, LLC </w:t>
            </w:r>
            <w:r>
              <w:rPr>
                <w:rFonts w:ascii="Times New Roman" w:cs="Times New Roman" w:eastAsia="Times New Roman" w:hAnsi="Times New Roman"/>
                <w:sz w:val="9"/>
                <w:szCs w:val="9"/>
                <w:color w:val="auto"/>
              </w:rPr>
              <w:t>(5), (10)</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11/24/2025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Food Products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4,950,000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4,908,045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4,801,500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TVC Enterprises,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01/18/2024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5,778,626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5,702,649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5,821,966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01/18/2024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1,303,813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9,779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06/16/2025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6,910,465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6,773,012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6,910,465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TWS Acquisition Corporation (Revolver)</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06/16/2025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1,819,285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1,819,285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1,819,285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9"/>
                <w:szCs w:val="9"/>
                <w:color w:val="auto"/>
              </w:rPr>
              <w:t>(7), (9)</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06/16/2025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808,571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Tyto Athene,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08/27/2024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17,445,801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17,259,897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17,445,801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9"/>
                <w:szCs w:val="9"/>
                <w:color w:val="auto"/>
              </w:rPr>
              <w:t>(7), (9)</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08/27/2024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6,818,182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UBEO,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04/03/2024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L+450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13,967,402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13,885,541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13,862,646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UBEO, LLC (Revolver)</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04/03/2024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L+450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873,400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UBEO, LLC (Revolver) </w:t>
            </w:r>
            <w:r>
              <w:rPr>
                <w:rFonts w:ascii="Times New Roman" w:cs="Times New Roman" w:eastAsia="Times New Roman" w:hAnsi="Times New Roman"/>
                <w:sz w:val="9"/>
                <w:szCs w:val="9"/>
                <w:color w:val="auto"/>
              </w:rPr>
              <w:t>(9)</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04/03/2024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2,053,333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(15,400)</w:t>
            </w:r>
          </w:p>
        </w:tc>
      </w:tr>
      <w:tr>
        <w:trPr>
          <w:trHeight w:val="140"/>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Urology Management Associates,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08/30/2024</w:t>
            </w:r>
          </w:p>
        </w:tc>
        <w:tc>
          <w:tcPr>
            <w:tcW w:w="1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Healthcare Providers and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4,950,000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4,880,623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4,838,625</w:t>
            </w:r>
          </w:p>
        </w:tc>
        <w:tc>
          <w:tcPr>
            <w:tcW w:w="120" w:type="dxa"/>
            <w:vAlign w:val="bottom"/>
          </w:tcPr>
          <w:p>
            <w:pPr>
              <w:spacing w:after="0"/>
              <w:rPr>
                <w:sz w:val="12"/>
                <w:szCs w:val="12"/>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bl>
      <w:tblPr>
        <w:tblLayout w:type="fixed"/>
        <w:tblInd w:w="0" w:type="dxa"/>
        <w:tblCellMar>
          <w:top w:w="0" w:type="dxa"/>
          <w:left w:w="0" w:type="dxa"/>
          <w:bottom w:w="0" w:type="dxa"/>
          <w:right w:w="0" w:type="dxa"/>
        </w:tblCellMar>
      </w:tblPr>
      <w:tr>
        <w:trPr>
          <w:trHeight w:val="114"/>
        </w:trPr>
        <w:tc>
          <w:tcPr>
            <w:tcW w:w="3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gridSpan w:val="2"/>
          </w:tcPr>
          <w:p>
            <w:pPr>
              <w:jc w:val="center"/>
              <w:ind w:right="240"/>
              <w:spacing w:after="0" w:line="114"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2"/>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66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7"/>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Borders>
              <w:bottom w:val="single" w:sz="8" w:color="CCECFF"/>
            </w:tcBorders>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(1)</w:t>
            </w: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4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7"/>
              </w:rPr>
              <w:t xml:space="preserve">Fair Value </w:t>
            </w:r>
            <w:r>
              <w:rPr>
                <w:rFonts w:ascii="Times New Roman" w:cs="Times New Roman" w:eastAsia="Times New Roman" w:hAnsi="Times New Roman"/>
                <w:sz w:val="9"/>
                <w:szCs w:val="9"/>
                <w:b w:val="1"/>
                <w:bCs w:val="1"/>
                <w:color w:val="auto"/>
                <w:w w:val="97"/>
              </w:rPr>
              <w:t>(2)</w:t>
            </w:r>
          </w:p>
        </w:tc>
        <w:tc>
          <w:tcPr>
            <w:tcW w:w="120" w:type="dxa"/>
            <w:vAlign w:val="bottom"/>
            <w:tcBorders>
              <w:bottom w:val="single" w:sz="8" w:color="CCECFF"/>
            </w:tcBorders>
          </w:tcPr>
          <w:p>
            <w:pPr>
              <w:spacing w:after="0"/>
              <w:rPr>
                <w:sz w:val="11"/>
                <w:szCs w:val="11"/>
                <w:color w:val="auto"/>
              </w:rPr>
            </w:pPr>
          </w:p>
        </w:tc>
      </w:tr>
      <w:tr>
        <w:trPr>
          <w:trHeight w:val="128"/>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US Med Acquisition, Inc.</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08/13/2021</w:t>
            </w: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2,957,031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2,957,031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2,957,031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06/10/2025</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2"/>
              </w:rPr>
              <w:t>Media</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14,321,880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14,081,326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13,605,786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Whitney, Bradley &amp; Brown,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10/18/2022</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L+750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4,100,784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4,061,509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4,100,784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Wildcat Buyerco,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02/27/2026</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8,830,331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8,670,478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8,742,028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Wildcat Buyerco, Inc. </w:t>
            </w:r>
            <w:r>
              <w:rPr>
                <w:rFonts w:ascii="Times New Roman" w:cs="Times New Roman" w:eastAsia="Times New Roman" w:hAnsi="Times New Roman"/>
                <w:sz w:val="9"/>
                <w:szCs w:val="9"/>
                <w:color w:val="auto"/>
              </w:rPr>
              <w:t>(7), (9)</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02/27/2022</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2,491,176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3,114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9"/>
                <w:szCs w:val="9"/>
                <w:color w:val="auto"/>
              </w:rPr>
              <w:t>(7), (9)</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02/27/2026</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533,824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(9,716)</w:t>
            </w:r>
          </w:p>
        </w:tc>
      </w:tr>
      <w:tr>
        <w:trPr>
          <w:trHeight w:val="128"/>
        </w:trPr>
        <w:tc>
          <w:tcPr>
            <w:tcW w:w="336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3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785,769,739</w:t>
            </w: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775,588,077</w:t>
            </w:r>
          </w:p>
        </w:tc>
        <w:tc>
          <w:tcPr>
            <w:tcW w:w="120" w:type="dxa"/>
            <w:vAlign w:val="bottom"/>
            <w:tcBorders>
              <w:top w:val="single" w:sz="8" w:color="CCECFF"/>
            </w:tcBorders>
            <w:shd w:val="clear" w:color="auto" w:fill="CCECFF"/>
          </w:tcPr>
          <w:p>
            <w:pPr>
              <w:spacing w:after="0"/>
              <w:rPr>
                <w:sz w:val="11"/>
                <w:szCs w:val="11"/>
                <w:color w:val="auto"/>
              </w:rPr>
            </w:pPr>
          </w:p>
        </w:tc>
      </w:tr>
      <w:tr>
        <w:trPr>
          <w:trHeight w:val="128"/>
        </w:trPr>
        <w:tc>
          <w:tcPr>
            <w:tcW w:w="3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Debt—5.0%</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DBI Holdings, LLC, Term Loan B</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02/01/2026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12,129,344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12,129,344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12,129,344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9.00%)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DBI Holdings, LLC, Term Loan C </w:t>
            </w:r>
            <w:r>
              <w:rPr>
                <w:rFonts w:ascii="Times New Roman" w:cs="Times New Roman" w:eastAsia="Times New Roman" w:hAnsi="Times New Roman"/>
                <w:sz w:val="9"/>
                <w:szCs w:val="9"/>
                <w:color w:val="auto"/>
              </w:rPr>
              <w:t>(7)</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03/26/2021</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24,256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24,256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24,256</w:t>
            </w:r>
          </w:p>
        </w:tc>
        <w:tc>
          <w:tcPr>
            <w:tcW w:w="12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9.00%)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DecoPac,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03/31/2025</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L+825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9,738,580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9,658,853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9,738,580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Mailsouth Inc. </w:t>
            </w:r>
            <w:r>
              <w:rPr>
                <w:rFonts w:ascii="Times New Roman" w:cs="Times New Roman" w:eastAsia="Times New Roman" w:hAnsi="Times New Roman"/>
                <w:sz w:val="9"/>
                <w:szCs w:val="9"/>
                <w:color w:val="auto"/>
              </w:rPr>
              <w:t>(7)</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04/23/2025</w:t>
            </w:r>
          </w:p>
        </w:tc>
        <w:tc>
          <w:tcPr>
            <w:tcW w:w="2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15.00%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797,507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797,507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797,507</w:t>
            </w:r>
          </w:p>
        </w:tc>
        <w:tc>
          <w:tcPr>
            <w:tcW w:w="12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15.00%)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9"/>
                <w:szCs w:val="9"/>
                <w:color w:val="auto"/>
              </w:rPr>
              <w:t>(7)</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11/30/2024</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11.00%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L+1,000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2,158,181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2,143,745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2,158,181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12.30%)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28"/>
        </w:trPr>
        <w:tc>
          <w:tcPr>
            <w:tcW w:w="33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4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24,753,705</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24,847,868</w:t>
            </w:r>
          </w:p>
        </w:tc>
        <w:tc>
          <w:tcPr>
            <w:tcW w:w="120" w:type="dxa"/>
            <w:vAlign w:val="bottom"/>
            <w:tcBorders>
              <w:bottom w:val="single" w:sz="8" w:color="CCECFF"/>
            </w:tcBorders>
          </w:tcPr>
          <w:p>
            <w:pPr>
              <w:spacing w:after="0"/>
              <w:rPr>
                <w:sz w:val="11"/>
                <w:szCs w:val="11"/>
                <w:color w:val="auto"/>
              </w:rPr>
            </w:pPr>
          </w:p>
        </w:tc>
      </w:tr>
      <w:tr>
        <w:trPr>
          <w:trHeight w:val="128"/>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Preferred Equity— 1.4% </w:t>
            </w:r>
            <w:r>
              <w:rPr>
                <w:rFonts w:ascii="Times New Roman" w:cs="Times New Roman" w:eastAsia="Times New Roman" w:hAnsi="Times New Roman"/>
                <w:sz w:val="9"/>
                <w:szCs w:val="9"/>
                <w:b w:val="1"/>
                <w:bCs w:val="1"/>
                <w:color w:val="auto"/>
              </w:rPr>
              <w:t>(6)</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21,870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DBI Holding, LLC, Series A-1 </w:t>
            </w:r>
            <w:r>
              <w:rPr>
                <w:rFonts w:ascii="Times New Roman" w:cs="Times New Roman" w:eastAsia="Times New Roman" w:hAnsi="Times New Roman"/>
                <w:sz w:val="9"/>
                <w:szCs w:val="9"/>
                <w:color w:val="auto"/>
              </w:rPr>
              <w:t>(8)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14.00%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7,041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7,040,844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3,034,741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2"/>
              </w:rPr>
              <w:t>Media</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896,876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NXOF Holdings, Inc. (NextiraOne Federal, LLC)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608,862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L+1,000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500,690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12.00%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1,166,993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1,338,438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9"/>
                <w:szCs w:val="9"/>
                <w:color w:val="auto"/>
              </w:rPr>
              <w:t>(5), (7), (10)</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Food Products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409,011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454,468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UniTek Global Services, Inc. -</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20.00%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343,861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343,861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Super Senior Preferred Equity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UniTek Global Services, Inc. - Senior Preferred Equity </w:t>
            </w:r>
            <w:r>
              <w:rPr>
                <w:rFonts w:ascii="Times New Roman" w:cs="Times New Roman" w:eastAsia="Times New Roman" w:hAnsi="Times New Roman"/>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19.00%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448,851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448,851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13.50%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1,047,317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670,282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28"/>
        </w:trPr>
        <w:tc>
          <w:tcPr>
            <w:tcW w:w="33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Preferred Equity</w:t>
            </w:r>
          </w:p>
        </w:tc>
        <w:tc>
          <w:tcPr>
            <w:tcW w:w="14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11,980,712</w:t>
            </w: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6,834,075</w:t>
            </w:r>
          </w:p>
        </w:tc>
        <w:tc>
          <w:tcPr>
            <w:tcW w:w="120" w:type="dxa"/>
            <w:vAlign w:val="bottom"/>
            <w:tcBorders>
              <w:bottom w:val="single" w:sz="8" w:color="CCECFF"/>
            </w:tcBorders>
          </w:tcPr>
          <w:p>
            <w:pPr>
              <w:spacing w:after="0"/>
              <w:rPr>
                <w:sz w:val="11"/>
                <w:szCs w:val="11"/>
                <w:color w:val="auto"/>
              </w:rPr>
            </w:pPr>
          </w:p>
        </w:tc>
      </w:tr>
      <w:tr>
        <w:trPr>
          <w:trHeight w:val="129"/>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Common Equity/Warrants— 12.3% </w:t>
            </w:r>
            <w:r>
              <w:rPr>
                <w:rFonts w:ascii="Times New Roman" w:cs="Times New Roman" w:eastAsia="Times New Roman" w:hAnsi="Times New Roman"/>
                <w:sz w:val="9"/>
                <w:szCs w:val="9"/>
                <w:b w:val="1"/>
                <w:bCs w:val="1"/>
                <w:color w:val="auto"/>
              </w:rPr>
              <w:t>(6)</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Affinion Group Holdings, Inc. (Warrants)</w:t>
            </w:r>
            <w:r>
              <w:rPr>
                <w:rFonts w:ascii="Times New Roman" w:cs="Times New Roman" w:eastAsia="Times New Roman" w:hAnsi="Times New Roman"/>
                <w:sz w:val="9"/>
                <w:szCs w:val="9"/>
                <w:color w:val="auto"/>
              </w:rPr>
              <w:t>(7)</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04/10/2024</w:t>
            </w:r>
          </w:p>
        </w:tc>
        <w:tc>
          <w:tcPr>
            <w:tcW w:w="2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244,998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Software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1,090,798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9"/>
                <w:szCs w:val="9"/>
                <w:color w:val="auto"/>
              </w:rPr>
              <w:t>(7), (8), (9)</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Software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Altamira Intermediate Company II, Inc.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655,406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2,190,771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10,830,999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9"/>
                <w:szCs w:val="9"/>
                <w:color w:val="auto"/>
              </w:rPr>
              <w:t>(7), (8), (9)</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7,401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CI (Allied) Investment Holdings, LLC</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120,962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1,243,217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266,395</w:t>
            </w:r>
          </w:p>
        </w:tc>
        <w:tc>
          <w:tcPr>
            <w:tcW w:w="120" w:type="dxa"/>
            <w:vAlign w:val="bottom"/>
          </w:tcPr>
          <w:p>
            <w:pPr>
              <w:spacing w:after="0"/>
              <w:rPr>
                <w:sz w:val="11"/>
                <w:szCs w:val="11"/>
                <w:color w:val="auto"/>
              </w:rPr>
            </w:pPr>
          </w:p>
        </w:tc>
      </w:tr>
      <w:tr>
        <w:trPr>
          <w:trHeight w:val="135"/>
        </w:trPr>
        <w:tc>
          <w:tcPr>
            <w:tcW w:w="3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(Allied America, Inc.) </w:t>
            </w:r>
            <w:r>
              <w:rPr>
                <w:rFonts w:ascii="Times New Roman" w:cs="Times New Roman" w:eastAsia="Times New Roman" w:hAnsi="Times New Roman"/>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CI (Summit) Investment Holdings, LLC</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696,296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961,523</w:t>
            </w:r>
          </w:p>
        </w:tc>
        <w:tc>
          <w:tcPr>
            <w:tcW w:w="120" w:type="dxa"/>
            <w:vAlign w:val="bottom"/>
          </w:tcPr>
          <w:p>
            <w:pPr>
              <w:spacing w:after="0"/>
              <w:rPr>
                <w:sz w:val="11"/>
                <w:szCs w:val="11"/>
                <w:color w:val="auto"/>
              </w:rPr>
            </w:pPr>
          </w:p>
        </w:tc>
      </w:tr>
      <w:tr>
        <w:trPr>
          <w:trHeight w:val="135"/>
        </w:trPr>
        <w:tc>
          <w:tcPr>
            <w:tcW w:w="3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(SFP Holding, Inc.) </w:t>
            </w:r>
            <w:r>
              <w:rPr>
                <w:rFonts w:ascii="Times New Roman" w:cs="Times New Roman" w:eastAsia="Times New Roman" w:hAnsi="Times New Roman"/>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DBI Holding, LLC, Series B </w:t>
            </w:r>
            <w:r>
              <w:rPr>
                <w:rFonts w:ascii="Times New Roman" w:cs="Times New Roman" w:eastAsia="Times New Roman" w:hAnsi="Times New Roman"/>
                <w:sz w:val="9"/>
                <w:szCs w:val="9"/>
                <w:color w:val="auto"/>
              </w:rPr>
              <w:t>(8)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1,489,508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330,791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DecoPac Holdings Inc. </w:t>
            </w:r>
            <w:r>
              <w:rPr>
                <w:rFonts w:ascii="Times New Roman" w:cs="Times New Roman" w:eastAsia="Times New Roman" w:hAnsi="Times New Roman"/>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1,632,744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2,250,532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642,000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642,000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642,000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9"/>
                <w:szCs w:val="9"/>
                <w:color w:val="auto"/>
              </w:rPr>
              <w:t>(7), (8)</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9"/>
                <w:szCs w:val="9"/>
                <w:color w:val="auto"/>
              </w:rPr>
              <w:t>(9)</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295,982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295,982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766,076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9"/>
                <w:szCs w:val="9"/>
                <w:color w:val="auto"/>
              </w:rPr>
              <w:t>(7), (10)</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251,156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232,970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Faraday Holdings, LLC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58,044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372,611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Gauge InfosoftCoInvest, LLC</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143,663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968,305</w:t>
            </w:r>
          </w:p>
        </w:tc>
        <w:tc>
          <w:tcPr>
            <w:tcW w:w="120" w:type="dxa"/>
            <w:vAlign w:val="bottom"/>
          </w:tcPr>
          <w:p>
            <w:pPr>
              <w:spacing w:after="0"/>
              <w:rPr>
                <w:sz w:val="11"/>
                <w:szCs w:val="11"/>
                <w:color w:val="auto"/>
              </w:rPr>
            </w:pPr>
          </w:p>
        </w:tc>
      </w:tr>
      <w:tr>
        <w:trPr>
          <w:trHeight w:val="135"/>
        </w:trPr>
        <w:tc>
          <w:tcPr>
            <w:tcW w:w="3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(The Infosoft Group, LLC) </w:t>
            </w:r>
            <w:r>
              <w:rPr>
                <w:rFonts w:ascii="Times New Roman" w:cs="Times New Roman" w:eastAsia="Times New Roman" w:hAnsi="Times New Roman"/>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Gauge Lash Coinvest LLC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1,485,953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1,760,670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2,615,277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Gauge Schlesinger Coinvest LLC </w:t>
            </w:r>
            <w:r>
              <w:rPr>
                <w:rFonts w:ascii="Times New Roman" w:cs="Times New Roman" w:eastAsia="Times New Roman" w:hAnsi="Times New Roman"/>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437,371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258,488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Gauge TVC Coinvest, LLC (TVC Enterprises, LLC)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391,144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391,144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764,387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1,722,632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1,596,634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3,427,230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9"/>
                <w:szCs w:val="9"/>
                <w:color w:val="auto"/>
              </w:rPr>
              <w:t>(7), (8), (9)</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277,368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Go Dawgs Capital III, LP</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Building Products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324,675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324,675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360,389</w:t>
            </w:r>
          </w:p>
        </w:tc>
        <w:tc>
          <w:tcPr>
            <w:tcW w:w="120" w:type="dxa"/>
            <w:vAlign w:val="bottom"/>
          </w:tcPr>
          <w:p>
            <w:pPr>
              <w:spacing w:after="0"/>
              <w:rPr>
                <w:sz w:val="11"/>
                <w:szCs w:val="11"/>
                <w:color w:val="auto"/>
              </w:rPr>
            </w:pPr>
          </w:p>
        </w:tc>
      </w:tr>
      <w:tr>
        <w:trPr>
          <w:trHeight w:val="135"/>
        </w:trPr>
        <w:tc>
          <w:tcPr>
            <w:tcW w:w="3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Insurance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IIN Group Holdings, LLC</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Consumer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1,174,875</w:t>
            </w:r>
          </w:p>
        </w:tc>
        <w:tc>
          <w:tcPr>
            <w:tcW w:w="120" w:type="dxa"/>
            <w:vAlign w:val="bottom"/>
          </w:tcPr>
          <w:p>
            <w:pPr>
              <w:spacing w:after="0"/>
              <w:rPr>
                <w:sz w:val="11"/>
                <w:szCs w:val="11"/>
                <w:color w:val="auto"/>
              </w:rPr>
            </w:pPr>
          </w:p>
        </w:tc>
      </w:tr>
      <w:tr>
        <w:trPr>
          <w:trHeight w:val="135"/>
        </w:trPr>
        <w:tc>
          <w:tcPr>
            <w:tcW w:w="3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(Integrative Nutrition, LLC) </w:t>
            </w:r>
            <w:r>
              <w:rPr>
                <w:rFonts w:ascii="Times New Roman" w:cs="Times New Roman" w:eastAsia="Times New Roman" w:hAnsi="Times New Roman"/>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Ironclad Holdco, LLC (Applied Technical Services, LLC) </w:t>
            </w:r>
            <w:r>
              <w:rPr>
                <w:rFonts w:ascii="Times New Roman" w:cs="Times New Roman" w:eastAsia="Times New Roman" w:hAnsi="Times New Roman"/>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5,040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504,000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504,000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ITC Rumba, LLC (Cano Health, LLC)</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431,039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9,071,586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JWC/UMA Holdings, L.P.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1,439,290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JWC-WE Holdings, L.P.</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Wholesale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1,381,741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1,381,741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11,090,028</w:t>
            </w:r>
          </w:p>
        </w:tc>
        <w:tc>
          <w:tcPr>
            <w:tcW w:w="120" w:type="dxa"/>
            <w:vAlign w:val="bottom"/>
          </w:tcPr>
          <w:p>
            <w:pPr>
              <w:spacing w:after="0"/>
              <w:rPr>
                <w:sz w:val="11"/>
                <w:szCs w:val="11"/>
                <w:color w:val="auto"/>
              </w:rPr>
            </w:pPr>
          </w:p>
        </w:tc>
      </w:tr>
      <w:tr>
        <w:trPr>
          <w:trHeight w:val="135"/>
        </w:trPr>
        <w:tc>
          <w:tcPr>
            <w:tcW w:w="3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Kentucky Racing Holdco, LLC (Warrants) </w:t>
            </w:r>
            <w:r>
              <w:rPr>
                <w:rFonts w:ascii="Times New Roman" w:cs="Times New Roman" w:eastAsia="Times New Roman" w:hAnsi="Times New Roman"/>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87,345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315,915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Lightspeed Investment Holdco LLC </w:t>
            </w:r>
            <w:r>
              <w:rPr>
                <w:rFonts w:ascii="Times New Roman" w:cs="Times New Roman" w:eastAsia="Times New Roman" w:hAnsi="Times New Roman"/>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585,587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585,587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747,268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2"/>
              </w:rPr>
              <w:t>Media</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MSpark, LLC</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1,287,502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1,287,502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NXOF Holdings, Inc. (NextiraOne Federal, LLC)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151,500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w w:val="98"/>
              </w:rPr>
              <w:t xml:space="preserve">OceanSound Discovery Equity, LP (Holdco Sands Intermediate, LLC) </w:t>
            </w:r>
            <w:r>
              <w:rPr>
                <w:rFonts w:ascii="Times New Roman" w:cs="Times New Roman" w:eastAsia="Times New Roman" w:hAnsi="Times New Roman"/>
                <w:sz w:val="9"/>
                <w:szCs w:val="9"/>
                <w:color w:val="auto"/>
                <w:w w:val="98"/>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173,638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1,736,381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1,537,348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286,000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1,171,725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148,507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9"/>
                <w:szCs w:val="9"/>
                <w:color w:val="auto"/>
              </w:rPr>
              <w:t>(7), (8), (9)</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96,667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RFMG Parent, LP </w:t>
            </w:r>
            <w:r>
              <w:rPr>
                <w:rFonts w:ascii="Times New Roman" w:cs="Times New Roman" w:eastAsia="Times New Roman" w:hAnsi="Times New Roman"/>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SBI Holdings Investments LLC (Sales Benchmark Index LLC) </w:t>
            </w:r>
            <w:r>
              <w:rPr>
                <w:rFonts w:ascii="Times New Roman" w:cs="Times New Roman" w:eastAsia="Times New Roman" w:hAnsi="Times New Roman"/>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64,634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646,341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471,725</w:t>
            </w:r>
          </w:p>
        </w:tc>
        <w:tc>
          <w:tcPr>
            <w:tcW w:w="120" w:type="dxa"/>
            <w:vAlign w:val="bottom"/>
            <w:shd w:val="clear" w:color="auto" w:fill="CCECFF"/>
          </w:tcPr>
          <w:p>
            <w:pPr>
              <w:spacing w:after="0"/>
              <w:rPr>
                <w:sz w:val="11"/>
                <w:szCs w:val="1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40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9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Above</w:t>
            </w:r>
          </w:p>
        </w:tc>
        <w:tc>
          <w:tcPr>
            <w:tcW w:w="9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Par /</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4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24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(1)</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80" w:type="dxa"/>
            <w:vAlign w:val="bottom"/>
          </w:tcPr>
          <w:p>
            <w:pPr>
              <w:spacing w:after="0"/>
              <w:rPr>
                <w:sz w:val="11"/>
                <w:szCs w:val="11"/>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6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128"/>
        </w:trPr>
        <w:tc>
          <w:tcPr>
            <w:tcW w:w="3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9"/>
                <w:szCs w:val="9"/>
                <w:color w:val="auto"/>
              </w:rPr>
              <w:t>(7)</w:t>
            </w:r>
          </w:p>
        </w:tc>
        <w:tc>
          <w:tcPr>
            <w:tcW w:w="120" w:type="dxa"/>
            <w:vAlign w:val="bottom"/>
          </w:tcPr>
          <w:p>
            <w:pPr>
              <w:spacing w:after="0"/>
              <w:rPr>
                <w:sz w:val="11"/>
                <w:szCs w:val="11"/>
                <w:color w:val="auto"/>
              </w:rPr>
            </w:pPr>
          </w:p>
        </w:tc>
        <w:tc>
          <w:tcPr>
            <w:tcW w:w="5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2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61,421</w:t>
            </w:r>
          </w:p>
        </w:tc>
        <w:tc>
          <w:tcPr>
            <w:tcW w:w="24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44,542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583,200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Class A (US Dominion, Inc.) </w:t>
            </w:r>
            <w:r>
              <w:rPr>
                <w:rFonts w:ascii="Times New Roman" w:cs="Times New Roman" w:eastAsia="Times New Roman" w:hAnsi="Times New Roman"/>
                <w:sz w:val="9"/>
                <w:szCs w:val="9"/>
                <w:color w:val="auto"/>
              </w:rPr>
              <w:t>(7)</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1,880,261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 xml:space="preserve">Class B (US Dominion, Inc.) </w:t>
            </w:r>
            <w:r>
              <w:rPr>
                <w:rFonts w:ascii="Times New Roman" w:cs="Times New Roman" w:eastAsia="Times New Roman" w:hAnsi="Times New Roman"/>
                <w:sz w:val="9"/>
                <w:szCs w:val="9"/>
                <w:color w:val="auto"/>
              </w:rPr>
              <w:t>(7)</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9"/>
                <w:szCs w:val="9"/>
                <w:color w:val="auto"/>
              </w:rPr>
              <w:t>(5), (7), (10)</w:t>
            </w: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Food Products</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21,527</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21,527</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113,877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9"/>
                <w:szCs w:val="9"/>
                <w:color w:val="auto"/>
              </w:rPr>
              <w:t>(7)</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213,739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UniTek Global Services, Inc. (Warrants) </w:t>
            </w:r>
            <w:r>
              <w:rPr>
                <w:rFonts w:ascii="Times New Roman" w:cs="Times New Roman" w:eastAsia="Times New Roman" w:hAnsi="Times New Roman"/>
                <w:sz w:val="9"/>
                <w:szCs w:val="9"/>
                <w:color w:val="auto"/>
              </w:rPr>
              <w:t>(7)</w:t>
            </w: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23,889</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 xml:space="preserve">WBB Equity, LLC </w:t>
            </w:r>
            <w:r>
              <w:rPr>
                <w:rFonts w:ascii="Times New Roman" w:cs="Times New Roman" w:eastAsia="Times New Roman" w:hAnsi="Times New Roman"/>
                <w:sz w:val="9"/>
                <w:szCs w:val="9"/>
                <w:color w:val="auto"/>
              </w:rPr>
              <w:t>(7), (8)</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142,857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142,857</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754,286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Wildcat Parent, LP (Wildcat Buyerco, Inc.) </w:t>
            </w:r>
            <w:r>
              <w:rPr>
                <w:rFonts w:ascii="Times New Roman" w:cs="Times New Roman" w:eastAsia="Times New Roman" w:hAnsi="Times New Roman"/>
                <w:sz w:val="9"/>
                <w:szCs w:val="9"/>
                <w:color w:val="auto"/>
              </w:rPr>
              <w:t>(7), (8)</w:t>
            </w: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2,240</w:t>
            </w:r>
          </w:p>
        </w:tc>
        <w:tc>
          <w:tcPr>
            <w:tcW w:w="2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223,996</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314,725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Common Equity/Warrants</w:t>
            </w: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26,071,212</w:t>
            </w: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60,765,546</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w w:val="99"/>
              </w:rPr>
              <w:t>Total Investments in Non-Controlled, Non-Affiliated Portfolio Companies</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848,575,368</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868,035,566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2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 xml:space="preserve">Investments in Non-Controlled, Affiliated Portfolio Companies—1.5% </w:t>
            </w:r>
            <w:r>
              <w:rPr>
                <w:rFonts w:ascii="Times New Roman" w:cs="Times New Roman" w:eastAsia="Times New Roman" w:hAnsi="Times New Roman"/>
                <w:sz w:val="9"/>
                <w:szCs w:val="9"/>
                <w:b w:val="1"/>
                <w:bCs w:val="1"/>
                <w:color w:val="auto"/>
              </w:rPr>
              <w:t>(3), (4)</w:t>
            </w: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Debt—1.3%</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 xml:space="preserve">Country Fresh Holdings, LLC - Super Senior Term Loan </w:t>
            </w:r>
            <w:r>
              <w:rPr>
                <w:rFonts w:ascii="Times New Roman" w:cs="Times New Roman" w:eastAsia="Times New Roman" w:hAnsi="Times New Roman"/>
                <w:sz w:val="9"/>
                <w:szCs w:val="9"/>
                <w:color w:val="auto"/>
              </w:rPr>
              <w:t>(7)</w:t>
            </w: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06/01/2022</w:t>
            </w:r>
          </w:p>
        </w:tc>
        <w:tc>
          <w:tcPr>
            <w:tcW w:w="220" w:type="dxa"/>
            <w:vAlign w:val="bottom"/>
          </w:tcPr>
          <w:p>
            <w:pPr>
              <w:spacing w:after="0"/>
              <w:rPr>
                <w:sz w:val="11"/>
                <w:szCs w:val="11"/>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12.00%</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2,306,216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2,306,216</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2,306,216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Country Fresh Holdings, LLC - Super Senior Term Loan </w:t>
            </w:r>
            <w:r>
              <w:rPr>
                <w:rFonts w:ascii="Times New Roman" w:cs="Times New Roman" w:eastAsia="Times New Roman" w:hAnsi="Times New Roman"/>
                <w:sz w:val="9"/>
                <w:szCs w:val="9"/>
                <w:color w:val="auto"/>
              </w:rPr>
              <w:t>(7), (9)</w:t>
            </w:r>
          </w:p>
        </w:tc>
        <w:tc>
          <w:tcPr>
            <w:tcW w:w="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w w:val="99"/>
              </w:rPr>
              <w:t>06/01/2022</w:t>
            </w:r>
          </w:p>
        </w:tc>
        <w:tc>
          <w:tcPr>
            <w:tcW w:w="220" w:type="dxa"/>
            <w:vAlign w:val="bottom"/>
            <w:shd w:val="clear" w:color="auto" w:fill="CCECFF"/>
          </w:tcPr>
          <w:p>
            <w:pPr>
              <w:spacing w:after="0"/>
              <w:rPr>
                <w:sz w:val="11"/>
                <w:szCs w:val="11"/>
                <w:color w:val="auto"/>
              </w:rPr>
            </w:pP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543,947</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 xml:space="preserve">Country Fresh Holdings, LLC </w:t>
            </w:r>
            <w:r>
              <w:rPr>
                <w:rFonts w:ascii="Times New Roman" w:cs="Times New Roman" w:eastAsia="Times New Roman" w:hAnsi="Times New Roman"/>
                <w:sz w:val="9"/>
                <w:szCs w:val="9"/>
                <w:color w:val="auto"/>
              </w:rPr>
              <w:t>(7)</w:t>
            </w: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05/01/2023</w:t>
            </w:r>
          </w:p>
        </w:tc>
        <w:tc>
          <w:tcPr>
            <w:tcW w:w="220" w:type="dxa"/>
            <w:vAlign w:val="bottom"/>
          </w:tcPr>
          <w:p>
            <w:pPr>
              <w:spacing w:after="0"/>
              <w:rPr>
                <w:sz w:val="11"/>
                <w:szCs w:val="11"/>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6.00%</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L+500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1,544,161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1,517,803</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1,544,161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Country Fresh Holdings, LLC (Revolver) </w:t>
            </w:r>
            <w:r>
              <w:rPr>
                <w:rFonts w:ascii="Times New Roman" w:cs="Times New Roman" w:eastAsia="Times New Roman" w:hAnsi="Times New Roman"/>
                <w:sz w:val="9"/>
                <w:szCs w:val="9"/>
                <w:color w:val="auto"/>
              </w:rPr>
              <w:t>(7)</w:t>
            </w:r>
          </w:p>
        </w:tc>
        <w:tc>
          <w:tcPr>
            <w:tcW w:w="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w w:val="99"/>
              </w:rPr>
              <w:t>05/01/2023</w:t>
            </w:r>
          </w:p>
        </w:tc>
        <w:tc>
          <w:tcPr>
            <w:tcW w:w="220" w:type="dxa"/>
            <w:vAlign w:val="bottom"/>
            <w:shd w:val="clear" w:color="auto" w:fill="CCECFF"/>
          </w:tcPr>
          <w:p>
            <w:pPr>
              <w:spacing w:after="0"/>
              <w:rPr>
                <w:sz w:val="11"/>
                <w:szCs w:val="11"/>
                <w:color w:val="auto"/>
              </w:rPr>
            </w:pP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6.00%</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2,746,564</w:t>
            </w:r>
          </w:p>
        </w:tc>
        <w:tc>
          <w:tcPr>
            <w:tcW w:w="2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2,746,564</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2,746,564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6,570,583</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6,596,941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Debt—0.2%</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color w:val="auto"/>
              </w:rPr>
              <w:t xml:space="preserve">Country Fresh Holdings, LLC </w:t>
            </w:r>
            <w:r>
              <w:rPr>
                <w:rFonts w:ascii="Times New Roman" w:cs="Times New Roman" w:eastAsia="Times New Roman" w:hAnsi="Times New Roman"/>
                <w:sz w:val="9"/>
                <w:szCs w:val="9"/>
                <w:color w:val="auto"/>
              </w:rPr>
              <w:t>(7)</w:t>
            </w:r>
          </w:p>
        </w:tc>
        <w:tc>
          <w:tcPr>
            <w:tcW w:w="540" w:type="dxa"/>
            <w:vAlign w:val="bottom"/>
            <w:tcBorders>
              <w:bottom w:val="single" w:sz="8" w:color="CCECFF"/>
            </w:tcBorders>
          </w:tcPr>
          <w:p>
            <w:pPr>
              <w:ind w:left="20"/>
              <w:spacing w:after="0"/>
              <w:rPr>
                <w:sz w:val="20"/>
                <w:szCs w:val="20"/>
                <w:color w:val="auto"/>
              </w:rPr>
            </w:pPr>
            <w:r>
              <w:rPr>
                <w:rFonts w:ascii="Times New Roman" w:cs="Times New Roman" w:eastAsia="Times New Roman" w:hAnsi="Times New Roman"/>
                <w:sz w:val="11"/>
                <w:szCs w:val="11"/>
                <w:color w:val="auto"/>
                <w:w w:val="99"/>
              </w:rPr>
              <w:t>04/29/2024</w:t>
            </w:r>
          </w:p>
        </w:tc>
        <w:tc>
          <w:tcPr>
            <w:tcW w:w="220" w:type="dxa"/>
            <w:vAlign w:val="bottom"/>
            <w:tcBorders>
              <w:bottom w:val="single" w:sz="8" w:color="CCECFF"/>
            </w:tcBorders>
          </w:tcPr>
          <w:p>
            <w:pPr>
              <w:spacing w:after="0"/>
              <w:rPr>
                <w:sz w:val="11"/>
                <w:szCs w:val="11"/>
                <w:color w:val="auto"/>
              </w:rPr>
            </w:pPr>
          </w:p>
        </w:tc>
        <w:tc>
          <w:tcPr>
            <w:tcW w:w="248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00" w:type="dxa"/>
            <w:vAlign w:val="bottom"/>
            <w:tcBorders>
              <w:bottom w:val="single" w:sz="8" w:color="CCECFF"/>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 xml:space="preserve">0.00% </w:t>
            </w:r>
            <w:r>
              <w:rPr>
                <w:rFonts w:ascii="Times New Roman" w:cs="Times New Roman" w:eastAsia="Times New Roman" w:hAnsi="Times New Roman"/>
                <w:sz w:val="9"/>
                <w:szCs w:val="9"/>
                <w:color w:val="auto"/>
              </w:rPr>
              <w:t>(6)</w:t>
            </w:r>
          </w:p>
        </w:tc>
        <w:tc>
          <w:tcPr>
            <w:tcW w:w="900" w:type="dxa"/>
            <w:vAlign w:val="bottom"/>
            <w:tcBorders>
              <w:bottom w:val="single" w:sz="8" w:color="CCECFF"/>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5,882,579</w:t>
            </w:r>
          </w:p>
        </w:tc>
        <w:tc>
          <w:tcPr>
            <w:tcW w:w="2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5,884,166</w:t>
            </w: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759,200</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5,884,166</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759,200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 xml:space="preserve">Common Equity/Warrants—0.0% </w:t>
            </w:r>
            <w:r>
              <w:rPr>
                <w:rFonts w:ascii="Times New Roman" w:cs="Times New Roman" w:eastAsia="Times New Roman" w:hAnsi="Times New Roman"/>
                <w:sz w:val="9"/>
                <w:szCs w:val="9"/>
                <w:b w:val="1"/>
                <w:bCs w:val="1"/>
                <w:color w:val="auto"/>
              </w:rPr>
              <w:t>(6)</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Country Fresh Holding Company Inc. </w:t>
            </w:r>
            <w:r>
              <w:rPr>
                <w:rFonts w:ascii="Times New Roman" w:cs="Times New Roman" w:eastAsia="Times New Roman" w:hAnsi="Times New Roman"/>
                <w:sz w:val="9"/>
                <w:szCs w:val="9"/>
                <w:color w:val="auto"/>
              </w:rPr>
              <w:t>(7)</w:t>
            </w: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8,034</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10,453,350</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8"/>
        </w:trPr>
        <w:tc>
          <w:tcPr>
            <w:tcW w:w="346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Common Equity/Warrants</w:t>
            </w: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10,453,350</w:t>
            </w:r>
          </w:p>
        </w:tc>
        <w:tc>
          <w:tcPr>
            <w:tcW w:w="240" w:type="dxa"/>
            <w:vAlign w:val="bottom"/>
            <w:tcBorders>
              <w:bottom w:val="single" w:sz="8" w:color="CCEC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Investments in Non-Controlled, Affiliated Portfolio Companies</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22,908,099</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7,356,141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 xml:space="preserve">Investments in Controlled, Affiliated Portfolio Companies—39.0% </w:t>
            </w:r>
            <w:r>
              <w:rPr>
                <w:rFonts w:ascii="Times New Roman" w:cs="Times New Roman" w:eastAsia="Times New Roman" w:hAnsi="Times New Roman"/>
                <w:sz w:val="9"/>
                <w:szCs w:val="9"/>
                <w:b w:val="1"/>
                <w:bCs w:val="1"/>
                <w:color w:val="auto"/>
              </w:rPr>
              <w:t>(3), (4)</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Debt—30.3%</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 xml:space="preserve">Marketplace Events, LLC - Super Priority First Lien Term Loan </w:t>
            </w:r>
            <w:r>
              <w:rPr>
                <w:rFonts w:ascii="Times New Roman" w:cs="Times New Roman" w:eastAsia="Times New Roman" w:hAnsi="Times New Roman"/>
                <w:sz w:val="9"/>
                <w:szCs w:val="9"/>
                <w:color w:val="auto"/>
              </w:rPr>
              <w:t>(7)</w:t>
            </w: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09/30/2025</w:t>
            </w:r>
          </w:p>
        </w:tc>
        <w:tc>
          <w:tcPr>
            <w:tcW w:w="220" w:type="dxa"/>
            <w:vAlign w:val="bottom"/>
          </w:tcPr>
          <w:p>
            <w:pPr>
              <w:spacing w:after="0"/>
              <w:rPr>
                <w:sz w:val="11"/>
                <w:szCs w:val="11"/>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6.25%</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3,260,502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3,260,502</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3,260,502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Marketplace Events, LLC - Super Priority First Lien </w:t>
            </w:r>
            <w:r>
              <w:rPr>
                <w:rFonts w:ascii="Times New Roman" w:cs="Times New Roman" w:eastAsia="Times New Roman" w:hAnsi="Times New Roman"/>
                <w:sz w:val="9"/>
                <w:szCs w:val="9"/>
                <w:color w:val="auto"/>
              </w:rPr>
              <w:t>(7), (9)</w:t>
            </w:r>
          </w:p>
        </w:tc>
        <w:tc>
          <w:tcPr>
            <w:tcW w:w="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w w:val="99"/>
              </w:rPr>
              <w:t>09/30/2025</w:t>
            </w:r>
          </w:p>
        </w:tc>
        <w:tc>
          <w:tcPr>
            <w:tcW w:w="220" w:type="dxa"/>
            <w:vAlign w:val="bottom"/>
            <w:shd w:val="clear" w:color="auto" w:fill="CCECFF"/>
          </w:tcPr>
          <w:p>
            <w:pPr>
              <w:spacing w:after="0"/>
              <w:rPr>
                <w:sz w:val="11"/>
                <w:szCs w:val="11"/>
                <w:color w:val="auto"/>
              </w:rPr>
            </w:pP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3,260,502</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Marketplace Events, LLC</w:t>
            </w: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09/30/2026</w:t>
            </w:r>
          </w:p>
        </w:tc>
        <w:tc>
          <w:tcPr>
            <w:tcW w:w="220" w:type="dxa"/>
            <w:vAlign w:val="bottom"/>
          </w:tcPr>
          <w:p>
            <w:pPr>
              <w:spacing w:after="0"/>
              <w:rPr>
                <w:sz w:val="11"/>
                <w:szCs w:val="11"/>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 xml:space="preserve">0.00% </w:t>
            </w:r>
            <w:r>
              <w:rPr>
                <w:rFonts w:ascii="Times New Roman" w:cs="Times New Roman" w:eastAsia="Times New Roman" w:hAnsi="Times New Roman"/>
                <w:sz w:val="9"/>
                <w:szCs w:val="9"/>
                <w:color w:val="auto"/>
              </w:rPr>
              <w:t>(6)</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24,368,325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19,046,876</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19,317,118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PennantPark Senior Secured Loan Fund I LLC </w:t>
            </w:r>
            <w:r>
              <w:rPr>
                <w:rFonts w:ascii="Times New Roman" w:cs="Times New Roman" w:eastAsia="Times New Roman" w:hAnsi="Times New Roman"/>
                <w:sz w:val="9"/>
                <w:szCs w:val="9"/>
                <w:color w:val="auto"/>
              </w:rPr>
              <w:t>(7), (9), (10)</w:t>
            </w:r>
          </w:p>
        </w:tc>
        <w:tc>
          <w:tcPr>
            <w:tcW w:w="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w w:val="99"/>
              </w:rPr>
              <w:t>05/06/2024</w:t>
            </w:r>
          </w:p>
        </w:tc>
        <w:tc>
          <w:tcPr>
            <w:tcW w:w="220" w:type="dxa"/>
            <w:vAlign w:val="bottom"/>
            <w:shd w:val="clear" w:color="auto" w:fill="CCECFF"/>
          </w:tcPr>
          <w:p>
            <w:pPr>
              <w:spacing w:after="0"/>
              <w:rPr>
                <w:sz w:val="11"/>
                <w:szCs w:val="11"/>
                <w:color w:val="auto"/>
              </w:rPr>
            </w:pP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Financial Services</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8.25%</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L+800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126,481,250</w:t>
            </w:r>
          </w:p>
        </w:tc>
        <w:tc>
          <w:tcPr>
            <w:tcW w:w="2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126,481,250</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126,481,250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148,788,628</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149,058,870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Equity Interests—8.7%</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 xml:space="preserve">New MPE Holdings, LLC (Marketplace Events, LLC) </w:t>
            </w:r>
            <w:r>
              <w:rPr>
                <w:rFonts w:ascii="Times New Roman" w:cs="Times New Roman" w:eastAsia="Times New Roman" w:hAnsi="Times New Roman"/>
                <w:sz w:val="9"/>
                <w:szCs w:val="9"/>
                <w:color w:val="auto"/>
              </w:rPr>
              <w:t>(7)</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PennantPark Senior Secured Loan Fund I LLC </w:t>
            </w:r>
            <w:r>
              <w:rPr>
                <w:rFonts w:ascii="Times New Roman" w:cs="Times New Roman" w:eastAsia="Times New Roman" w:hAnsi="Times New Roman"/>
                <w:sz w:val="9"/>
                <w:szCs w:val="9"/>
                <w:color w:val="auto"/>
              </w:rPr>
              <w:t>(7), (9), (10)</w:t>
            </w: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Financial Services</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54,206</w:t>
            </w:r>
          </w:p>
        </w:tc>
        <w:tc>
          <w:tcPr>
            <w:tcW w:w="2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54,206,250</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42,894,805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Equity Interests</w:t>
            </w: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54,206,250</w:t>
            </w: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42,894,805</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Investments in Controlled, Affiliated Portfolio Companies</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202,994,878</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191,953,675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Investments—216.8.7%</w:t>
            </w: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1,074,478,345</w:t>
            </w: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1,067,345,382</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Equivalents—5.8%</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11,708,378</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11,708,378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BNY Mellon Cash</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16,779,420</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16,779,733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28,487,798</w:t>
            </w: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28,488,111</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tcBorders>
              <w:bottom w:val="single" w:sz="8" w:color="CCECFF"/>
            </w:tcBorders>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Equivalents—222.6%</w:t>
            </w:r>
          </w:p>
        </w:tc>
        <w:tc>
          <w:tcPr>
            <w:tcW w:w="5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1,102,966,143</w:t>
            </w:r>
          </w:p>
        </w:tc>
        <w:tc>
          <w:tcPr>
            <w:tcW w:w="24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1,095,833,493</w:t>
            </w:r>
          </w:p>
        </w:tc>
        <w:tc>
          <w:tcPr>
            <w:tcW w:w="12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Assets—(122.6)%</w:t>
            </w: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460" w:type="dxa"/>
            <w:vAlign w:val="bottom"/>
            <w:tcBorders>
              <w:bottom w:val="single" w:sz="8" w:color="CCECFF"/>
            </w:tcBorders>
            <w:gridSpan w:val="3"/>
            <w:vMerge w:val="continue"/>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234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66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66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80" w:type="dxa"/>
            <w:vAlign w:val="bottom"/>
            <w:tcBorders>
              <w:top w:val="single" w:sz="8" w:color="auto"/>
              <w:bottom w:val="single" w:sz="8" w:color="CCECFF"/>
            </w:tcBorders>
          </w:tcPr>
          <w:p>
            <w:pPr>
              <w:spacing w:after="0"/>
              <w:rPr>
                <w:sz w:val="10"/>
                <w:szCs w:val="10"/>
                <w:color w:val="auto"/>
              </w:rPr>
            </w:pPr>
          </w:p>
        </w:tc>
        <w:tc>
          <w:tcPr>
            <w:tcW w:w="660" w:type="dxa"/>
            <w:vAlign w:val="bottom"/>
            <w:tcBorders>
              <w:top w:val="single" w:sz="8" w:color="auto"/>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(603,482,554)</w:t>
            </w:r>
          </w:p>
        </w:tc>
        <w:tc>
          <w:tcPr>
            <w:tcW w:w="120" w:type="dxa"/>
            <w:vAlign w:val="bottom"/>
            <w:tcBorders>
              <w:bottom w:val="single" w:sz="8" w:color="CCECFF"/>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460" w:type="dxa"/>
            <w:vAlign w:val="bottom"/>
            <w:tcBorders>
              <w:bottom w:val="single" w:sz="8" w:color="CCECFF"/>
            </w:tcBorders>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5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492,350,939</w:t>
            </w:r>
          </w:p>
        </w:tc>
        <w:tc>
          <w:tcPr>
            <w:tcW w:w="12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94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right="20" w:hanging="372"/>
        <w:spacing w:after="0" w:line="237" w:lineRule="auto"/>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Offered Rate, or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spacing w:after="0" w:line="2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Valued based on our accounting policy (See Note 2). The value of all securities was determined using significant unobservable inputs (See Note 5).</w:t>
      </w:r>
    </w:p>
    <w:p>
      <w:pPr>
        <w:spacing w:after="0" w:line="37" w:lineRule="exact"/>
        <w:rPr>
          <w:rFonts w:ascii="Times New Roman" w:cs="Times New Roman" w:eastAsia="Times New Roman" w:hAnsi="Times New Roman"/>
          <w:sz w:val="12"/>
          <w:szCs w:val="12"/>
          <w:color w:val="auto"/>
        </w:rPr>
      </w:pPr>
    </w:p>
    <w:p>
      <w:pPr>
        <w:ind w:left="380" w:hanging="372"/>
        <w:spacing w:after="0" w:line="255" w:lineRule="auto"/>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7" w:lineRule="exact"/>
        <w:rPr>
          <w:rFonts w:ascii="Times New Roman" w:cs="Times New Roman" w:eastAsia="Times New Roman" w:hAnsi="Times New Roman"/>
          <w:sz w:val="12"/>
          <w:szCs w:val="12"/>
          <w:color w:val="auto"/>
        </w:rPr>
      </w:pPr>
    </w:p>
    <w:p>
      <w:pPr>
        <w:ind w:left="380" w:hanging="372"/>
        <w:spacing w:after="0" w:line="255" w:lineRule="auto"/>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Non-U.S. company or principal place of business outside the United States.</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Non-income producing securities.</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securities, or a portion thereof, are not 1) pledged as collateral under the Credit Facility and held through Funding I; or, 2) securing the 2031 Asset-Backed Debt (See Note 10) and held through PennantPark CLO I, Ltd.</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is held through our Taxable Subsidiary (See Note 1).</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Times New Roman" w:cs="Times New Roman" w:eastAsia="Times New Roman" w:hAnsi="Times New Roman"/>
          <w:sz w:val="12"/>
          <w:szCs w:val="12"/>
          <w:color w:val="auto"/>
        </w:rPr>
      </w:pPr>
    </w:p>
    <w:p>
      <w:pPr>
        <w:ind w:left="380" w:right="20" w:hanging="372"/>
        <w:spacing w:after="0" w:line="255" w:lineRule="auto"/>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2020, qualifying assets represent 81% of our total assets and non-qualifying assets represent 19% of our total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2"/>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66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7"/>
        </w:trPr>
        <w:tc>
          <w:tcPr>
            <w:tcW w:w="3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800" w:type="dxa"/>
            <w:vAlign w:val="bottom"/>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(1)</w:t>
            </w: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40" w:type="dxa"/>
            <w:vAlign w:val="bottom"/>
          </w:tcPr>
          <w:p>
            <w:pPr>
              <w:spacing w:after="0"/>
              <w:rPr>
                <w:sz w:val="11"/>
                <w:szCs w:val="11"/>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7"/>
              </w:rPr>
              <w:t xml:space="preserve">Fair Value </w:t>
            </w:r>
            <w:r>
              <w:rPr>
                <w:rFonts w:ascii="Times New Roman" w:cs="Times New Roman" w:eastAsia="Times New Roman" w:hAnsi="Times New Roman"/>
                <w:sz w:val="9"/>
                <w:szCs w:val="9"/>
                <w:b w:val="1"/>
                <w:bCs w:val="1"/>
                <w:color w:val="auto"/>
                <w:w w:val="97"/>
              </w:rPr>
              <w:t>(2)</w:t>
            </w:r>
          </w:p>
        </w:tc>
      </w:tr>
      <w:tr>
        <w:trPr>
          <w:trHeight w:val="128"/>
        </w:trPr>
        <w:tc>
          <w:tcPr>
            <w:tcW w:w="4160" w:type="dxa"/>
            <w:vAlign w:val="bottom"/>
            <w:tcBorders>
              <w:top w:val="single" w:sz="8" w:color="auto"/>
            </w:tcBorders>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Investments in Non-Controlled, Non-Affiliated Portfolio Companies—190.8% </w:t>
            </w:r>
            <w:r>
              <w:rPr>
                <w:rFonts w:ascii="Times New Roman" w:cs="Times New Roman" w:eastAsia="Times New Roman" w:hAnsi="Times New Roman"/>
                <w:sz w:val="9"/>
                <w:szCs w:val="9"/>
                <w:b w:val="1"/>
                <w:bCs w:val="1"/>
                <w:color w:val="auto"/>
              </w:rPr>
              <w:t>(3), (4)</w:t>
            </w:r>
          </w:p>
        </w:tc>
        <w:tc>
          <w:tcPr>
            <w:tcW w:w="246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Debt—175.5%</w:t>
            </w: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18 Freemont Street Acquisition,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08/11/2025</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6,697,697</w:t>
            </w:r>
          </w:p>
        </w:tc>
        <w:tc>
          <w:tcPr>
            <w:tcW w:w="3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6,581,574</w:t>
            </w:r>
          </w:p>
        </w:tc>
        <w:tc>
          <w:tcPr>
            <w:tcW w:w="36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6,362,812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Advantage Sales &amp; Marketing</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07/23/2021</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9"/>
              </w:rPr>
              <w:t>Food and Staples Retailing</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L+325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3,158,375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3,084,907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3,095,997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Altamira Technologies,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07/24/2025</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6,313,001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6,233,142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6,092,046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9"/>
                <w:szCs w:val="9"/>
                <w:color w:val="auto"/>
              </w:rPr>
              <w:t>(7)</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07/24/2025</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1,387,187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07/24/2025</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718,750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(25,156)</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American Auto Auction Group,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01/02/2024</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Transportation: Consumer</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7,385,098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7,317,949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7,163,545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12/21/2023</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7"/>
              </w:rPr>
              <w:t>Building Products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14,775,105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14,574,748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14,479,603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American Teleconferencing Services, Ltd.</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06/08/2023</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9,651,242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9,550,005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8,203,555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Apex Service Partners,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07/31/2025</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6,978,475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6,920,667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6,769,121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Apex Service Partners, LLC </w:t>
            </w:r>
            <w:r>
              <w:rPr>
                <w:rFonts w:ascii="Times New Roman" w:cs="Times New Roman" w:eastAsia="Times New Roman" w:hAnsi="Times New Roman"/>
                <w:sz w:val="9"/>
                <w:szCs w:val="9"/>
                <w:color w:val="auto"/>
              </w:rPr>
              <w:t>(7), (9)</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07/31/2021</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1,198,613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(35,958)</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API Technologies Corp.</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05/11/2026</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4.40%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L+425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5,925,000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5,897,574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5,776,875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BEI Precision Systems &amp; Space Company, Inc.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04/28/2023</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11,610,000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11,527,096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11,493,900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05/16/2022</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28,863,220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28,711,219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28,574,588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By Light Professional IT Services, LLC (Revolver)</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05/16/2022</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2,504,092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2,504,092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2,479,051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By Light Professional IT Services, LLC (Revolver)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05/16/2022</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558,511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(5,585)</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Cadence Aerospace, LLC </w:t>
            </w:r>
            <w:r>
              <w:rPr>
                <w:rFonts w:ascii="Times New Roman" w:cs="Times New Roman" w:eastAsia="Times New Roman" w:hAnsi="Times New Roman"/>
                <w:sz w:val="9"/>
                <w:szCs w:val="9"/>
                <w:color w:val="auto"/>
              </w:rPr>
              <w:t>(7)</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11/14/2023</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2,884,399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2,860,365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2,767,292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Cano Health,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06/02/2025</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L+750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14,882,169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14,771,615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14,993,786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Cardenas Markets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11/29/2023</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3,795,450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3,798,714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3,795,450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Centauri Group Holdings,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02/12/2024</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3,248,900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3,244,298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3,232,655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CHA Holdings, Inc.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04/10/2025</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Environmental Industries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L+450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7,291,746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7,267,251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7,145,911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Challenger Performance Optimization, Inc. (Revolver)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08/31/2023</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711,447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(49,801)</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Compex Legal Services, Inc.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02/09/2026</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7,730,621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7,582,329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7,589,151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Compex Legal Services, Inc.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02/08/2021</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3,322,470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(27,576)</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9"/>
                <w:szCs w:val="9"/>
                <w:color w:val="auto"/>
              </w:rPr>
              <w:t>(7)</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02/07/2025</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983,962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983,962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965,956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02/07/2025</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421,698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(7,717)</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Confluent Health,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06/24/2026</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7"/>
              </w:rPr>
              <w:t>Health Providers and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5.15%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3,913,661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3,890,750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Datalot Inc.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01/24/2025</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Insurance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15,257,804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14,979,266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15,276,113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Datalot Inc. (Revolver) </w:t>
            </w:r>
            <w:r>
              <w:rPr>
                <w:rFonts w:ascii="Times New Roman" w:cs="Times New Roman" w:eastAsia="Times New Roman" w:hAnsi="Times New Roman"/>
                <w:sz w:val="9"/>
                <w:szCs w:val="9"/>
                <w:color w:val="auto"/>
              </w:rPr>
              <w:t>(7)</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01/24/2025</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Insurance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3,833,619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3,833,619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3,838,219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Digital Room Holdings, Inc.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05/22/2026</w:t>
            </w:r>
          </w:p>
        </w:tc>
        <w:tc>
          <w:tcPr>
            <w:tcW w:w="258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5.27%</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9,875,000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9,736,008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9,183,750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10/19/2022</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6,612,916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6,553,834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6,513,722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10/19/2022</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P+475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3,220,196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3,220,196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3,171,893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(Revolver)</w:t>
            </w: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10/19/2022</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1,170,980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(17,565)</w:t>
            </w:r>
          </w:p>
        </w:tc>
      </w:tr>
      <w:tr>
        <w:trPr>
          <w:trHeight w:val="135"/>
        </w:trPr>
        <w:tc>
          <w:tcPr>
            <w:tcW w:w="3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(Revolver) </w:t>
            </w:r>
            <w:r>
              <w:rPr>
                <w:rFonts w:ascii="Times New Roman" w:cs="Times New Roman" w:eastAsia="Times New Roman" w:hAnsi="Times New Roman"/>
                <w:sz w:val="9"/>
                <w:szCs w:val="9"/>
                <w:color w:val="auto"/>
              </w:rPr>
              <w:t>(7), (9)</w:t>
            </w: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10/19/2022</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3,021,798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3,008,407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2,976,471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DRS Holdings III, Inc.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11/03/2025</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4,962,500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4,918,144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4,871,686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11/03/2025</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903,716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(16,538)</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East Valley Tourist Development Authority</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03/07/2022</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Hotel, Gaming and Leisure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L+800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19,039,079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18,917,984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18,467,906</w:t>
            </w:r>
          </w:p>
        </w:tc>
        <w:tc>
          <w:tcPr>
            <w:tcW w:w="12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3.50%)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ECM Industries,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12/23/2025</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L+450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5,075,958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5,028,206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5,050,578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ECM Industries, LLC (Revolver)</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12/23/2025</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L+450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914,415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914,415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902,345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eCommission Financial Services, Inc. </w:t>
            </w:r>
            <w:r>
              <w:rPr>
                <w:rFonts w:ascii="Times New Roman" w:cs="Times New Roman" w:eastAsia="Times New Roman" w:hAnsi="Times New Roman"/>
                <w:sz w:val="9"/>
                <w:szCs w:val="9"/>
                <w:color w:val="auto"/>
              </w:rPr>
              <w:t>(10)</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10/05/2023</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16,131,250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16,131,250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15,889,281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eCommission Financial Services, Inc. (Revolver) </w:t>
            </w:r>
            <w:r>
              <w:rPr>
                <w:rFonts w:ascii="Times New Roman" w:cs="Times New Roman" w:eastAsia="Times New Roman" w:hAnsi="Times New Roman"/>
                <w:sz w:val="9"/>
                <w:szCs w:val="9"/>
                <w:color w:val="auto"/>
              </w:rPr>
              <w:t>(7), (9), (10)</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10/05/2023</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(75,000)</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Education Networks of America, Inc.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05/06/2021</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L+925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9,985,621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9,985,621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9,985,621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4.75%)</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Education Networks of America, Inc. (Revolver)</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05/06/2021</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10.00%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L+925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2,243,444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2,243,444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2,243,444</w:t>
            </w:r>
          </w:p>
        </w:tc>
        <w:tc>
          <w:tcPr>
            <w:tcW w:w="12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4.75%)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Efficient Collaborative Retail Marketing Company,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06/15/2022</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7.75%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7,189,139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7,168,054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6,937,519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Empire Resorts, Inc.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03/22/2021</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Hotel, Gaming and Leisure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2.89%</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L+225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7,471,938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7,425,000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FlexPrint,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01/02/2024</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7.12%</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L+684</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4,975,898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4,916,661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4,839,060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FlexPrint, LLC </w:t>
            </w:r>
            <w:r>
              <w:rPr>
                <w:rFonts w:ascii="Times New Roman" w:cs="Times New Roman" w:eastAsia="Times New Roman" w:hAnsi="Times New Roman"/>
                <w:sz w:val="9"/>
                <w:szCs w:val="9"/>
                <w:color w:val="auto"/>
              </w:rPr>
              <w:t>(7), (9)</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12/31/2020</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3,077,342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(61,547)</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GCOM Software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11/14/2022</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7.75%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13,707,757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13,504,876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13,707,757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GCOM Software LLC (Revolver)</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11/14/2022</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2,133,333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2,133,333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2,133,333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GCOM Software LLC (Revolver)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11/14/2022</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533,333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Good2Grow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11/18/2024</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Beverages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L+425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5,699,510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5,657,300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5,656,763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Good2Grow LLC (Revolver)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11/16/2023</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rPr>
              <w:t>Beverages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3,137,000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(23,528)</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GSM Holdings, Inc.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06/03/2024</w:t>
            </w: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L+450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19,130,304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19,041,110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18,939,001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GSM Holdings, Inc. (Revolver)</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06/03/2024</w:t>
            </w:r>
          </w:p>
        </w:tc>
        <w:tc>
          <w:tcPr>
            <w:tcW w:w="258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L+450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7,126,484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7,126,484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7,055,219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HW Holdco,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12/10/2024</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2"/>
              </w:rPr>
              <w:t>Media</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L+450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7,416,290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7,357,894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7,193,802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12/10/2024</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2"/>
              </w:rPr>
              <w:t>Media</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1,451,613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(43,548)</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IMIA Holdings, Inc. (Revolver) </w:t>
            </w:r>
            <w:r>
              <w:rPr>
                <w:rFonts w:ascii="Times New Roman" w:cs="Times New Roman" w:eastAsia="Times New Roman" w:hAnsi="Times New Roman"/>
                <w:sz w:val="9"/>
                <w:szCs w:val="9"/>
                <w:color w:val="auto"/>
              </w:rPr>
              <w:t>(7), (9)</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10/28/2024</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1,968,504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Impact Group,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06/27/2023</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Wholesale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8.37%</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L+737</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12,671,202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12,622,034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12,734,558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Innova Medical Ophthalmics Inc. </w:t>
            </w:r>
            <w:r>
              <w:rPr>
                <w:rFonts w:ascii="Times New Roman" w:cs="Times New Roman" w:eastAsia="Times New Roman" w:hAnsi="Times New Roman"/>
                <w:sz w:val="9"/>
                <w:szCs w:val="9"/>
                <w:color w:val="auto"/>
              </w:rPr>
              <w:t>(5), (10)</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04/13/2023</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3,271,649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3,244,173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3,072,079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Innova Medical Ophthalmics Inc. (Revolver) </w:t>
            </w:r>
            <w:r>
              <w:rPr>
                <w:rFonts w:ascii="Times New Roman" w:cs="Times New Roman" w:eastAsia="Times New Roman" w:hAnsi="Times New Roman"/>
                <w:sz w:val="9"/>
                <w:szCs w:val="9"/>
                <w:color w:val="auto"/>
              </w:rPr>
              <w:t>(5), (7), (10)</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04/13/2023</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530,973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530,973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498,584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Integrative Nutrition, LLC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09/29/2023</w:t>
            </w: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Consumer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L+475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22,173,199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22,028,349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21,840,601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Integrative Nutrition, LLC (Revolver) </w:t>
            </w:r>
            <w:r>
              <w:rPr>
                <w:rFonts w:ascii="Times New Roman" w:cs="Times New Roman" w:eastAsia="Times New Roman" w:hAnsi="Times New Roman"/>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09/29/2023</w:t>
            </w:r>
          </w:p>
        </w:tc>
        <w:tc>
          <w:tcPr>
            <w:tcW w:w="258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Consumer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(75,000)</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Inventus Power, Inc.</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04/30/2021</w:t>
            </w: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3,709,390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3,702,960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3,672,296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12/20/2023</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L+700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1,071,429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1,071,429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1,047,857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9"/>
                <w:szCs w:val="9"/>
                <w:color w:val="auto"/>
              </w:rPr>
              <w:t>(7), (9)</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12/20/2023</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357,143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(7,857)</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Kentucky Downs, LLC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03/07/2025</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5,499,731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5,395,498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5,417,236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Kentucky Downs, LLC </w:t>
            </w:r>
            <w:r>
              <w:rPr>
                <w:rFonts w:ascii="Times New Roman" w:cs="Times New Roman" w:eastAsia="Times New Roman" w:hAnsi="Times New Roman"/>
                <w:sz w:val="9"/>
                <w:szCs w:val="9"/>
                <w:color w:val="auto"/>
              </w:rPr>
              <w:t>(7), (9)</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03/07/2025</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448,276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(6,724)</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LAV Gear Holdings, Inc.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10/31/2024</w:t>
            </w:r>
          </w:p>
        </w:tc>
        <w:tc>
          <w:tcPr>
            <w:tcW w:w="258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L+750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9,028,277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8,984,046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8,315,946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5.00%)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LAV Gear Holdings, Inc. (Revolver) </w:t>
            </w:r>
            <w:r>
              <w:rPr>
                <w:rFonts w:ascii="Times New Roman" w:cs="Times New Roman" w:eastAsia="Times New Roman" w:hAnsi="Times New Roman"/>
                <w:sz w:val="9"/>
                <w:szCs w:val="9"/>
                <w:color w:val="auto"/>
              </w:rPr>
              <w:t>(7)</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10/31/2024</w:t>
            </w: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L+750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1,607,584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1,607,584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1,480,745</w:t>
            </w:r>
          </w:p>
        </w:tc>
        <w:tc>
          <w:tcPr>
            <w:tcW w:w="12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5.00%)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Lightspeed Buyer Inc.</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02/03/2026</w:t>
            </w:r>
          </w:p>
        </w:tc>
        <w:tc>
          <w:tcPr>
            <w:tcW w:w="258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30,362,602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29,830,439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29,983,070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Lightspeed Buyer Inc. </w:t>
            </w:r>
            <w:r>
              <w:rPr>
                <w:rFonts w:ascii="Times New Roman" w:cs="Times New Roman" w:eastAsia="Times New Roman" w:hAnsi="Times New Roman"/>
                <w:sz w:val="9"/>
                <w:szCs w:val="9"/>
                <w:color w:val="auto"/>
              </w:rPr>
              <w:t>(7), (9)</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08/03/2021</w:t>
            </w: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1,891,068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(4,728)</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Lightspeed Buyer Inc. (Revolver)</w:t>
            </w:r>
          </w:p>
        </w:tc>
        <w:tc>
          <w:tcPr>
            <w:tcW w:w="800" w:type="dxa"/>
            <w:vAlign w:val="bottom"/>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5"/>
              </w:rPr>
              <w:t>02/03/2026</w:t>
            </w:r>
          </w:p>
        </w:tc>
        <w:tc>
          <w:tcPr>
            <w:tcW w:w="258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2,499,299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2,499,299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2,468,058</w:t>
            </w:r>
          </w:p>
        </w:tc>
        <w:tc>
          <w:tcPr>
            <w:tcW w:w="120" w:type="dxa"/>
            <w:vAlign w:val="bottom"/>
            <w:shd w:val="clear" w:color="auto" w:fill="CCECFF"/>
          </w:tcPr>
          <w:p>
            <w:pPr>
              <w:spacing w:after="0"/>
              <w:rPr>
                <w:sz w:val="11"/>
                <w:szCs w:val="1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1"/>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Spread</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2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Above</w:t>
            </w:r>
          </w:p>
        </w:tc>
        <w:tc>
          <w:tcPr>
            <w:tcW w:w="220" w:type="dxa"/>
            <w:vAlign w:val="bottom"/>
          </w:tcPr>
          <w:p>
            <w:pPr>
              <w:spacing w:after="0"/>
              <w:rPr>
                <w:sz w:val="10"/>
                <w:szCs w:val="10"/>
                <w:color w:val="auto"/>
              </w:rPr>
            </w:pPr>
          </w:p>
        </w:tc>
        <w:tc>
          <w:tcPr>
            <w:tcW w:w="920" w:type="dxa"/>
            <w:vAlign w:val="bottom"/>
            <w:gridSpan w:val="2"/>
          </w:tcPr>
          <w:p>
            <w:pPr>
              <w:ind w:left="240"/>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(1)</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1"/>
                <w:szCs w:val="11"/>
                <w:color w:val="auto"/>
              </w:rPr>
            </w:pPr>
          </w:p>
        </w:tc>
        <w:tc>
          <w:tcPr>
            <w:tcW w:w="7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9"/>
                <w:szCs w:val="9"/>
                <w:b w:val="1"/>
                <w:bCs w:val="1"/>
                <w:color w:val="auto"/>
              </w:rPr>
              <w:t>(2)</w:t>
            </w:r>
          </w:p>
        </w:tc>
        <w:tc>
          <w:tcPr>
            <w:tcW w:w="120" w:type="dxa"/>
            <w:vAlign w:val="bottom"/>
          </w:tcPr>
          <w:p>
            <w:pPr>
              <w:spacing w:after="0"/>
              <w:rPr>
                <w:sz w:val="11"/>
                <w:szCs w:val="11"/>
                <w:color w:val="auto"/>
              </w:rPr>
            </w:pPr>
          </w:p>
        </w:tc>
      </w:tr>
      <w:tr>
        <w:trPr>
          <w:trHeight w:val="128"/>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Lombart Brothers, Inc.</w:t>
            </w: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04/13/2023</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20" w:type="dxa"/>
            <w:vAlign w:val="bottom"/>
          </w:tcPr>
          <w:p>
            <w:pPr>
              <w:spacing w:after="0"/>
              <w:rPr>
                <w:sz w:val="11"/>
                <w:szCs w:val="11"/>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13,639,301</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13,517,803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12,807,304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Lombart Brothers, Inc. (Revolver) </w:t>
            </w:r>
            <w:r>
              <w:rPr>
                <w:rFonts w:ascii="Times New Roman" w:cs="Times New Roman" w:eastAsia="Times New Roman" w:hAnsi="Times New Roman"/>
                <w:sz w:val="9"/>
                <w:szCs w:val="9"/>
                <w:color w:val="auto"/>
              </w:rPr>
              <w:t>(7)</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04/13/2023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1,238,938</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1,238,938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1,163,363</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Long Island Vision Management, LLC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09/07/2023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5.76%</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8,969,009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8,919,084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8,551,950</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LSF9 Atlantis Holdings,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05/01/2023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Retail</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13,231,250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13,162,333</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12,820,552</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MAG DS Corp.</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04/01/2027</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3,800,000</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3,805,000</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Manna Pro Products,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12/08/2023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8,305,000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8,253,987</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8,081,596</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Marketplace Events LLC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01/27/2023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5"/>
              </w:rPr>
              <w:t>(6)</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5,284,919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5,220,978</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4,464,171</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Marketplace Events LLC </w:t>
            </w:r>
            <w:r>
              <w:rPr>
                <w:rFonts w:ascii="Times New Roman" w:cs="Times New Roman" w:eastAsia="Times New Roman" w:hAnsi="Times New Roman"/>
                <w:sz w:val="9"/>
                <w:szCs w:val="9"/>
                <w:color w:val="auto"/>
              </w:rPr>
              <w:t>(11)</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01/27/2023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9"/>
                <w:szCs w:val="9"/>
                <w:color w:val="auto"/>
                <w:w w:val="75"/>
              </w:rPr>
              <w:t>(6)</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3"/>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C $   16,213,270</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11,377,025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10,252,929</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Marketplace Events LLC (Revolver)</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01/27/2023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5"/>
              </w:rPr>
              <w:t>(6)</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1,703,163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1,703,163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1,438,662</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MeritDirect,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05/23/2024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29,582,555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29,236,103</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28,177,384</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MeritDirect, LLC (Revolver) </w:t>
            </w:r>
            <w:r>
              <w:rPr>
                <w:rFonts w:ascii="Times New Roman" w:cs="Times New Roman" w:eastAsia="Times New Roman" w:hAnsi="Times New Roman"/>
                <w:sz w:val="9"/>
                <w:szCs w:val="9"/>
                <w:color w:val="auto"/>
              </w:rPr>
              <w:t>(7), (9)</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05/23/2024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4,481,655</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(212,879)</w:t>
            </w: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09/28/2022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612,191</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607,716</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604,783</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Mission Critical Electronics, Inc. (Revolver) </w:t>
            </w:r>
            <w:r>
              <w:rPr>
                <w:rFonts w:ascii="Times New Roman" w:cs="Times New Roman" w:eastAsia="Times New Roman" w:hAnsi="Times New Roman"/>
                <w:sz w:val="9"/>
                <w:szCs w:val="9"/>
                <w:color w:val="auto"/>
              </w:rPr>
              <w:t>(7), (9)</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09/28/2021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1,325,088</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(16,034)</w:t>
            </w: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Output Services Group, Inc.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03/27/2024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4,462,303</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3,937,732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4,060,696</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Ox Two, LLC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02/27/2023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12,526,325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12,473,095</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12,463,694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9"/>
                <w:szCs w:val="9"/>
                <w:color w:val="auto"/>
              </w:rPr>
              <w:t>(7)</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02/27/2023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108,444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108,444</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107,902</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9"/>
                <w:szCs w:val="9"/>
                <w:color w:val="auto"/>
              </w:rPr>
              <w:t>(7), (9)</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02/27/2023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447,111</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(2,236)</w:t>
            </w: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Peninsula Pacific Entertainment LLC </w:t>
            </w:r>
            <w:r>
              <w:rPr>
                <w:rFonts w:ascii="Times New Roman" w:cs="Times New Roman" w:eastAsia="Times New Roman" w:hAnsi="Times New Roman"/>
                <w:sz w:val="9"/>
                <w:szCs w:val="9"/>
                <w:color w:val="auto"/>
              </w:rPr>
              <w:t>(7)</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11/13/2024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Hotel, Gaming and Leisure</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7.40%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10,224,431</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10,193,277</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9,508,720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Plant Health Intermediate, Inc. </w:t>
            </w:r>
            <w:r>
              <w:rPr>
                <w:rFonts w:ascii="Times New Roman" w:cs="Times New Roman" w:eastAsia="Times New Roman" w:hAnsi="Times New Roman"/>
                <w:sz w:val="9"/>
                <w:szCs w:val="9"/>
                <w:color w:val="auto"/>
              </w:rPr>
              <w:t>(7)</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10/19/2022</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650,644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646,164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640,884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PlayPower, Inc.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05/08/2026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5.72%</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5,367,361</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5,320,837</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5,098,992</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PRA Events, Inc.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08/08/2022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5"/>
              </w:rPr>
              <w:t>(6)</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2,558,746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2,527,407</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2,154,464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Questex,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09/09/2024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7,350,000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7,245,118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6,762,000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Questex, LLC (Revolver)</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09/09/2024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598,404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598,404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550,532</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09/09/2024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598,404</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(47,872)</w:t>
            </w: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Research Horizons, LLC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06/28/2022</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6,894,172</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6,847,485</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6,618,405</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Research Now Group, Inc. and Survey Sampling</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12/20/2024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23,266,875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22,662,940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21,975,563</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International LLC</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Riverpoint Medical, LLC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06/20/2025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4,937,500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4,892,077</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4,764,194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06/20/2025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909,091</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(31,909)</w:t>
            </w: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Riverside Assessments, LLC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03/10/2025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15,671,250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15,389,332</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14,848,509</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Sales Benchmark Index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01/03/2025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7.75%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13,934,045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13,689,392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13,599,628</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Sales Benchmark Index LLC </w:t>
            </w:r>
            <w:r>
              <w:rPr>
                <w:rFonts w:ascii="Times New Roman" w:cs="Times New Roman" w:eastAsia="Times New Roman" w:hAnsi="Times New Roman"/>
                <w:sz w:val="9"/>
                <w:szCs w:val="9"/>
                <w:color w:val="auto"/>
              </w:rPr>
              <w:t>(7), (9)</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07/07/2021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3,231,707</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(77,561)</w:t>
            </w: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01/03/2025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1,292,683</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(31,024)</w:t>
            </w: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Salient CRGT Inc.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02/28/2022</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1,696,397</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1,684,941</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1,569,168</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Sargent &amp; Greenleaf Inc.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12/20/2024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4,700,654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4,639,240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4,616,042</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Sargent &amp; Greenleaf Inc. (Revolver) </w:t>
            </w:r>
            <w:r>
              <w:rPr>
                <w:rFonts w:ascii="Times New Roman" w:cs="Times New Roman" w:eastAsia="Times New Roman" w:hAnsi="Times New Roman"/>
                <w:sz w:val="9"/>
                <w:szCs w:val="9"/>
                <w:color w:val="auto"/>
              </w:rPr>
              <w:t>(7), (9)</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12/20/2024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1,056,367</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(19,015)</w:t>
            </w: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Schlesinger Global, Inc.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07/14/2025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13,478,823</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13,351,351</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12,501,608</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Schlesinger Global, Inc. (Revolver)</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07/14/2025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774,839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774,839</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718,663</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Schlesinger Global, Inc. (Revolver) </w:t>
            </w:r>
            <w:r>
              <w:rPr>
                <w:rFonts w:ascii="Times New Roman" w:cs="Times New Roman" w:eastAsia="Times New Roman" w:hAnsi="Times New Roman"/>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07/14/2025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1,095,462</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(79,421)</w:t>
            </w: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05/03/2024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12,350,000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12,205,240</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11,948,625</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Signature Systems Holding Company (Revolver)</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05/03/2024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978,495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978,495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946,694</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9"/>
                <w:szCs w:val="9"/>
                <w:color w:val="auto"/>
              </w:rPr>
              <w:t>(7), (9)</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05/03/2024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768,817</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(24,987)</w:t>
            </w: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Smile Brands Inc. </w:t>
            </w:r>
            <w:r>
              <w:rPr>
                <w:rFonts w:ascii="Times New Roman" w:cs="Times New Roman" w:eastAsia="Times New Roman" w:hAnsi="Times New Roman"/>
                <w:sz w:val="9"/>
                <w:szCs w:val="9"/>
                <w:color w:val="auto"/>
              </w:rPr>
              <w:t>(7)</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10/14/2024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4.90%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3,395,269</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3,395,269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3,293,411</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Smile Brands Inc. </w:t>
            </w:r>
            <w:r>
              <w:rPr>
                <w:rFonts w:ascii="Times New Roman" w:cs="Times New Roman" w:eastAsia="Times New Roman" w:hAnsi="Times New Roman"/>
                <w:sz w:val="9"/>
                <w:szCs w:val="9"/>
                <w:color w:val="auto"/>
              </w:rPr>
              <w:t>(7), (9)</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10/14/2024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1,076,088</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(32,283)</w:t>
            </w: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Smile Brands Inc. (Revolver) </w:t>
            </w:r>
            <w:r>
              <w:rPr>
                <w:rFonts w:ascii="Times New Roman" w:cs="Times New Roman" w:eastAsia="Times New Roman" w:hAnsi="Times New Roman"/>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10/14/2024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1,616,250</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(99,027)</w:t>
            </w: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Snak Club, LLC (Revolver) </w:t>
            </w:r>
            <w:r>
              <w:rPr>
                <w:rFonts w:ascii="Times New Roman" w:cs="Times New Roman" w:eastAsia="Times New Roman" w:hAnsi="Times New Roman"/>
                <w:sz w:val="9"/>
                <w:szCs w:val="9"/>
                <w:color w:val="auto"/>
              </w:rPr>
              <w:t>(7)</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07/19/2021</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99,000</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Snak Club, LLC (Revolver) </w:t>
            </w:r>
            <w:r>
              <w:rPr>
                <w:rFonts w:ascii="Times New Roman" w:cs="Times New Roman" w:eastAsia="Times New Roman" w:hAnsi="Times New Roman"/>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07/19/2021</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395,136</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(3,951)</w:t>
            </w: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Solutionreach, Inc.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01/17/2024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6,316,818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6,227,596</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6,247,334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Solutionreach, Inc. (Revolver)</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01/17/2024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1,248,750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1,248,750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1,235,014</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9"/>
                <w:szCs w:val="9"/>
                <w:color w:val="auto"/>
              </w:rPr>
              <w:t>(7), (9)</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01/17/2024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416,250</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(4,579)</w:t>
            </w: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Spear Education,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02/26/2025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15,049,375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14,913,852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14,673,140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Spear Education, LLC </w:t>
            </w:r>
            <w:r>
              <w:rPr>
                <w:rFonts w:ascii="Times New Roman" w:cs="Times New Roman" w:eastAsia="Times New Roman" w:hAnsi="Times New Roman"/>
                <w:sz w:val="9"/>
                <w:szCs w:val="9"/>
                <w:color w:val="auto"/>
              </w:rPr>
              <w:t>(7), (9)</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02/26/2022</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6,875,000</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(171,875)</w:t>
            </w: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Spectacle Gary Holdings,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12/23/2025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11.00%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L+900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8,427,027</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8,196,440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8,174,216</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Spectacle Gary Holdings, LLC </w:t>
            </w:r>
            <w:r>
              <w:rPr>
                <w:rFonts w:ascii="Times New Roman" w:cs="Times New Roman" w:eastAsia="Times New Roman" w:hAnsi="Times New Roman"/>
                <w:sz w:val="9"/>
                <w:szCs w:val="9"/>
                <w:color w:val="auto"/>
              </w:rPr>
              <w:t>(7), (9)</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12/23/2025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972,973</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(29,189)</w:t>
            </w: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STV Group Incorporated</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12/11/2026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Construction &amp; Engineering</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5.40%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12,875,242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12,753,948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12,746,490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TeleGuam Holdings,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11/20/2025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6,584,034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6,519,682</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6,386,513</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Teneo Holdings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07/18/2025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Diversified Financial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9,900,000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9,562,628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9,528,750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Tensar Corporation</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07/09/2021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22,439,744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22,394,704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22,439,744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The Infosoft Group,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09/16/2024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18,200,773</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18,074,350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18,200,773</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The Original Cakerie, Co. </w:t>
            </w:r>
            <w:r>
              <w:rPr>
                <w:rFonts w:ascii="Times New Roman" w:cs="Times New Roman" w:eastAsia="Times New Roman" w:hAnsi="Times New Roman"/>
                <w:sz w:val="9"/>
                <w:szCs w:val="9"/>
                <w:color w:val="auto"/>
              </w:rPr>
              <w:t>(5), (10)</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07/20/2022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2M L+500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7,547,565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7,496,711</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7,472,089</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The Original Cakerie Ltd. </w:t>
            </w:r>
            <w:r>
              <w:rPr>
                <w:rFonts w:ascii="Times New Roman" w:cs="Times New Roman" w:eastAsia="Times New Roman" w:hAnsi="Times New Roman"/>
                <w:sz w:val="9"/>
                <w:szCs w:val="9"/>
                <w:color w:val="auto"/>
              </w:rPr>
              <w:t>(5), (10)</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07/20/2022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2M L+450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5,376,152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5,352,309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5,322,390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The Original Cakerie Ltd. (Revolver) </w:t>
            </w:r>
            <w:r>
              <w:rPr>
                <w:rFonts w:ascii="Times New Roman" w:cs="Times New Roman" w:eastAsia="Times New Roman" w:hAnsi="Times New Roman"/>
                <w:sz w:val="9"/>
                <w:szCs w:val="9"/>
                <w:color w:val="auto"/>
              </w:rPr>
              <w:t>(5), (9), (10)</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07/20/2022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1,418,484</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(14,185)</w:t>
            </w: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TPC Canada Parent, Inc. and TPC US Parent, LLC </w:t>
            </w:r>
            <w:r>
              <w:rPr>
                <w:rFonts w:ascii="Times New Roman" w:cs="Times New Roman" w:eastAsia="Times New Roman" w:hAnsi="Times New Roman"/>
                <w:sz w:val="9"/>
                <w:szCs w:val="9"/>
                <w:color w:val="auto"/>
              </w:rPr>
              <w:t>(5), (10)</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11/24/2025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rPr>
              <w:t>Food Products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4,962,500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4,918,485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4,813,625</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TVC Enterprises, LLC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01/18/2024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5,793,560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5,711,855</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5,750,108</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01/18/2024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1,303,813</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(9,779)</w:t>
            </w: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06/16/2025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6,910,465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6,766,653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6,772,256</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TWS Acquisition Corporation (Revolver)</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06/16/2025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1,819,285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1,819,285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1,782,899</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9"/>
                <w:szCs w:val="9"/>
                <w:color w:val="auto"/>
              </w:rPr>
              <w:t>(7), (9)</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06/16/2025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808,571</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(16,171)</w:t>
            </w: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Tyto Athene,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08/27/2024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17,491,232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17,294,288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17,435,261</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9"/>
                <w:szCs w:val="9"/>
                <w:color w:val="auto"/>
              </w:rPr>
              <w:t>(7), (9)</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08/27/2024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6,818,182</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(21,818)</w:t>
            </w: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UBEO,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04/03/2024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13,967,402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13,889,735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13,129,357</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UBEO, LLC (Revolver)</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04/03/2024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2,933,333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2,933,333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2,717,939</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Urology Management Associates,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08/30/2024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4,962,500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4,888,916</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4,813,625</w:t>
            </w:r>
          </w:p>
        </w:tc>
        <w:tc>
          <w:tcPr>
            <w:tcW w:w="120" w:type="dxa"/>
            <w:vAlign w:val="bottom"/>
            <w:shd w:val="clear" w:color="auto" w:fill="CCECFF"/>
          </w:tcPr>
          <w:p>
            <w:pPr>
              <w:spacing w:after="0"/>
              <w:rPr>
                <w:sz w:val="11"/>
                <w:szCs w:val="1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1"/>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66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7"/>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20" w:type="dxa"/>
            <w:vAlign w:val="bottom"/>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6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(1)</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40" w:type="dxa"/>
            <w:vAlign w:val="bottom"/>
          </w:tcPr>
          <w:p>
            <w:pPr>
              <w:spacing w:after="0"/>
              <w:rPr>
                <w:sz w:val="11"/>
                <w:szCs w:val="11"/>
                <w:color w:val="auto"/>
              </w:rPr>
            </w:pPr>
          </w:p>
        </w:tc>
        <w:tc>
          <w:tcPr>
            <w:tcW w:w="70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7"/>
              </w:rPr>
              <w:t xml:space="preserve">Fair Value </w:t>
            </w:r>
            <w:r>
              <w:rPr>
                <w:rFonts w:ascii="Times New Roman" w:cs="Times New Roman" w:eastAsia="Times New Roman" w:hAnsi="Times New Roman"/>
                <w:sz w:val="9"/>
                <w:szCs w:val="9"/>
                <w:b w:val="1"/>
                <w:bCs w:val="1"/>
                <w:color w:val="auto"/>
                <w:w w:val="97"/>
              </w:rPr>
              <w:t>(2)</w:t>
            </w:r>
          </w:p>
        </w:tc>
        <w:tc>
          <w:tcPr>
            <w:tcW w:w="120" w:type="dxa"/>
            <w:vAlign w:val="bottom"/>
          </w:tcPr>
          <w:p>
            <w:pPr>
              <w:spacing w:after="0"/>
              <w:rPr>
                <w:sz w:val="11"/>
                <w:szCs w:val="11"/>
                <w:color w:val="auto"/>
              </w:rPr>
            </w:pPr>
          </w:p>
        </w:tc>
      </w:tr>
      <w:tr>
        <w:trPr>
          <w:trHeight w:val="128"/>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US Med Acquisition, Inc.</w:t>
            </w:r>
          </w:p>
        </w:tc>
        <w:tc>
          <w:tcPr>
            <w:tcW w:w="14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08/13/2021</w:t>
            </w:r>
          </w:p>
        </w:tc>
        <w:tc>
          <w:tcPr>
            <w:tcW w:w="2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20" w:type="dxa"/>
            <w:vAlign w:val="bottom"/>
          </w:tcPr>
          <w:p>
            <w:pPr>
              <w:spacing w:after="0"/>
              <w:rPr>
                <w:sz w:val="11"/>
                <w:szCs w:val="1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9.00%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2,964,844</w:t>
            </w: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2,964,844</w:t>
            </w: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2,935,195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06/10/2025</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2"/>
              </w:rPr>
              <w:t>Media</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14,358,203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14,104,839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13,496,711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Whitney, Bradley &amp; Brown,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10/18/2022</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L+750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4,156,259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4,110,635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4,114,696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Wildcat Buyerco,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02/27/2026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8,852,574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8,685,417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8,764,052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Wildcat Buyerco, Inc. </w:t>
            </w:r>
            <w:r>
              <w:rPr>
                <w:rFonts w:ascii="Times New Roman" w:cs="Times New Roman" w:eastAsia="Times New Roman" w:hAnsi="Times New Roman"/>
                <w:sz w:val="9"/>
                <w:szCs w:val="9"/>
                <w:color w:val="auto"/>
              </w:rPr>
              <w:t>(7), (9)</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02/27/2022</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2,491,176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9"/>
                <w:szCs w:val="9"/>
                <w:color w:val="auto"/>
              </w:rPr>
              <w:t>(7), (9)</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02/27/2026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533,824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(9,716)</w:t>
            </w:r>
          </w:p>
        </w:tc>
      </w:tr>
      <w:tr>
        <w:trPr>
          <w:trHeight w:val="128"/>
        </w:trPr>
        <w:tc>
          <w:tcPr>
            <w:tcW w:w="33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855,654,960</w:t>
            </w: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837,579,784</w:t>
            </w:r>
          </w:p>
        </w:tc>
        <w:tc>
          <w:tcPr>
            <w:tcW w:w="120" w:type="dxa"/>
            <w:vAlign w:val="bottom"/>
            <w:tcBorders>
              <w:bottom w:val="single" w:sz="8" w:color="CCECFF"/>
            </w:tcBorders>
          </w:tcPr>
          <w:p>
            <w:pPr>
              <w:spacing w:after="0"/>
              <w:rPr>
                <w:sz w:val="11"/>
                <w:szCs w:val="11"/>
                <w:color w:val="auto"/>
              </w:rPr>
            </w:pPr>
          </w:p>
        </w:tc>
      </w:tr>
      <w:tr>
        <w:trPr>
          <w:trHeight w:val="128"/>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Debt—5.1%</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DBI Holdings, LLC, Term Loan B</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02/01/2026</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11,157,124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11,157,124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11,157,124</w:t>
            </w:r>
          </w:p>
        </w:tc>
        <w:tc>
          <w:tcPr>
            <w:tcW w:w="12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9.00%)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DBI Holdings, LLC, Term Loan C </w:t>
            </w:r>
            <w:r>
              <w:rPr>
                <w:rFonts w:ascii="Times New Roman" w:cs="Times New Roman" w:eastAsia="Times New Roman" w:hAnsi="Times New Roman"/>
                <w:sz w:val="9"/>
                <w:szCs w:val="9"/>
                <w:color w:val="auto"/>
              </w:rPr>
              <w:t>(7)</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03/26/2021</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22,312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22,312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22,312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9.00%)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DecoPac,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03/31/2025</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L+825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9,738,580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9,654,555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9,738,580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MailSouth,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10/23/2024</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 xml:space="preserve">0.00% </w:t>
            </w:r>
            <w:r>
              <w:rPr>
                <w:rFonts w:ascii="Times New Roman" w:cs="Times New Roman" w:eastAsia="Times New Roman" w:hAnsi="Times New Roman"/>
                <w:sz w:val="9"/>
                <w:szCs w:val="9"/>
                <w:color w:val="auto"/>
              </w:rPr>
              <w:t>(6)</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2,871,025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2,827,178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1,464,223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9"/>
                <w:szCs w:val="9"/>
                <w:color w:val="auto"/>
              </w:rPr>
              <w:t>(7)</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11/30/2024</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L+1,000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2,099,171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2,083,772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2,099,171</w:t>
            </w:r>
          </w:p>
        </w:tc>
        <w:tc>
          <w:tcPr>
            <w:tcW w:w="120" w:type="dxa"/>
            <w:vAlign w:val="bottom"/>
          </w:tcPr>
          <w:p>
            <w:pPr>
              <w:spacing w:after="0"/>
              <w:rPr>
                <w:sz w:val="11"/>
                <w:szCs w:val="11"/>
                <w:color w:val="auto"/>
              </w:rPr>
            </w:pPr>
          </w:p>
        </w:tc>
      </w:tr>
      <w:tr>
        <w:trPr>
          <w:trHeight w:val="135"/>
        </w:trPr>
        <w:tc>
          <w:tcPr>
            <w:tcW w:w="336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12.30%)</w:t>
            </w: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r>
      <w:tr>
        <w:trPr>
          <w:trHeight w:val="128"/>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25,744,941</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24,481,410</w:t>
            </w:r>
          </w:p>
        </w:tc>
        <w:tc>
          <w:tcPr>
            <w:tcW w:w="120" w:type="dxa"/>
            <w:vAlign w:val="bottom"/>
            <w:shd w:val="clear" w:color="auto" w:fill="CCECFF"/>
          </w:tcPr>
          <w:p>
            <w:pPr>
              <w:spacing w:after="0"/>
              <w:rPr>
                <w:sz w:val="11"/>
                <w:szCs w:val="11"/>
                <w:color w:val="auto"/>
              </w:rPr>
            </w:pPr>
          </w:p>
        </w:tc>
      </w:tr>
      <w:tr>
        <w:trPr>
          <w:trHeight w:val="128"/>
        </w:trPr>
        <w:tc>
          <w:tcPr>
            <w:tcW w:w="3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xml:space="preserve">Preferred Equity— 1.3% </w:t>
            </w:r>
            <w:r>
              <w:rPr>
                <w:rFonts w:ascii="Times New Roman" w:cs="Times New Roman" w:eastAsia="Times New Roman" w:hAnsi="Times New Roman"/>
                <w:sz w:val="9"/>
                <w:szCs w:val="9"/>
                <w:b w:val="1"/>
                <w:bCs w:val="1"/>
                <w:color w:val="auto"/>
              </w:rPr>
              <w:t>(6)</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21,870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Condor Holdings Limited </w:t>
            </w:r>
            <w:r>
              <w:rPr>
                <w:rFonts w:ascii="Times New Roman" w:cs="Times New Roman" w:eastAsia="Times New Roman" w:hAnsi="Times New Roman"/>
                <w:sz w:val="9"/>
                <w:szCs w:val="9"/>
                <w:color w:val="auto"/>
              </w:rPr>
              <w:t>(5), (7), (10)</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10,173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11,274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Condor Top Holdco Limited </w:t>
            </w:r>
            <w:r>
              <w:rPr>
                <w:rFonts w:ascii="Times New Roman" w:cs="Times New Roman" w:eastAsia="Times New Roman" w:hAnsi="Times New Roman"/>
                <w:sz w:val="9"/>
                <w:szCs w:val="9"/>
                <w:color w:val="auto"/>
              </w:rPr>
              <w:t>(5), (7), (10)</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77,827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207,079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DBI Holding, LLC, Series A-1 </w:t>
            </w:r>
            <w:r>
              <w:rPr>
                <w:rFonts w:ascii="Times New Roman" w:cs="Times New Roman" w:eastAsia="Times New Roman" w:hAnsi="Times New Roman"/>
                <w:sz w:val="9"/>
                <w:szCs w:val="9"/>
                <w:color w:val="auto"/>
              </w:rPr>
              <w:t>(8)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14.00%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7,040,844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2,522,555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2"/>
              </w:rPr>
              <w:t>Media</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635,021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NXOF Holdings, Inc. (NextiraOne Federal, LLC) </w:t>
            </w:r>
            <w:r>
              <w:rPr>
                <w:rFonts w:ascii="Times New Roman" w:cs="Times New Roman" w:eastAsia="Times New Roman" w:hAnsi="Times New Roman"/>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591,195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11.00%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L+1,000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429,000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488,631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12.00%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1,166,993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1,221,750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9"/>
                <w:szCs w:val="9"/>
                <w:color w:val="auto"/>
              </w:rPr>
              <w:t>(5), (7), (10)</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Food Products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409,011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443,141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UniTek Global Services, Inc. -</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20.00%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343,861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343,861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Super Senior Preferred Equity </w:t>
            </w:r>
            <w:r>
              <w:rPr>
                <w:rFonts w:ascii="Times New Roman" w:cs="Times New Roman" w:eastAsia="Times New Roman" w:hAnsi="Times New Roman"/>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UniTek Global Services, Inc. - Senior Preferred Equity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19.00%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448,851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448,851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13.50%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1,047,317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670,283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28"/>
        </w:trPr>
        <w:tc>
          <w:tcPr>
            <w:tcW w:w="336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Preferred Equity</w:t>
            </w:r>
          </w:p>
        </w:tc>
        <w:tc>
          <w:tcPr>
            <w:tcW w:w="14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3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12,068,713</w:t>
            </w: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6,120,646</w:t>
            </w:r>
          </w:p>
        </w:tc>
        <w:tc>
          <w:tcPr>
            <w:tcW w:w="120" w:type="dxa"/>
            <w:vAlign w:val="bottom"/>
            <w:tcBorders>
              <w:top w:val="single" w:sz="8" w:color="CCECFF"/>
            </w:tcBorders>
            <w:shd w:val="clear" w:color="auto" w:fill="CCECFF"/>
          </w:tcPr>
          <w:p>
            <w:pPr>
              <w:spacing w:after="0"/>
              <w:rPr>
                <w:sz w:val="11"/>
                <w:szCs w:val="11"/>
                <w:color w:val="auto"/>
              </w:rPr>
            </w:pPr>
          </w:p>
        </w:tc>
      </w:tr>
      <w:tr>
        <w:trPr>
          <w:trHeight w:val="129"/>
        </w:trPr>
        <w:tc>
          <w:tcPr>
            <w:tcW w:w="3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xml:space="preserve">Common Equity/Warrants— 8.9% </w:t>
            </w:r>
            <w:r>
              <w:rPr>
                <w:rFonts w:ascii="Times New Roman" w:cs="Times New Roman" w:eastAsia="Times New Roman" w:hAnsi="Times New Roman"/>
                <w:sz w:val="9"/>
                <w:szCs w:val="9"/>
                <w:b w:val="1"/>
                <w:bCs w:val="1"/>
                <w:color w:val="auto"/>
              </w:rPr>
              <w:t>(6)</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Affinion Group Holdings, Inc. (Warrants)</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8,893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244,998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Software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1,002,599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9"/>
                <w:szCs w:val="9"/>
                <w:color w:val="auto"/>
              </w:rPr>
              <w:t>(7), (8), (9)</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Software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Altamira Intermediate Company II, Inc. </w:t>
            </w:r>
            <w:r>
              <w:rPr>
                <w:rFonts w:ascii="Times New Roman" w:cs="Times New Roman" w:eastAsia="Times New Roman" w:hAnsi="Times New Roman"/>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933,198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21,908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2,190,771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7,599,349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9"/>
                <w:szCs w:val="9"/>
                <w:color w:val="auto"/>
              </w:rPr>
              <w:t>(7), (8), (9)</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5,592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CI (Allied) Investment Holdings,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120,962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1,243,217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(Allied America, Inc.) </w:t>
            </w:r>
            <w:r>
              <w:rPr>
                <w:rFonts w:ascii="Times New Roman" w:cs="Times New Roman" w:eastAsia="Times New Roman" w:hAnsi="Times New Roman"/>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CI (Summit) Investment Holdings,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58,846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629,620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788,839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(SFP Holding, Inc.)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DBI Holding, LLC, Series B </w:t>
            </w:r>
            <w:r>
              <w:rPr>
                <w:rFonts w:ascii="Times New Roman" w:cs="Times New Roman" w:eastAsia="Times New Roman" w:hAnsi="Times New Roman"/>
                <w:sz w:val="9"/>
                <w:szCs w:val="9"/>
                <w:color w:val="auto"/>
              </w:rPr>
              <w:t>(8)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1,489,508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330,791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DecoPac Holdings Inc.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1,632,744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2,401,324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295,982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295,982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449,276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9"/>
                <w:szCs w:val="9"/>
                <w:color w:val="auto"/>
              </w:rPr>
              <w:t>(7), (10)</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251,156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257,421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Faraday Holdings, LLC </w:t>
            </w:r>
            <w:r>
              <w:rPr>
                <w:rFonts w:ascii="Times New Roman" w:cs="Times New Roman" w:eastAsia="Times New Roman" w:hAnsi="Times New Roman"/>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375,581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Gauge InfosoftCoInvest,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143,663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775,000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(The Infosoft Group, LLC)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Gauge Lash Coinvest LLC </w:t>
            </w:r>
            <w:r>
              <w:rPr>
                <w:rFonts w:ascii="Times New Roman" w:cs="Times New Roman" w:eastAsia="Times New Roman" w:hAnsi="Times New Roman"/>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1,485,953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1,760,670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2,615,277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Gauge Schlesinger Coinvest LLC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437,371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425,883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Gauge TVC Coinvest, LLC (TVC Enterprises, LLC) </w:t>
            </w:r>
            <w:r>
              <w:rPr>
                <w:rFonts w:ascii="Times New Roman" w:cs="Times New Roman" w:eastAsia="Times New Roman" w:hAnsi="Times New Roman"/>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391,144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391,144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482,277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1,722,632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1,596,634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3,010,719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9"/>
                <w:szCs w:val="9"/>
                <w:color w:val="auto"/>
              </w:rPr>
              <w:t>(7), (8), (9)</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277,368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Go Dawgs Capital III, LP</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Building Products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324,675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324,675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324,675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IIN Group Holdings, LLC</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Consumer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1,054,709</w:t>
            </w:r>
          </w:p>
        </w:tc>
        <w:tc>
          <w:tcPr>
            <w:tcW w:w="120" w:type="dxa"/>
            <w:vAlign w:val="bottom"/>
          </w:tcPr>
          <w:p>
            <w:pPr>
              <w:spacing w:after="0"/>
              <w:rPr>
                <w:sz w:val="11"/>
                <w:szCs w:val="11"/>
                <w:color w:val="auto"/>
              </w:rPr>
            </w:pPr>
          </w:p>
        </w:tc>
      </w:tr>
      <w:tr>
        <w:trPr>
          <w:trHeight w:val="135"/>
        </w:trPr>
        <w:tc>
          <w:tcPr>
            <w:tcW w:w="3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(Integrative Nutrition, LLC) </w:t>
            </w:r>
            <w:r>
              <w:rPr>
                <w:rFonts w:ascii="Times New Roman" w:cs="Times New Roman" w:eastAsia="Times New Roman" w:hAnsi="Times New Roman"/>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ITC Rumba, LLC (Cano Health,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46,763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766,149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2,335,369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JWC/UMA Holdings, L.P. </w:t>
            </w:r>
            <w:r>
              <w:rPr>
                <w:rFonts w:ascii="Times New Roman" w:cs="Times New Roman" w:eastAsia="Times New Roman" w:hAnsi="Times New Roman"/>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1,389,498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JWC-WE Holdings, L.P.</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Wholesale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1,381,741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1,381,741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8,704,966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Kentucky Racing Holdco, LLC (Warrants) </w:t>
            </w:r>
            <w:r>
              <w:rPr>
                <w:rFonts w:ascii="Times New Roman" w:cs="Times New Roman" w:eastAsia="Times New Roman" w:hAnsi="Times New Roman"/>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87,345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226,368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Lightspeed Investment Holdco LLC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585,587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585,587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672,313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2"/>
              </w:rPr>
              <w:t>Media</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NXOF Holdings, Inc. (NextiraOne Federal, LLC)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24,916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w w:val="98"/>
              </w:rPr>
              <w:t xml:space="preserve">OceanSound Discovery Equity, LP (Holdco Sands Intermediate, LLC) </w:t>
            </w:r>
            <w:r>
              <w:rPr>
                <w:rFonts w:ascii="Times New Roman" w:cs="Times New Roman" w:eastAsia="Times New Roman" w:hAnsi="Times New Roman"/>
                <w:sz w:val="9"/>
                <w:szCs w:val="9"/>
                <w:color w:val="auto"/>
                <w:w w:val="98"/>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173,638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1,736,381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1,744,780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286,000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1,067,566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103,995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9"/>
                <w:szCs w:val="9"/>
                <w:color w:val="auto"/>
              </w:rPr>
              <w:t>(7), (8), (9)</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96,667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SBI Holdings Investments LLC (Sales Benchmark Index LLC) </w:t>
            </w:r>
            <w:r>
              <w:rPr>
                <w:rFonts w:ascii="Times New Roman" w:cs="Times New Roman" w:eastAsia="Times New Roman" w:hAnsi="Times New Roman"/>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64,634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646,341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458,093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61,421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2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66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34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24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(1)</w:t>
            </w: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9"/>
                <w:szCs w:val="9"/>
                <w:b w:val="1"/>
                <w:bCs w:val="1"/>
                <w:color w:val="auto"/>
              </w:rPr>
              <w:t>(2)</w:t>
            </w:r>
          </w:p>
        </w:tc>
      </w:tr>
      <w:tr>
        <w:trPr>
          <w:trHeight w:val="128"/>
        </w:trPr>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tcPr>
          <w:p>
            <w:pPr>
              <w:spacing w:after="0"/>
              <w:rPr>
                <w:sz w:val="11"/>
                <w:szCs w:val="11"/>
                <w:color w:val="auto"/>
              </w:rPr>
            </w:pPr>
          </w:p>
        </w:tc>
        <w:tc>
          <w:tcPr>
            <w:tcW w:w="5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20" w:type="dxa"/>
            <w:vAlign w:val="bottom"/>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4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583,200</w:t>
            </w:r>
          </w:p>
        </w:tc>
        <w:tc>
          <w:tcPr>
            <w:tcW w:w="100" w:type="dxa"/>
            <w:vAlign w:val="bottom"/>
          </w:tcPr>
          <w:p>
            <w:pPr>
              <w:spacing w:after="0"/>
              <w:rPr>
                <w:sz w:val="11"/>
                <w:szCs w:val="11"/>
                <w:color w:val="auto"/>
              </w:rPr>
            </w:pPr>
          </w:p>
        </w:tc>
      </w:tr>
      <w:tr>
        <w:trPr>
          <w:trHeight w:val="135"/>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 xml:space="preserve">Class A (US Dominion, Inc.) </w:t>
            </w:r>
            <w:r>
              <w:rPr>
                <w:rFonts w:ascii="Times New Roman" w:cs="Times New Roman" w:eastAsia="Times New Roman" w:hAnsi="Times New Roman"/>
                <w:sz w:val="9"/>
                <w:szCs w:val="9"/>
                <w:color w:val="auto"/>
              </w:rPr>
              <w:t>(7)</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1,585,388</w:t>
            </w:r>
          </w:p>
        </w:tc>
        <w:tc>
          <w:tcPr>
            <w:tcW w:w="100" w:type="dxa"/>
            <w:vAlign w:val="bottom"/>
            <w:shd w:val="clear" w:color="auto" w:fill="CCECFF"/>
          </w:tcPr>
          <w:p>
            <w:pPr>
              <w:spacing w:after="0"/>
              <w:rPr>
                <w:sz w:val="11"/>
                <w:szCs w:val="11"/>
                <w:color w:val="auto"/>
              </w:rPr>
            </w:pPr>
          </w:p>
        </w:tc>
      </w:tr>
      <w:tr>
        <w:trPr>
          <w:trHeight w:val="135"/>
        </w:trPr>
        <w:tc>
          <w:tcPr>
            <w:tcW w:w="332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Class B (US Dominion, Inc.) </w:t>
            </w:r>
            <w:r>
              <w:rPr>
                <w:rFonts w:ascii="Times New Roman" w:cs="Times New Roman" w:eastAsia="Times New Roman" w:hAnsi="Times New Roman"/>
                <w:sz w:val="9"/>
                <w:szCs w:val="9"/>
                <w:color w:val="auto"/>
              </w:rPr>
              <w:t>(7)</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9"/>
                <w:szCs w:val="9"/>
                <w:color w:val="auto"/>
              </w:rPr>
              <w:t>(5), (7), (10)</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Food Products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21,527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21,527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105,482</w:t>
            </w:r>
          </w:p>
        </w:tc>
        <w:tc>
          <w:tcPr>
            <w:tcW w:w="100" w:type="dxa"/>
            <w:vAlign w:val="bottom"/>
          </w:tcPr>
          <w:p>
            <w:pPr>
              <w:spacing w:after="0"/>
              <w:rPr>
                <w:sz w:val="11"/>
                <w:szCs w:val="1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9"/>
                <w:szCs w:val="9"/>
                <w:color w:val="auto"/>
              </w:rPr>
              <w:t>(7)</w:t>
            </w: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213,739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4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 xml:space="preserve">UniTek Global Services, Inc. (Warrants) </w:t>
            </w:r>
            <w:r>
              <w:rPr>
                <w:rFonts w:ascii="Times New Roman" w:cs="Times New Roman" w:eastAsia="Times New Roman" w:hAnsi="Times New Roman"/>
                <w:sz w:val="9"/>
                <w:szCs w:val="9"/>
                <w:color w:val="auto"/>
              </w:rPr>
              <w:t>(7)</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4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WBB Equity, LLC </w:t>
            </w:r>
            <w:r>
              <w:rPr>
                <w:rFonts w:ascii="Times New Roman" w:cs="Times New Roman" w:eastAsia="Times New Roman" w:hAnsi="Times New Roman"/>
                <w:sz w:val="9"/>
                <w:szCs w:val="9"/>
                <w:color w:val="auto"/>
              </w:rPr>
              <w:t>(7), (8)</w:t>
            </w: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142,857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142,857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625,714</w:t>
            </w:r>
          </w:p>
        </w:tc>
        <w:tc>
          <w:tcPr>
            <w:tcW w:w="100" w:type="dxa"/>
            <w:vAlign w:val="bottom"/>
            <w:shd w:val="clear" w:color="auto" w:fill="CCECFF"/>
          </w:tcPr>
          <w:p>
            <w:pPr>
              <w:spacing w:after="0"/>
              <w:rPr>
                <w:sz w:val="11"/>
                <w:szCs w:val="11"/>
                <w:color w:val="auto"/>
              </w:rPr>
            </w:pPr>
          </w:p>
        </w:tc>
      </w:tr>
      <w:tr>
        <w:trPr>
          <w:trHeight w:val="135"/>
        </w:trPr>
        <w:tc>
          <w:tcPr>
            <w:tcW w:w="344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color w:val="auto"/>
              </w:rPr>
              <w:t xml:space="preserve">Wildcat Parent, LP (Wildcat Buyerco, Inc.) </w:t>
            </w:r>
            <w:r>
              <w:rPr>
                <w:rFonts w:ascii="Times New Roman" w:cs="Times New Roman" w:eastAsia="Times New Roman" w:hAnsi="Times New Roman"/>
                <w:sz w:val="9"/>
                <w:szCs w:val="9"/>
                <w:color w:val="auto"/>
              </w:rPr>
              <w:t>(7), (8)</w:t>
            </w:r>
          </w:p>
        </w:tc>
        <w:tc>
          <w:tcPr>
            <w:tcW w:w="760" w:type="dxa"/>
            <w:vAlign w:val="bottom"/>
            <w:tcBorders>
              <w:bottom w:val="single" w:sz="8" w:color="CCECFF"/>
            </w:tcBorders>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940" w:type="dxa"/>
            <w:vAlign w:val="bottom"/>
            <w:tcBorders>
              <w:bottom w:val="single" w:sz="8" w:color="CCECFF"/>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CFF"/>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2,240</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223,995</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246,694</w:t>
            </w:r>
          </w:p>
        </w:tc>
        <w:tc>
          <w:tcPr>
            <w:tcW w:w="100" w:type="dxa"/>
            <w:vAlign w:val="bottom"/>
            <w:tcBorders>
              <w:bottom w:val="single" w:sz="8" w:color="CCECFF"/>
            </w:tcBorders>
          </w:tcPr>
          <w:p>
            <w:pPr>
              <w:spacing w:after="0"/>
              <w:rPr>
                <w:sz w:val="11"/>
                <w:szCs w:val="1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Common Equity/Warrants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22,406,143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42,370,469</w:t>
            </w:r>
          </w:p>
        </w:tc>
        <w:tc>
          <w:tcPr>
            <w:tcW w:w="100" w:type="dxa"/>
            <w:vAlign w:val="bottom"/>
            <w:shd w:val="clear" w:color="auto" w:fill="CCECFF"/>
          </w:tcPr>
          <w:p>
            <w:pPr>
              <w:spacing w:after="0"/>
              <w:rPr>
                <w:sz w:val="11"/>
                <w:szCs w:val="11"/>
                <w:color w:val="auto"/>
              </w:rPr>
            </w:pPr>
          </w:p>
        </w:tc>
      </w:tr>
      <w:tr>
        <w:trPr>
          <w:trHeight w:val="128"/>
        </w:trPr>
        <w:tc>
          <w:tcPr>
            <w:tcW w:w="344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w w:val="98"/>
              </w:rPr>
              <w:t>Total Investments in Non-Controlled, Non-Affiliated Portfolio Companies</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915,874,757</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910,552,309</w:t>
            </w:r>
          </w:p>
        </w:tc>
        <w:tc>
          <w:tcPr>
            <w:tcW w:w="100" w:type="dxa"/>
            <w:vAlign w:val="bottom"/>
            <w:tcBorders>
              <w:bottom w:val="single" w:sz="8" w:color="CCECFF"/>
            </w:tcBorders>
          </w:tcPr>
          <w:p>
            <w:pPr>
              <w:spacing w:after="0"/>
              <w:rPr>
                <w:sz w:val="11"/>
                <w:szCs w:val="11"/>
                <w:color w:val="auto"/>
              </w:rPr>
            </w:pPr>
          </w:p>
        </w:tc>
      </w:tr>
      <w:tr>
        <w:trPr>
          <w:trHeight w:val="128"/>
        </w:trPr>
        <w:tc>
          <w:tcPr>
            <w:tcW w:w="4200" w:type="dxa"/>
            <w:vAlign w:val="bottom"/>
            <w:gridSpan w:val="5"/>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Investments in Non-Controlled, Affiliated Portfolio Companies—2.3% </w:t>
            </w:r>
            <w:r>
              <w:rPr>
                <w:rFonts w:ascii="Times New Roman" w:cs="Times New Roman" w:eastAsia="Times New Roman" w:hAnsi="Times New Roman"/>
                <w:sz w:val="9"/>
                <w:szCs w:val="9"/>
                <w:b w:val="1"/>
                <w:bCs w:val="1"/>
                <w:color w:val="auto"/>
              </w:rPr>
              <w:t>(3), (4)</w:t>
            </w: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4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Debt—1.2%</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Country Fresh Holdings, LLC - Super Senior Term Loan </w:t>
            </w:r>
            <w:r>
              <w:rPr>
                <w:rFonts w:ascii="Times New Roman" w:cs="Times New Roman" w:eastAsia="Times New Roman" w:hAnsi="Times New Roman"/>
                <w:sz w:val="9"/>
                <w:szCs w:val="9"/>
                <w:color w:val="auto"/>
              </w:rPr>
              <w:t>(7)</w:t>
            </w:r>
          </w:p>
        </w:tc>
        <w:tc>
          <w:tcPr>
            <w:tcW w:w="5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w w:val="99"/>
              </w:rPr>
              <w:t>06/01/2022</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12.00%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1,366,489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1,366,489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1,366,489</w:t>
            </w:r>
          </w:p>
        </w:tc>
        <w:tc>
          <w:tcPr>
            <w:tcW w:w="100" w:type="dxa"/>
            <w:vAlign w:val="bottom"/>
            <w:shd w:val="clear" w:color="auto" w:fill="CCECFF"/>
          </w:tcPr>
          <w:p>
            <w:pPr>
              <w:spacing w:after="0"/>
              <w:rPr>
                <w:sz w:val="11"/>
                <w:szCs w:val="11"/>
                <w:color w:val="auto"/>
              </w:rPr>
            </w:pPr>
          </w:p>
        </w:tc>
      </w:tr>
      <w:tr>
        <w:trPr>
          <w:trHeight w:val="135"/>
        </w:trPr>
        <w:tc>
          <w:tcPr>
            <w:tcW w:w="34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 xml:space="preserve">Country Fresh Holdings, LLC - Super Senior Term Loan </w:t>
            </w:r>
            <w:r>
              <w:rPr>
                <w:rFonts w:ascii="Times New Roman" w:cs="Times New Roman" w:eastAsia="Times New Roman" w:hAnsi="Times New Roman"/>
                <w:sz w:val="9"/>
                <w:szCs w:val="9"/>
                <w:color w:val="auto"/>
              </w:rPr>
              <w:t>(7), (9)</w:t>
            </w:r>
          </w:p>
        </w:tc>
        <w:tc>
          <w:tcPr>
            <w:tcW w:w="520" w:type="dxa"/>
            <w:vAlign w:val="bottom"/>
          </w:tcPr>
          <w:p>
            <w:pPr>
              <w:spacing w:after="0"/>
              <w:rPr>
                <w:sz w:val="20"/>
                <w:szCs w:val="20"/>
                <w:color w:val="auto"/>
              </w:rPr>
            </w:pPr>
            <w:r>
              <w:rPr>
                <w:rFonts w:ascii="Times New Roman" w:cs="Times New Roman" w:eastAsia="Times New Roman" w:hAnsi="Times New Roman"/>
                <w:sz w:val="11"/>
                <w:szCs w:val="11"/>
                <w:color w:val="auto"/>
                <w:w w:val="99"/>
              </w:rPr>
              <w:t>06/01/2022</w:t>
            </w:r>
          </w:p>
        </w:tc>
        <w:tc>
          <w:tcPr>
            <w:tcW w:w="240" w:type="dxa"/>
            <w:vAlign w:val="bottom"/>
          </w:tcPr>
          <w:p>
            <w:pPr>
              <w:spacing w:after="0"/>
              <w:rPr>
                <w:sz w:val="11"/>
                <w:szCs w:val="11"/>
                <w:color w:val="auto"/>
              </w:rPr>
            </w:pPr>
          </w:p>
        </w:tc>
        <w:tc>
          <w:tcPr>
            <w:tcW w:w="24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452,123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4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Country Fresh Holdings, LLC </w:t>
            </w:r>
            <w:r>
              <w:rPr>
                <w:rFonts w:ascii="Times New Roman" w:cs="Times New Roman" w:eastAsia="Times New Roman" w:hAnsi="Times New Roman"/>
                <w:sz w:val="9"/>
                <w:szCs w:val="9"/>
                <w:color w:val="auto"/>
              </w:rPr>
              <w:t>(7)</w:t>
            </w:r>
          </w:p>
        </w:tc>
        <w:tc>
          <w:tcPr>
            <w:tcW w:w="5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w w:val="99"/>
              </w:rPr>
              <w:t>05/01/2023</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1,544,161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1,515,199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1,544,161</w:t>
            </w:r>
          </w:p>
        </w:tc>
        <w:tc>
          <w:tcPr>
            <w:tcW w:w="100" w:type="dxa"/>
            <w:vAlign w:val="bottom"/>
            <w:shd w:val="clear" w:color="auto" w:fill="CCECFF"/>
          </w:tcPr>
          <w:p>
            <w:pPr>
              <w:spacing w:after="0"/>
              <w:rPr>
                <w:sz w:val="11"/>
                <w:szCs w:val="11"/>
                <w:color w:val="auto"/>
              </w:rPr>
            </w:pPr>
          </w:p>
        </w:tc>
      </w:tr>
      <w:tr>
        <w:trPr>
          <w:trHeight w:val="135"/>
        </w:trPr>
        <w:tc>
          <w:tcPr>
            <w:tcW w:w="344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color w:val="auto"/>
              </w:rPr>
              <w:t xml:space="preserve">Country Fresh Holdings, LLC (Revolver) </w:t>
            </w:r>
            <w:r>
              <w:rPr>
                <w:rFonts w:ascii="Times New Roman" w:cs="Times New Roman" w:eastAsia="Times New Roman" w:hAnsi="Times New Roman"/>
                <w:sz w:val="9"/>
                <w:szCs w:val="9"/>
                <w:color w:val="auto"/>
              </w:rPr>
              <w:t>(7)</w:t>
            </w:r>
          </w:p>
        </w:tc>
        <w:tc>
          <w:tcPr>
            <w:tcW w:w="5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color w:val="auto"/>
                <w:w w:val="99"/>
              </w:rPr>
              <w:t>05/01/2023</w:t>
            </w:r>
          </w:p>
        </w:tc>
        <w:tc>
          <w:tcPr>
            <w:tcW w:w="240" w:type="dxa"/>
            <w:vAlign w:val="bottom"/>
            <w:tcBorders>
              <w:bottom w:val="single" w:sz="8" w:color="CCECFF"/>
            </w:tcBorders>
          </w:tcPr>
          <w:p>
            <w:pPr>
              <w:spacing w:after="0"/>
              <w:rPr>
                <w:sz w:val="11"/>
                <w:szCs w:val="11"/>
                <w:color w:val="auto"/>
              </w:rPr>
            </w:pPr>
          </w:p>
        </w:tc>
        <w:tc>
          <w:tcPr>
            <w:tcW w:w="246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940" w:type="dxa"/>
            <w:vAlign w:val="bottom"/>
            <w:tcBorders>
              <w:bottom w:val="single" w:sz="8" w:color="CCECFF"/>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6.00%</w:t>
            </w:r>
          </w:p>
        </w:tc>
        <w:tc>
          <w:tcPr>
            <w:tcW w:w="920" w:type="dxa"/>
            <w:vAlign w:val="bottom"/>
            <w:tcBorders>
              <w:bottom w:val="single" w:sz="8" w:color="CCECFF"/>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L+500</w:t>
            </w:r>
          </w:p>
        </w:tc>
        <w:tc>
          <w:tcPr>
            <w:tcW w:w="66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2,746,564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2,746,564</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2,746,564</w:t>
            </w:r>
          </w:p>
        </w:tc>
        <w:tc>
          <w:tcPr>
            <w:tcW w:w="100" w:type="dxa"/>
            <w:vAlign w:val="bottom"/>
            <w:tcBorders>
              <w:bottom w:val="single" w:sz="8" w:color="CCECFF"/>
            </w:tcBorders>
          </w:tcPr>
          <w:p>
            <w:pPr>
              <w:spacing w:after="0"/>
              <w:rPr>
                <w:sz w:val="11"/>
                <w:szCs w:val="1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5,628,252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5,657,214</w:t>
            </w:r>
          </w:p>
        </w:tc>
        <w:tc>
          <w:tcPr>
            <w:tcW w:w="100" w:type="dxa"/>
            <w:vAlign w:val="bottom"/>
            <w:shd w:val="clear" w:color="auto" w:fill="CCECFF"/>
          </w:tcPr>
          <w:p>
            <w:pPr>
              <w:spacing w:after="0"/>
              <w:rPr>
                <w:sz w:val="11"/>
                <w:szCs w:val="11"/>
                <w:color w:val="auto"/>
              </w:rPr>
            </w:pPr>
          </w:p>
        </w:tc>
      </w:tr>
      <w:tr>
        <w:trPr>
          <w:trHeight w:val="135"/>
        </w:trPr>
        <w:tc>
          <w:tcPr>
            <w:tcW w:w="34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Debt—1.1%</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Country Fresh Holdings, LLC </w:t>
            </w:r>
            <w:r>
              <w:rPr>
                <w:rFonts w:ascii="Times New Roman" w:cs="Times New Roman" w:eastAsia="Times New Roman" w:hAnsi="Times New Roman"/>
                <w:sz w:val="9"/>
                <w:szCs w:val="9"/>
                <w:color w:val="auto"/>
              </w:rPr>
              <w:t>(7)</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w w:val="99"/>
              </w:rPr>
              <w:t>04/29/2024</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5,882,579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5,882,579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5,429,620</w:t>
            </w:r>
          </w:p>
        </w:tc>
        <w:tc>
          <w:tcPr>
            <w:tcW w:w="100" w:type="dxa"/>
            <w:vAlign w:val="bottom"/>
            <w:shd w:val="clear" w:color="auto" w:fill="CCECFF"/>
          </w:tcPr>
          <w:p>
            <w:pPr>
              <w:spacing w:after="0"/>
              <w:rPr>
                <w:sz w:val="11"/>
                <w:szCs w:val="11"/>
                <w:color w:val="auto"/>
              </w:rPr>
            </w:pPr>
          </w:p>
        </w:tc>
      </w:tr>
      <w:tr>
        <w:trPr>
          <w:trHeight w:val="135"/>
        </w:trPr>
        <w:tc>
          <w:tcPr>
            <w:tcW w:w="2940" w:type="dxa"/>
            <w:vAlign w:val="bottom"/>
            <w:shd w:val="clear" w:color="auto" w:fill="CCECFF"/>
          </w:tcPr>
          <w:p>
            <w:pPr>
              <w:spacing w:after="0"/>
              <w:rPr>
                <w:sz w:val="11"/>
                <w:szCs w:val="11"/>
                <w:color w:val="auto"/>
              </w:rPr>
            </w:pPr>
          </w:p>
        </w:tc>
        <w:tc>
          <w:tcPr>
            <w:tcW w:w="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9.50%)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29"/>
        </w:trPr>
        <w:tc>
          <w:tcPr>
            <w:tcW w:w="34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5,882,579</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5,429,620</w:t>
            </w:r>
          </w:p>
        </w:tc>
        <w:tc>
          <w:tcPr>
            <w:tcW w:w="100" w:type="dxa"/>
            <w:vAlign w:val="bottom"/>
          </w:tcPr>
          <w:p>
            <w:pPr>
              <w:spacing w:after="0"/>
              <w:rPr>
                <w:sz w:val="11"/>
                <w:szCs w:val="1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Common Equity/Warrants—0.0% </w:t>
            </w:r>
            <w:r>
              <w:rPr>
                <w:rFonts w:ascii="Times New Roman" w:cs="Times New Roman" w:eastAsia="Times New Roman" w:hAnsi="Times New Roman"/>
                <w:sz w:val="9"/>
                <w:szCs w:val="9"/>
                <w:b w:val="1"/>
                <w:bCs w:val="1"/>
                <w:color w:val="auto"/>
              </w:rPr>
              <w:t>(6)</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4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 xml:space="preserve">Country Fresh Holding Company Inc. </w:t>
            </w:r>
            <w:r>
              <w:rPr>
                <w:rFonts w:ascii="Times New Roman" w:cs="Times New Roman" w:eastAsia="Times New Roman" w:hAnsi="Times New Roman"/>
                <w:sz w:val="9"/>
                <w:szCs w:val="9"/>
                <w:color w:val="auto"/>
              </w:rPr>
              <w:t>(7)</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8,034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10,453,350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3440" w:type="dxa"/>
            <w:vAlign w:val="bottom"/>
            <w:tcBorders>
              <w:top w:val="single" w:sz="8" w:color="CCECFF"/>
            </w:tcBorders>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Common Equity/Warrants</w:t>
            </w:r>
          </w:p>
        </w:tc>
        <w:tc>
          <w:tcPr>
            <w:tcW w:w="52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3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10,453,350</w:t>
            </w:r>
          </w:p>
        </w:tc>
        <w:tc>
          <w:tcPr>
            <w:tcW w:w="220" w:type="dxa"/>
            <w:vAlign w:val="bottom"/>
            <w:tcBorders>
              <w:top w:val="single" w:sz="8" w:color="CCECFF"/>
            </w:tcBorders>
            <w:shd w:val="clear" w:color="auto" w:fill="CCECFF"/>
          </w:tcPr>
          <w:p>
            <w:pPr>
              <w:spacing w:after="0"/>
              <w:rPr>
                <w:sz w:val="11"/>
                <w:szCs w:val="11"/>
                <w:color w:val="auto"/>
              </w:rPr>
            </w:pPr>
          </w:p>
        </w:tc>
        <w:tc>
          <w:tcPr>
            <w:tcW w:w="20" w:type="dxa"/>
            <w:vAlign w:val="bottom"/>
            <w:tcBorders>
              <w:top w:val="single" w:sz="8" w:color="CCECFF"/>
            </w:tcBorders>
            <w:shd w:val="clear" w:color="auto" w:fill="CCECFF"/>
          </w:tcPr>
          <w:p>
            <w:pPr>
              <w:spacing w:after="0"/>
              <w:rPr>
                <w:sz w:val="11"/>
                <w:szCs w:val="11"/>
                <w:color w:val="auto"/>
              </w:rPr>
            </w:pPr>
          </w:p>
        </w:tc>
        <w:tc>
          <w:tcPr>
            <w:tcW w:w="40" w:type="dxa"/>
            <w:vAlign w:val="bottom"/>
            <w:tcBorders>
              <w:top w:val="single" w:sz="8" w:color="auto"/>
              <w:bottom w:val="single" w:sz="8" w:color="auto"/>
            </w:tcBorders>
            <w:shd w:val="clear" w:color="auto" w:fill="CCECFF"/>
          </w:tcPr>
          <w:p>
            <w:pPr>
              <w:spacing w:after="0"/>
              <w:rPr>
                <w:sz w:val="11"/>
                <w:szCs w:val="11"/>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CFF"/>
            </w:tcBorders>
            <w:shd w:val="clear" w:color="auto" w:fill="CCECFF"/>
          </w:tcPr>
          <w:p>
            <w:pPr>
              <w:spacing w:after="0"/>
              <w:rPr>
                <w:sz w:val="11"/>
                <w:szCs w:val="11"/>
                <w:color w:val="auto"/>
              </w:rPr>
            </w:pPr>
          </w:p>
        </w:tc>
      </w:tr>
      <w:tr>
        <w:trPr>
          <w:trHeight w:val="128"/>
        </w:trPr>
        <w:tc>
          <w:tcPr>
            <w:tcW w:w="344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Investments in Non-Controlled, Affiliated Portfolio Companies</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21,964,181</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11,086,834</w:t>
            </w:r>
          </w:p>
        </w:tc>
        <w:tc>
          <w:tcPr>
            <w:tcW w:w="100" w:type="dxa"/>
            <w:vAlign w:val="bottom"/>
            <w:tcBorders>
              <w:bottom w:val="single" w:sz="8" w:color="CCECFF"/>
            </w:tcBorders>
          </w:tcPr>
          <w:p>
            <w:pPr>
              <w:spacing w:after="0"/>
              <w:rPr>
                <w:sz w:val="11"/>
                <w:szCs w:val="1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Investments in Controlled, Affiliated Portfolio Companies—34.6% </w:t>
            </w:r>
            <w:r>
              <w:rPr>
                <w:rFonts w:ascii="Times New Roman" w:cs="Times New Roman" w:eastAsia="Times New Roman" w:hAnsi="Times New Roman"/>
                <w:sz w:val="9"/>
                <w:szCs w:val="9"/>
                <w:b w:val="1"/>
                <w:bCs w:val="1"/>
                <w:color w:val="auto"/>
              </w:rPr>
              <w:t>(3), (4)</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4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Debt—26.3%</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PennantPark Senior Secured Loan Fund I LLC </w:t>
            </w:r>
            <w:r>
              <w:rPr>
                <w:rFonts w:ascii="Times New Roman" w:cs="Times New Roman" w:eastAsia="Times New Roman" w:hAnsi="Times New Roman"/>
                <w:sz w:val="9"/>
                <w:szCs w:val="9"/>
                <w:color w:val="auto"/>
              </w:rPr>
              <w:t>(7), (9), (10)</w:t>
            </w:r>
          </w:p>
        </w:tc>
        <w:tc>
          <w:tcPr>
            <w:tcW w:w="5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w w:val="99"/>
              </w:rPr>
              <w:t>05/06/2024</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8.22%</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L+800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125,378,750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125,378,750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125,378,750</w:t>
            </w:r>
          </w:p>
        </w:tc>
        <w:tc>
          <w:tcPr>
            <w:tcW w:w="100" w:type="dxa"/>
            <w:vAlign w:val="bottom"/>
            <w:shd w:val="clear" w:color="auto" w:fill="CCECFF"/>
          </w:tcPr>
          <w:p>
            <w:pPr>
              <w:spacing w:after="0"/>
              <w:rPr>
                <w:sz w:val="11"/>
                <w:szCs w:val="11"/>
                <w:color w:val="auto"/>
              </w:rPr>
            </w:pPr>
          </w:p>
        </w:tc>
      </w:tr>
      <w:tr>
        <w:trPr>
          <w:trHeight w:val="128"/>
        </w:trPr>
        <w:tc>
          <w:tcPr>
            <w:tcW w:w="34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125,378,750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125,378,750</w:t>
            </w:r>
          </w:p>
        </w:tc>
        <w:tc>
          <w:tcPr>
            <w:tcW w:w="100" w:type="dxa"/>
            <w:vAlign w:val="bottom"/>
          </w:tcPr>
          <w:p>
            <w:pPr>
              <w:spacing w:after="0"/>
              <w:rPr>
                <w:sz w:val="11"/>
                <w:szCs w:val="1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Equity Interests—8.4%</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44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color w:val="auto"/>
              </w:rPr>
              <w:t xml:space="preserve">PennantPark Senior Secured Loan Fund I LLC </w:t>
            </w:r>
            <w:r>
              <w:rPr>
                <w:rFonts w:ascii="Times New Roman" w:cs="Times New Roman" w:eastAsia="Times New Roman" w:hAnsi="Times New Roman"/>
                <w:sz w:val="9"/>
                <w:szCs w:val="9"/>
                <w:color w:val="auto"/>
              </w:rPr>
              <w:t>(7), (9), (10)</w:t>
            </w:r>
          </w:p>
        </w:tc>
        <w:tc>
          <w:tcPr>
            <w:tcW w:w="760" w:type="dxa"/>
            <w:vAlign w:val="bottom"/>
            <w:tcBorders>
              <w:bottom w:val="single" w:sz="8" w:color="CCECFF"/>
            </w:tcBorders>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40" w:type="dxa"/>
            <w:vAlign w:val="bottom"/>
            <w:tcBorders>
              <w:bottom w:val="single" w:sz="8" w:color="CCECFF"/>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CFF"/>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53,734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53,733,750</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39,910,574</w:t>
            </w:r>
          </w:p>
        </w:tc>
        <w:tc>
          <w:tcPr>
            <w:tcW w:w="100" w:type="dxa"/>
            <w:vAlign w:val="bottom"/>
            <w:tcBorders>
              <w:bottom w:val="single" w:sz="8" w:color="CCECFF"/>
            </w:tcBorders>
          </w:tcPr>
          <w:p>
            <w:pPr>
              <w:spacing w:after="0"/>
              <w:rPr>
                <w:sz w:val="11"/>
                <w:szCs w:val="1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Equity Interests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53,733,750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39,910,574</w:t>
            </w:r>
          </w:p>
        </w:tc>
        <w:tc>
          <w:tcPr>
            <w:tcW w:w="100" w:type="dxa"/>
            <w:vAlign w:val="bottom"/>
            <w:shd w:val="clear" w:color="auto" w:fill="CCECFF"/>
          </w:tcPr>
          <w:p>
            <w:pPr>
              <w:spacing w:after="0"/>
              <w:rPr>
                <w:sz w:val="11"/>
                <w:szCs w:val="11"/>
                <w:color w:val="auto"/>
              </w:rPr>
            </w:pPr>
          </w:p>
        </w:tc>
      </w:tr>
      <w:tr>
        <w:trPr>
          <w:trHeight w:val="129"/>
        </w:trPr>
        <w:tc>
          <w:tcPr>
            <w:tcW w:w="344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Investments in Controlled, Affiliated Portfolio Companies</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179,112,500</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165,289,324</w:t>
            </w:r>
          </w:p>
        </w:tc>
        <w:tc>
          <w:tcPr>
            <w:tcW w:w="100" w:type="dxa"/>
            <w:vAlign w:val="bottom"/>
            <w:tcBorders>
              <w:bottom w:val="single" w:sz="8" w:color="CCECFF"/>
            </w:tcBorders>
          </w:tcPr>
          <w:p>
            <w:pPr>
              <w:spacing w:after="0"/>
              <w:rPr>
                <w:sz w:val="11"/>
                <w:szCs w:val="1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Investments—227.7%</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7"/>
              </w:rPr>
              <w:t>1,116,951,438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1,086,928,467</w:t>
            </w:r>
          </w:p>
        </w:tc>
        <w:tc>
          <w:tcPr>
            <w:tcW w:w="100" w:type="dxa"/>
            <w:vAlign w:val="bottom"/>
            <w:shd w:val="clear" w:color="auto" w:fill="CCECFF"/>
          </w:tcPr>
          <w:p>
            <w:pPr>
              <w:spacing w:after="0"/>
              <w:rPr>
                <w:sz w:val="11"/>
                <w:szCs w:val="11"/>
                <w:color w:val="auto"/>
              </w:rPr>
            </w:pPr>
          </w:p>
        </w:tc>
      </w:tr>
      <w:tr>
        <w:trPr>
          <w:trHeight w:val="128"/>
        </w:trPr>
        <w:tc>
          <w:tcPr>
            <w:tcW w:w="34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Equivalents—12.1%</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4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8,433,416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8,433,416</w:t>
            </w:r>
          </w:p>
        </w:tc>
        <w:tc>
          <w:tcPr>
            <w:tcW w:w="100" w:type="dxa"/>
            <w:vAlign w:val="bottom"/>
            <w:shd w:val="clear" w:color="auto" w:fill="CCECFF"/>
          </w:tcPr>
          <w:p>
            <w:pPr>
              <w:spacing w:after="0"/>
              <w:rPr>
                <w:sz w:val="11"/>
                <w:szCs w:val="11"/>
                <w:color w:val="auto"/>
              </w:rPr>
            </w:pPr>
          </w:p>
        </w:tc>
      </w:tr>
      <w:tr>
        <w:trPr>
          <w:trHeight w:val="135"/>
        </w:trPr>
        <w:tc>
          <w:tcPr>
            <w:tcW w:w="344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color w:val="auto"/>
              </w:rPr>
              <w:t>BNY Mellon Cash</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49,101,005</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49,078,512</w:t>
            </w:r>
          </w:p>
        </w:tc>
        <w:tc>
          <w:tcPr>
            <w:tcW w:w="100" w:type="dxa"/>
            <w:vAlign w:val="bottom"/>
            <w:tcBorders>
              <w:bottom w:val="single" w:sz="8" w:color="CCECFF"/>
            </w:tcBorders>
          </w:tcPr>
          <w:p>
            <w:pPr>
              <w:spacing w:after="0"/>
              <w:rPr>
                <w:sz w:val="11"/>
                <w:szCs w:val="11"/>
                <w:color w:val="auto"/>
              </w:rPr>
            </w:pPr>
          </w:p>
        </w:tc>
      </w:tr>
      <w:tr>
        <w:trPr>
          <w:trHeight w:val="128"/>
        </w:trPr>
        <w:tc>
          <w:tcPr>
            <w:tcW w:w="34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57,534,421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57,511,928</w:t>
            </w:r>
          </w:p>
        </w:tc>
        <w:tc>
          <w:tcPr>
            <w:tcW w:w="100" w:type="dxa"/>
            <w:vAlign w:val="bottom"/>
            <w:shd w:val="clear" w:color="auto" w:fill="CCECFF"/>
          </w:tcPr>
          <w:p>
            <w:pPr>
              <w:spacing w:after="0"/>
              <w:rPr>
                <w:sz w:val="11"/>
                <w:szCs w:val="11"/>
                <w:color w:val="auto"/>
              </w:rPr>
            </w:pPr>
          </w:p>
        </w:tc>
      </w:tr>
      <w:tr>
        <w:trPr>
          <w:trHeight w:val="169"/>
        </w:trPr>
        <w:tc>
          <w:tcPr>
            <w:tcW w:w="344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Equivalents—239.8%</w:t>
            </w:r>
          </w:p>
        </w:tc>
        <w:tc>
          <w:tcPr>
            <w:tcW w:w="52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23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680" w:type="dxa"/>
            <w:vAlign w:val="bottom"/>
            <w:tcBorders>
              <w:bottom w:val="single" w:sz="8" w:color="CCECFF"/>
            </w:tcBorders>
          </w:tcPr>
          <w:p>
            <w:pPr>
              <w:spacing w:after="0"/>
              <w:rPr>
                <w:sz w:val="14"/>
                <w:szCs w:val="14"/>
                <w:color w:val="auto"/>
              </w:rPr>
            </w:pPr>
          </w:p>
        </w:tc>
        <w:tc>
          <w:tcPr>
            <w:tcW w:w="260" w:type="dxa"/>
            <w:vAlign w:val="bottom"/>
            <w:tcBorders>
              <w:bottom w:val="single" w:sz="8" w:color="CCECFF"/>
            </w:tcBorders>
          </w:tcPr>
          <w:p>
            <w:pPr>
              <w:spacing w:after="0"/>
              <w:rPr>
                <w:sz w:val="14"/>
                <w:szCs w:val="14"/>
                <w:color w:val="auto"/>
              </w:rPr>
            </w:pPr>
          </w:p>
        </w:tc>
        <w:tc>
          <w:tcPr>
            <w:tcW w:w="68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66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7"/>
              </w:rPr>
              <w:t>1,174,485,859</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1,144,440,395</w:t>
            </w:r>
          </w:p>
        </w:tc>
        <w:tc>
          <w:tcPr>
            <w:tcW w:w="100" w:type="dxa"/>
            <w:vAlign w:val="bottom"/>
            <w:tcBorders>
              <w:bottom w:val="single" w:sz="8" w:color="CCECFF"/>
            </w:tcBorders>
          </w:tcPr>
          <w:p>
            <w:pPr>
              <w:spacing w:after="0"/>
              <w:rPr>
                <w:sz w:val="14"/>
                <w:szCs w:val="14"/>
                <w:color w:val="auto"/>
              </w:rPr>
            </w:pPr>
          </w:p>
        </w:tc>
      </w:tr>
      <w:tr>
        <w:trPr>
          <w:trHeight w:val="115"/>
        </w:trPr>
        <w:tc>
          <w:tcPr>
            <w:tcW w:w="3440" w:type="dxa"/>
            <w:vAlign w:val="bottom"/>
            <w:gridSpan w:val="3"/>
            <w:shd w:val="clear" w:color="auto" w:fill="CCEC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Assets—(139.8)%</w:t>
            </w: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rPr>
              <w:t>(667,170,003)</w:t>
            </w:r>
          </w:p>
        </w:tc>
        <w:tc>
          <w:tcPr>
            <w:tcW w:w="100" w:type="dxa"/>
            <w:vAlign w:val="bottom"/>
            <w:shd w:val="clear" w:color="auto" w:fill="CCECFF"/>
          </w:tcPr>
          <w:p>
            <w:pPr>
              <w:spacing w:after="0"/>
              <w:rPr>
                <w:sz w:val="10"/>
                <w:szCs w:val="10"/>
                <w:color w:val="auto"/>
              </w:rPr>
            </w:pPr>
          </w:p>
        </w:tc>
      </w:tr>
      <w:tr>
        <w:trPr>
          <w:trHeight w:val="135"/>
        </w:trPr>
        <w:tc>
          <w:tcPr>
            <w:tcW w:w="34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477,270,392</w:t>
            </w:r>
          </w:p>
        </w:tc>
        <w:tc>
          <w:tcPr>
            <w:tcW w:w="100" w:type="dxa"/>
            <w:vAlign w:val="bottom"/>
          </w:tcPr>
          <w:p>
            <w:pPr>
              <w:spacing w:after="0"/>
              <w:rPr>
                <w:sz w:val="11"/>
                <w:szCs w:val="11"/>
                <w:color w:val="auto"/>
              </w:rPr>
            </w:pPr>
          </w:p>
        </w:tc>
      </w:tr>
      <w:tr>
        <w:trPr>
          <w:trHeight w:val="20"/>
        </w:trPr>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
        </w:trPr>
        <w:tc>
          <w:tcPr>
            <w:tcW w:w="294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bl>
    <w:p>
      <w:pPr>
        <w:spacing w:after="0" w:line="32" w:lineRule="exact"/>
        <w:rPr>
          <w:sz w:val="20"/>
          <w:szCs w:val="20"/>
          <w:color w:val="auto"/>
        </w:rPr>
      </w:pPr>
    </w:p>
    <w:p>
      <w:pPr>
        <w:ind w:left="380" w:right="40" w:hanging="372"/>
        <w:spacing w:after="0" w:line="278"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spacing w:after="0" w:line="5" w:lineRule="exact"/>
        <w:rPr>
          <w:rFonts w:ascii="Times New Roman" w:cs="Times New Roman" w:eastAsia="Times New Roman" w:hAnsi="Times New Roman"/>
          <w:sz w:val="11"/>
          <w:szCs w:val="11"/>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Valued based on our accounting policy (See Note 2). The value of all securities was determined using significant unobservable inputs (See Note 5).</w:t>
      </w:r>
    </w:p>
    <w:p>
      <w:pPr>
        <w:spacing w:after="0" w:line="37" w:lineRule="exact"/>
        <w:rPr>
          <w:rFonts w:ascii="Times New Roman" w:cs="Times New Roman" w:eastAsia="Times New Roman" w:hAnsi="Times New Roman"/>
          <w:sz w:val="12"/>
          <w:szCs w:val="12"/>
          <w:color w:val="auto"/>
        </w:rPr>
      </w:pPr>
    </w:p>
    <w:p>
      <w:pPr>
        <w:ind w:left="380" w:hanging="372"/>
        <w:spacing w:after="0" w:line="255" w:lineRule="auto"/>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7" w:lineRule="exact"/>
        <w:rPr>
          <w:rFonts w:ascii="Times New Roman" w:cs="Times New Roman" w:eastAsia="Times New Roman" w:hAnsi="Times New Roman"/>
          <w:sz w:val="12"/>
          <w:szCs w:val="12"/>
          <w:color w:val="auto"/>
        </w:rPr>
      </w:pPr>
    </w:p>
    <w:p>
      <w:pPr>
        <w:ind w:left="380" w:hanging="372"/>
        <w:spacing w:after="0" w:line="255" w:lineRule="auto"/>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Non-U.S. company or principal place of business outside the United States.</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Non-income producing securities.</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securities, or a portion thereof, are not 1) pledged as collateral under the Credit Facility and held through Funding I; or, 2) securing the 2031 Asset-Backed Debt (See Note 10) and held through PennantPark CLO I, Ltd.</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is held through our Taxable Subsidiary (See Note 1).</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Times New Roman" w:cs="Times New Roman" w:eastAsia="Times New Roman" w:hAnsi="Times New Roman"/>
          <w:sz w:val="12"/>
          <w:szCs w:val="12"/>
          <w:color w:val="auto"/>
        </w:rPr>
      </w:pPr>
    </w:p>
    <w:p>
      <w:pPr>
        <w:ind w:left="380" w:right="20" w:hanging="372"/>
        <w:spacing w:after="0" w:line="255" w:lineRule="auto"/>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2020, qualifying assets represent 81% of our total assets and non-qualifying assets represent 19% of our total assets.</w:t>
      </w:r>
    </w:p>
    <w:p>
      <w:pPr>
        <w:spacing w:after="0" w:line="1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 amount is denominated in Canadian Dollars (C$) as denoted.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w:t>
      </w:r>
    </w:p>
    <w:p>
      <w:pPr>
        <w:spacing w:after="0" w:line="138" w:lineRule="exact"/>
        <w:rPr>
          <w:sz w:val="20"/>
          <w:szCs w:val="20"/>
          <w:color w:val="auto"/>
        </w:rPr>
      </w:pPr>
    </w:p>
    <w:p>
      <w:pPr>
        <w:ind w:right="40" w:firstLine="438"/>
        <w:spacing w:after="0" w:line="261" w:lineRule="auto"/>
        <w:rPr>
          <w:sz w:val="20"/>
          <w:szCs w:val="20"/>
          <w:color w:val="auto"/>
        </w:rPr>
      </w:pPr>
      <w:r>
        <w:rPr>
          <w:rFonts w:ascii="Times New Roman" w:cs="Times New Roman" w:eastAsia="Times New Roman" w:hAnsi="Times New Roman"/>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95" w:lineRule="exact"/>
        <w:rPr>
          <w:sz w:val="20"/>
          <w:szCs w:val="20"/>
          <w:color w:val="auto"/>
        </w:rPr>
      </w:pPr>
    </w:p>
    <w:p>
      <w:pPr>
        <w:ind w:right="20" w:firstLine="438"/>
        <w:spacing w:after="0" w:line="229" w:lineRule="auto"/>
        <w:rPr>
          <w:sz w:val="20"/>
          <w:szCs w:val="20"/>
          <w:color w:val="auto"/>
        </w:rPr>
      </w:pPr>
      <w:r>
        <w:rPr>
          <w:rFonts w:ascii="Times New Roman" w:cs="Times New Roman" w:eastAsia="Times New Roman" w:hAnsi="Times New Roman"/>
          <w:sz w:val="14"/>
          <w:szCs w:val="14"/>
          <w:color w:val="auto"/>
        </w:rPr>
        <w:t>Our investment objectives are to generate both current income and capital appreciation while seeking to preserve capital. We seek to achieve our investment objectives by investing primarily in loans bearing variable rates of interest, or Floating Rate Loans, and other investments made to U.S. middle-market private companies whose debt is rated below investment grade. Interest on Floating Rate Loans is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13" w:lineRule="exact"/>
        <w:rPr>
          <w:sz w:val="20"/>
          <w:szCs w:val="20"/>
          <w:color w:val="auto"/>
        </w:rPr>
      </w:pPr>
    </w:p>
    <w:p>
      <w:pPr>
        <w:ind w:right="240" w:firstLine="438"/>
        <w:spacing w:after="0" w:line="241" w:lineRule="auto"/>
        <w:rPr>
          <w:sz w:val="20"/>
          <w:szCs w:val="20"/>
          <w:color w:val="auto"/>
        </w:rPr>
      </w:pPr>
      <w:r>
        <w:rPr>
          <w:rFonts w:ascii="Times New Roman" w:cs="Times New Roman" w:eastAsia="Times New Roman" w:hAnsi="Times New Roman"/>
          <w:sz w:val="14"/>
          <w:szCs w:val="14"/>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w:t>
      </w:r>
    </w:p>
    <w:p>
      <w:pPr>
        <w:spacing w:after="0" w:line="109"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Funding I, our wholly owned subsidiary and a special purpose entity, was organized in Delaware as a limited liability company in May 2011. We formed Funding I in order to establish the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Credit Facility allows Funding I to borrow up to $520 million at LIBOR (or an alternative risk-free floating interest rate index) plus 200 basis points during the revolving period. The Credit Facility is secured by all of the assets held by Funding I. See Note 10.</w:t>
      </w:r>
    </w:p>
    <w:p>
      <w:pPr>
        <w:spacing w:after="0" w:line="110" w:lineRule="exact"/>
        <w:rPr>
          <w:sz w:val="20"/>
          <w:szCs w:val="20"/>
          <w:color w:val="auto"/>
        </w:rPr>
      </w:pPr>
    </w:p>
    <w:p>
      <w:pPr>
        <w:ind w:right="20" w:firstLine="438"/>
        <w:spacing w:after="0" w:line="261" w:lineRule="auto"/>
        <w:rPr>
          <w:sz w:val="20"/>
          <w:szCs w:val="20"/>
          <w:color w:val="auto"/>
        </w:rPr>
      </w:pPr>
      <w:r>
        <w:rPr>
          <w:rFonts w:ascii="Times New Roman" w:cs="Times New Roman" w:eastAsia="Times New Roman" w:hAnsi="Times New Roman"/>
          <w:sz w:val="14"/>
          <w:szCs w:val="14"/>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95" w:lineRule="exact"/>
        <w:rPr>
          <w:sz w:val="20"/>
          <w:szCs w:val="20"/>
          <w:color w:val="auto"/>
        </w:rPr>
      </w:pPr>
    </w:p>
    <w:p>
      <w:pPr>
        <w:ind w:right="380" w:firstLine="438"/>
        <w:spacing w:after="0" w:line="261" w:lineRule="auto"/>
        <w:rPr>
          <w:sz w:val="20"/>
          <w:szCs w:val="20"/>
          <w:color w:val="auto"/>
        </w:rPr>
      </w:pPr>
      <w:r>
        <w:rPr>
          <w:rFonts w:ascii="Times New Roman" w:cs="Times New Roman" w:eastAsia="Times New Roman" w:hAnsi="Times New Roman"/>
          <w:sz w:val="14"/>
          <w:szCs w:val="14"/>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See Note 4.</w:t>
      </w:r>
    </w:p>
    <w:p>
      <w:pPr>
        <w:spacing w:after="0" w:line="95" w:lineRule="exact"/>
        <w:rPr>
          <w:sz w:val="20"/>
          <w:szCs w:val="20"/>
          <w:color w:val="auto"/>
        </w:rPr>
      </w:pPr>
    </w:p>
    <w:p>
      <w:pPr>
        <w:ind w:right="140" w:firstLine="438"/>
        <w:spacing w:after="0" w:line="236" w:lineRule="auto"/>
        <w:rPr>
          <w:sz w:val="20"/>
          <w:szCs w:val="20"/>
          <w:color w:val="auto"/>
        </w:rPr>
      </w:pPr>
      <w:r>
        <w:rPr>
          <w:rFonts w:ascii="Times New Roman" w:cs="Times New Roman" w:eastAsia="Times New Roman" w:hAnsi="Times New Roman"/>
          <w:sz w:val="14"/>
          <w:szCs w:val="14"/>
          <w:color w:val="auto"/>
        </w:rPr>
        <w:t>In November 2017, we issued $138.6 million of our 2023 Notes. The principal on the 2023 Notes is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Tel Aviv Stock Exchange, or the TASE. In connection with this offering, we have dual listed our common stock on the TASE.</w:t>
      </w:r>
    </w:p>
    <w:p>
      <w:pPr>
        <w:spacing w:after="0" w:line="109" w:lineRule="exact"/>
        <w:rPr>
          <w:sz w:val="20"/>
          <w:szCs w:val="20"/>
          <w:color w:val="auto"/>
        </w:rPr>
      </w:pPr>
    </w:p>
    <w:p>
      <w:pPr>
        <w:ind w:right="120" w:firstLine="438"/>
        <w:spacing w:after="0" w:line="233" w:lineRule="auto"/>
        <w:rPr>
          <w:sz w:val="20"/>
          <w:szCs w:val="20"/>
          <w:color w:val="auto"/>
        </w:rPr>
      </w:pPr>
      <w:r>
        <w:rPr>
          <w:rFonts w:ascii="Times New Roman" w:cs="Times New Roman" w:eastAsia="Times New Roman" w:hAnsi="Times New Roman"/>
          <w:sz w:val="14"/>
          <w:szCs w:val="14"/>
          <w:color w:val="auto"/>
        </w:rPr>
        <w:t>In September 2019, the Securitization Issuers completed the Debt Securitization. The 2031 Asset-Backed Debt is secured by a diversified portfolio of the Securitization Issuer consisting primarily of middle market loans and participation interests in middle market loans.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See Note 10.</w:t>
      </w:r>
    </w:p>
    <w:p>
      <w:pPr>
        <w:spacing w:after="0" w:line="42" w:lineRule="exact"/>
        <w:rPr>
          <w:sz w:val="20"/>
          <w:szCs w:val="20"/>
          <w:color w:val="auto"/>
        </w:rPr>
      </w:pPr>
    </w:p>
    <w:p>
      <w:pPr>
        <w:ind w:firstLine="438"/>
        <w:spacing w:after="0" w:line="261" w:lineRule="auto"/>
        <w:rPr>
          <w:sz w:val="20"/>
          <w:szCs w:val="20"/>
          <w:color w:val="auto"/>
        </w:rPr>
      </w:pPr>
      <w:r>
        <w:rPr>
          <w:rFonts w:ascii="Times New Roman" w:cs="Times New Roman" w:eastAsia="Times New Roman" w:hAnsi="Times New Roman"/>
          <w:sz w:val="14"/>
          <w:szCs w:val="14"/>
          <w:color w:val="auto"/>
        </w:rPr>
        <w:t>We are operated by a person who has claimed an exclusion from the definition of the term “commodity pool operator” under the Commodity Exchange Act and, therefore, is not subject to registration or regulation as a commodity pool operator under the Commodity Exchange 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w:t>
      </w:r>
    </w:p>
    <w:p>
      <w:pPr>
        <w:spacing w:after="0" w:line="138" w:lineRule="exact"/>
        <w:rPr>
          <w:sz w:val="20"/>
          <w:szCs w:val="20"/>
          <w:color w:val="auto"/>
        </w:rPr>
      </w:pPr>
    </w:p>
    <w:p>
      <w:pPr>
        <w:ind w:right="20" w:firstLine="438"/>
        <w:spacing w:after="0" w:line="228"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the global outbreak of the novel coronavirus (“COVID-19”),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3" w:lineRule="exact"/>
        <w:rPr>
          <w:sz w:val="20"/>
          <w:szCs w:val="20"/>
          <w:color w:val="auto"/>
        </w:rPr>
      </w:pPr>
    </w:p>
    <w:p>
      <w:pPr>
        <w:ind w:right="260" w:firstLine="438"/>
        <w:spacing w:after="0" w:line="241"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Our significant accounting policies consistently applied are as follows:</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 Investment Valuations</w:t>
      </w:r>
    </w:p>
    <w:p>
      <w:pPr>
        <w:spacing w:after="0" w:line="140" w:lineRule="exact"/>
        <w:rPr>
          <w:sz w:val="20"/>
          <w:szCs w:val="20"/>
          <w:color w:val="auto"/>
        </w:rPr>
      </w:pPr>
    </w:p>
    <w:p>
      <w:pPr>
        <w:ind w:firstLine="438"/>
        <w:spacing w:after="0" w:line="231"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3" w:right="359" w:bottom="1440" w:gutter="0" w:footer="0" w:header="0"/>
        </w:sectPr>
      </w:pPr>
    </w:p>
    <w:bookmarkStart w:id="16" w:name="page17"/>
    <w:bookmarkEnd w:id="16"/>
    <w:p>
      <w:pPr>
        <w:ind w:right="220"/>
        <w:spacing w:after="0" w:line="261" w:lineRule="auto"/>
        <w:rPr>
          <w:sz w:val="20"/>
          <w:szCs w:val="20"/>
          <w:color w:val="auto"/>
        </w:rPr>
      </w:pPr>
      <w:r>
        <w:rPr>
          <w:rFonts w:ascii="Times New Roman" w:cs="Times New Roman" w:eastAsia="Times New Roman" w:hAnsi="Times New Roman"/>
          <w:sz w:val="14"/>
          <w:szCs w:val="14"/>
          <w:color w:val="auto"/>
        </w:rPr>
        <w:t>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244" w:lineRule="exact"/>
        <w:rPr>
          <w:sz w:val="20"/>
          <w:szCs w:val="20"/>
          <w:color w:val="auto"/>
        </w:rPr>
      </w:pPr>
    </w:p>
    <w:p>
      <w:pPr>
        <w:ind w:right="380" w:firstLine="438"/>
        <w:spacing w:after="0" w:line="261"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5" w:lineRule="exact"/>
        <w:rPr>
          <w:sz w:val="20"/>
          <w:szCs w:val="20"/>
          <w:color w:val="auto"/>
        </w:rPr>
      </w:pPr>
    </w:p>
    <w:p>
      <w:pPr>
        <w:ind w:left="800" w:right="420" w:hanging="360"/>
        <w:spacing w:after="0" w:line="261" w:lineRule="auto"/>
        <w:tabs>
          <w:tab w:leader="none" w:pos="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95"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the Investment Adviser;</w:t>
      </w:r>
    </w:p>
    <w:p>
      <w:pPr>
        <w:spacing w:after="0" w:line="136" w:lineRule="exact"/>
        <w:rPr>
          <w:rFonts w:ascii="Times New Roman" w:cs="Times New Roman" w:eastAsia="Times New Roman" w:hAnsi="Times New Roman"/>
          <w:sz w:val="14"/>
          <w:szCs w:val="14"/>
          <w:color w:val="auto"/>
        </w:rPr>
      </w:pPr>
    </w:p>
    <w:p>
      <w:pPr>
        <w:jc w:val="both"/>
        <w:ind w:left="800" w:right="180" w:hanging="360"/>
        <w:spacing w:after="0" w:line="241" w:lineRule="auto"/>
        <w:tabs>
          <w:tab w:leader="none" w:pos="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9" w:lineRule="exact"/>
        <w:rPr>
          <w:rFonts w:ascii="Times New Roman" w:cs="Times New Roman" w:eastAsia="Times New Roman" w:hAnsi="Times New Roman"/>
          <w:sz w:val="14"/>
          <w:szCs w:val="14"/>
          <w:color w:val="auto"/>
        </w:rPr>
      </w:pPr>
    </w:p>
    <w:p>
      <w:pPr>
        <w:ind w:left="800" w:right="60" w:hanging="360"/>
        <w:spacing w:after="0" w:line="241" w:lineRule="auto"/>
        <w:tabs>
          <w:tab w:leader="none" w:pos="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09" w:lineRule="exact"/>
        <w:rPr>
          <w:rFonts w:ascii="Times New Roman" w:cs="Times New Roman" w:eastAsia="Times New Roman" w:hAnsi="Times New Roman"/>
          <w:sz w:val="14"/>
          <w:szCs w:val="14"/>
          <w:color w:val="auto"/>
        </w:rPr>
      </w:pPr>
    </w:p>
    <w:p>
      <w:pPr>
        <w:ind w:left="800" w:right="200" w:hanging="360"/>
        <w:spacing w:after="0" w:line="261" w:lineRule="auto"/>
        <w:tabs>
          <w:tab w:leader="none" w:pos="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5" w:lineRule="exact"/>
        <w:rPr>
          <w:sz w:val="20"/>
          <w:szCs w:val="20"/>
          <w:color w:val="auto"/>
        </w:rPr>
      </w:pPr>
    </w:p>
    <w:p>
      <w:pPr>
        <w:ind w:right="40" w:firstLine="438"/>
        <w:spacing w:after="0" w:line="236"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Security Transactions, Revenue Recognition, and Realized/Unrealized Gains or Losses</w:t>
      </w:r>
    </w:p>
    <w:p>
      <w:pPr>
        <w:spacing w:after="0" w:line="140" w:lineRule="exact"/>
        <w:rPr>
          <w:sz w:val="20"/>
          <w:szCs w:val="20"/>
          <w:color w:val="auto"/>
        </w:rPr>
      </w:pPr>
    </w:p>
    <w:p>
      <w:pPr>
        <w:ind w:right="80" w:firstLine="438"/>
        <w:spacing w:after="0" w:line="236" w:lineRule="auto"/>
        <w:rPr>
          <w:sz w:val="20"/>
          <w:szCs w:val="20"/>
          <w:color w:val="auto"/>
        </w:rPr>
      </w:pPr>
      <w:r>
        <w:rPr>
          <w:rFonts w:ascii="Times New Roman" w:cs="Times New Roman" w:eastAsia="Times New Roman" w:hAnsi="Times New Roman"/>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Facility and the 2023 Notes during the reporting period, including the reversal of previously recorded unrealized appreciation or depreciation, when gains or losses are realized.</w:t>
      </w:r>
    </w:p>
    <w:p>
      <w:pPr>
        <w:spacing w:after="0" w:line="109" w:lineRule="exact"/>
        <w:rPr>
          <w:sz w:val="20"/>
          <w:szCs w:val="20"/>
          <w:color w:val="auto"/>
        </w:rPr>
      </w:pPr>
    </w:p>
    <w:p>
      <w:pPr>
        <w:ind w:right="100" w:firstLine="438"/>
        <w:spacing w:after="0" w:line="228"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13" w:lineRule="exact"/>
        <w:rPr>
          <w:sz w:val="20"/>
          <w:szCs w:val="20"/>
          <w:color w:val="auto"/>
        </w:rPr>
      </w:pPr>
    </w:p>
    <w:p>
      <w:pPr>
        <w:ind w:right="340" w:firstLine="438"/>
        <w:spacing w:after="0" w:line="233" w:lineRule="auto"/>
        <w:rPr>
          <w:sz w:val="20"/>
          <w:szCs w:val="20"/>
          <w:color w:val="auto"/>
        </w:rPr>
      </w:pPr>
      <w:r>
        <w:rPr>
          <w:rFonts w:ascii="Times New Roman" w:cs="Times New Roman" w:eastAsia="Times New Roman" w:hAnsi="Times New Roman"/>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December 31, 2020, we had two portfolio companies on non-accrual, representing 2.3% and 1.9% of our overall portfolio on a cost and fair value basis, respectively. As of September 30, 2020, we had three portfolio companies on non-accrual, representing 2.1% and 1.8% of our overall portfolio on a cost and fair value basis, respectively.</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 Income Taxes</w:t>
      </w:r>
    </w:p>
    <w:p>
      <w:pPr>
        <w:spacing w:after="0" w:line="140" w:lineRule="exact"/>
        <w:rPr>
          <w:sz w:val="20"/>
          <w:szCs w:val="20"/>
          <w:color w:val="auto"/>
        </w:rPr>
      </w:pPr>
    </w:p>
    <w:p>
      <w:pPr>
        <w:ind w:firstLine="438"/>
        <w:spacing w:after="0" w:line="231" w:lineRule="auto"/>
        <w:rPr>
          <w:sz w:val="20"/>
          <w:szCs w:val="20"/>
          <w:color w:val="auto"/>
        </w:rPr>
      </w:pPr>
      <w:r>
        <w:rPr>
          <w:rFonts w:ascii="Times New Roman" w:cs="Times New Roman" w:eastAsia="Times New Roman" w:hAnsi="Times New Roman"/>
          <w:sz w:val="14"/>
          <w:szCs w:val="14"/>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U.S. federal income taxes. However, we may choose to retain a portion of our calendar year income, which may result in the imposition of a U.S. federal excise tax, or we may incur taxes through our taxable subsidiaries, including the Taxable Subsidiary. For both the three months ended December 31, 2020 and 2019, we recorded a provision for taxes of $0.1 million pertaining to U.S. federal excise tax.</w:t>
      </w:r>
    </w:p>
    <w:p>
      <w:pPr>
        <w:spacing w:after="0" w:line="110" w:lineRule="exact"/>
        <w:rPr>
          <w:sz w:val="20"/>
          <w:szCs w:val="20"/>
          <w:color w:val="auto"/>
        </w:rPr>
      </w:pPr>
    </w:p>
    <w:p>
      <w:pPr>
        <w:jc w:val="both"/>
        <w:ind w:right="220" w:firstLine="438"/>
        <w:spacing w:after="0" w:line="231" w:lineRule="auto"/>
        <w:rPr>
          <w:sz w:val="20"/>
          <w:szCs w:val="20"/>
          <w:color w:val="auto"/>
        </w:rPr>
      </w:pPr>
      <w:r>
        <w:rPr>
          <w:rFonts w:ascii="Times New Roman" w:cs="Times New Roman" w:eastAsia="Times New Roman" w:hAnsi="Times New Roman"/>
          <w:sz w:val="14"/>
          <w:szCs w:val="14"/>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U.S. federal and state income tax returns, the Company’s major tax jurisdiction is federal.</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ind w:right="-19"/>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p>
      <w:pPr>
        <w:ind w:right="80" w:firstLine="438"/>
        <w:spacing w:after="0" w:line="241" w:lineRule="auto"/>
        <w:rPr>
          <w:sz w:val="20"/>
          <w:szCs w:val="20"/>
          <w:color w:val="auto"/>
        </w:rPr>
      </w:pPr>
      <w:r>
        <w:rPr>
          <w:rFonts w:ascii="Times New Roman" w:cs="Times New Roman" w:eastAsia="Times New Roman" w:hAnsi="Times New Roman"/>
          <w:sz w:val="14"/>
          <w:szCs w:val="14"/>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 Distributions and Capital Transactions</w:t>
      </w:r>
    </w:p>
    <w:p>
      <w:pPr>
        <w:spacing w:after="0" w:line="140" w:lineRule="exact"/>
        <w:rPr>
          <w:sz w:val="20"/>
          <w:szCs w:val="20"/>
          <w:color w:val="auto"/>
        </w:rPr>
      </w:pPr>
    </w:p>
    <w:p>
      <w:pPr>
        <w:ind w:right="100" w:firstLine="438"/>
        <w:spacing w:after="0" w:line="241" w:lineRule="auto"/>
        <w:rPr>
          <w:sz w:val="20"/>
          <w:szCs w:val="20"/>
          <w:color w:val="auto"/>
        </w:rPr>
      </w:pPr>
      <w:r>
        <w:rPr>
          <w:rFonts w:ascii="Times New Roman" w:cs="Times New Roman" w:eastAsia="Times New Roman" w:hAnsi="Times New Roman"/>
          <w:sz w:val="14"/>
          <w:szCs w:val="14"/>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Capital transactions in connection with offerings of our common stock are recorded when issued and offering costs are charged as a reduction of capital upon issuance of our common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w:t>
      </w:r>
    </w:p>
    <w:p>
      <w:pPr>
        <w:spacing w:after="0" w:line="116" w:lineRule="exact"/>
        <w:rPr>
          <w:sz w:val="20"/>
          <w:szCs w:val="20"/>
          <w:color w:val="auto"/>
        </w:rPr>
      </w:pPr>
    </w:p>
    <w:p>
      <w:pPr>
        <w:ind w:left="460" w:hanging="204"/>
        <w:spacing w:after="0"/>
        <w:tabs>
          <w:tab w:leader="none" w:pos="460" w:val="left"/>
        </w:tabs>
        <w:numPr>
          <w:ilvl w:val="0"/>
          <w:numId w:val="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40" w:lineRule="exact"/>
        <w:rPr>
          <w:rFonts w:ascii="Times New Roman" w:cs="Times New Roman" w:eastAsia="Times New Roman" w:hAnsi="Times New Roman"/>
          <w:sz w:val="14"/>
          <w:szCs w:val="14"/>
          <w:b w:val="1"/>
          <w:bCs w:val="1"/>
          <w:i w:val="1"/>
          <w:iCs w:val="1"/>
          <w:color w:val="auto"/>
        </w:rPr>
      </w:pPr>
    </w:p>
    <w:p>
      <w:pPr>
        <w:ind w:left="44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136" w:lineRule="exact"/>
        <w:rPr>
          <w:rFonts w:ascii="Times New Roman" w:cs="Times New Roman" w:eastAsia="Times New Roman" w:hAnsi="Times New Roman"/>
          <w:sz w:val="14"/>
          <w:szCs w:val="14"/>
          <w:b w:val="1"/>
          <w:bCs w:val="1"/>
          <w:i w:val="1"/>
          <w:iCs w:val="1"/>
          <w:color w:val="auto"/>
        </w:rPr>
      </w:pPr>
    </w:p>
    <w:p>
      <w:pPr>
        <w:ind w:left="820" w:hanging="367"/>
        <w:spacing w:after="0"/>
        <w:tabs>
          <w:tab w:leader="none" w:pos="82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203" w:lineRule="exact"/>
        <w:rPr>
          <w:rFonts w:ascii="Times New Roman" w:cs="Times New Roman" w:eastAsia="Times New Roman" w:hAnsi="Times New Roman"/>
          <w:sz w:val="14"/>
          <w:szCs w:val="14"/>
          <w:color w:val="auto"/>
        </w:rPr>
      </w:pPr>
    </w:p>
    <w:p>
      <w:pPr>
        <w:ind w:left="820" w:hanging="367"/>
        <w:spacing w:after="0"/>
        <w:tabs>
          <w:tab w:leader="none" w:pos="82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204" w:lineRule="exact"/>
        <w:rPr>
          <w:sz w:val="20"/>
          <w:szCs w:val="20"/>
          <w:color w:val="auto"/>
        </w:rPr>
      </w:pPr>
    </w:p>
    <w:p>
      <w:pPr>
        <w:jc w:val="both"/>
        <w:ind w:right="40" w:firstLine="438"/>
        <w:spacing w:after="0" w:line="24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09" w:lineRule="exact"/>
        <w:rPr>
          <w:sz w:val="20"/>
          <w:szCs w:val="20"/>
          <w:color w:val="auto"/>
        </w:rPr>
      </w:pPr>
    </w:p>
    <w:p>
      <w:pPr>
        <w:jc w:val="both"/>
        <w:ind w:right="160" w:firstLine="438"/>
        <w:spacing w:after="0" w:line="241" w:lineRule="auto"/>
        <w:rPr>
          <w:sz w:val="20"/>
          <w:szCs w:val="20"/>
          <w:color w:val="auto"/>
        </w:rPr>
      </w:pPr>
      <w:r>
        <w:rPr>
          <w:rFonts w:ascii="Times New Roman" w:cs="Times New Roman" w:eastAsia="Times New Roman" w:hAnsi="Times New Roman"/>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 Consolidation</w:t>
      </w:r>
    </w:p>
    <w:p>
      <w:pPr>
        <w:spacing w:after="0" w:line="140" w:lineRule="exact"/>
        <w:rPr>
          <w:sz w:val="20"/>
          <w:szCs w:val="20"/>
          <w:color w:val="auto"/>
        </w:rPr>
      </w:pPr>
    </w:p>
    <w:p>
      <w:pPr>
        <w:jc w:val="both"/>
        <w:ind w:right="60" w:firstLine="438"/>
        <w:spacing w:after="0" w:line="236" w:lineRule="auto"/>
        <w:rPr>
          <w:sz w:val="20"/>
          <w:szCs w:val="20"/>
          <w:color w:val="auto"/>
        </w:rPr>
      </w:pPr>
      <w:r>
        <w:rPr>
          <w:rFonts w:ascii="Times New Roman" w:cs="Times New Roman" w:eastAsia="Times New Roman" w:hAnsi="Times New Roman"/>
          <w:sz w:val="14"/>
          <w:szCs w:val="14"/>
          <w:color w:val="auto"/>
        </w:rPr>
        <w:t>As permitted under Regulation S-X and as explained by ASC paragraph 946-810-45-3, we will generally not consolidate our investment in a company other than an investment company subsidiary or a controlled operating company whose business consists of providing services to us. Accordingly, we have consolidated the results of our taxable subsidiaries, including the Taxable Subsidiary, Funding I and the Securitization Issuer in our Consolidated Financial Statements. We do not consolidate our investment in PSSL. See further description of our investment in PSSL in Note 4.</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 Asset Transfers and Servicing</w:t>
      </w:r>
    </w:p>
    <w:p>
      <w:pPr>
        <w:spacing w:after="0" w:line="140" w:lineRule="exact"/>
        <w:rPr>
          <w:sz w:val="20"/>
          <w:szCs w:val="20"/>
          <w:color w:val="auto"/>
        </w:rPr>
      </w:pPr>
    </w:p>
    <w:p>
      <w:pPr>
        <w:ind w:right="80" w:firstLine="438"/>
        <w:spacing w:after="0" w:line="241" w:lineRule="auto"/>
        <w:rPr>
          <w:sz w:val="20"/>
          <w:szCs w:val="20"/>
          <w:color w:val="auto"/>
        </w:rPr>
      </w:pPr>
      <w:r>
        <w:rPr>
          <w:rFonts w:ascii="Times New Roman" w:cs="Times New Roman" w:eastAsia="Times New Roman" w:hAnsi="Times New Roman"/>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its assets and such assets are not intended to be available to the creditors of PennantPark Floating Rate Capital Ltd. or any of its affiliates.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AGREEMENTS AND RELATED PARTY TRANSACTIONS</w:t>
      </w:r>
    </w:p>
    <w:p>
      <w:pPr>
        <w:spacing w:after="0" w:line="138" w:lineRule="exact"/>
        <w:rPr>
          <w:sz w:val="20"/>
          <w:szCs w:val="20"/>
          <w:color w:val="auto"/>
        </w:rPr>
      </w:pPr>
    </w:p>
    <w:p>
      <w:pPr>
        <w:ind w:right="40" w:firstLine="438"/>
        <w:spacing w:after="0" w:line="233" w:lineRule="auto"/>
        <w:rPr>
          <w:sz w:val="20"/>
          <w:szCs w:val="20"/>
          <w:color w:val="auto"/>
        </w:rPr>
      </w:pPr>
      <w:r>
        <w:rPr>
          <w:rFonts w:ascii="Times New Roman" w:cs="Times New Roman" w:eastAsia="Times New Roman" w:hAnsi="Times New Roman"/>
          <w:sz w:val="14"/>
          <w:szCs w:val="14"/>
          <w:color w:val="auto"/>
        </w:rPr>
        <w:t>The Investment Management Agreement with the Investment Adviser was reapproved by our board of directors, including a majority of our directors who are not interested persons of us or the Investment Adviser, in February 2021.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10" w:lineRule="exact"/>
        <w:rPr>
          <w:sz w:val="20"/>
          <w:szCs w:val="20"/>
          <w:color w:val="auto"/>
        </w:rPr>
      </w:pPr>
    </w:p>
    <w:p>
      <w:pPr>
        <w:ind w:right="40" w:firstLine="438"/>
        <w:spacing w:after="0" w:line="229" w:lineRule="auto"/>
        <w:rPr>
          <w:sz w:val="20"/>
          <w:szCs w:val="20"/>
          <w:color w:val="auto"/>
        </w:rPr>
      </w:pPr>
      <w:r>
        <w:rPr>
          <w:rFonts w:ascii="Times New Roman" w:cs="Times New Roman" w:eastAsia="Times New Roman" w:hAnsi="Times New Roman"/>
          <w:sz w:val="14"/>
          <w:szCs w:val="14"/>
          <w:color w:val="auto"/>
        </w:rPr>
        <w:t>The base management fee is calculated at an annual rate of 1.00%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2020 and 2019, the Investment Adviser earned a base management fee of $2.7 million and $2.8 million, respectively, from us.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incentive fee has two parts, as follows:</w:t>
      </w:r>
    </w:p>
    <w:p>
      <w:pPr>
        <w:spacing w:after="0" w:line="136" w:lineRule="exact"/>
        <w:rPr>
          <w:sz w:val="20"/>
          <w:szCs w:val="20"/>
          <w:color w:val="auto"/>
        </w:rPr>
      </w:pPr>
    </w:p>
    <w:p>
      <w:pPr>
        <w:ind w:firstLine="438"/>
        <w:spacing w:after="0"/>
        <w:rPr>
          <w:sz w:val="20"/>
          <w:szCs w:val="20"/>
          <w:color w:val="auto"/>
        </w:rPr>
      </w:pPr>
      <w:r>
        <w:rPr>
          <w:rFonts w:ascii="Times New Roman" w:cs="Times New Roman" w:eastAsia="Times New Roman" w:hAnsi="Times New Roman"/>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ind w:right="2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p>
      <w:pPr>
        <w:jc w:val="both"/>
        <w:ind w:right="160"/>
        <w:spacing w:after="0" w:line="241" w:lineRule="auto"/>
        <w:rPr>
          <w:sz w:val="20"/>
          <w:szCs w:val="20"/>
          <w:color w:val="auto"/>
        </w:rPr>
      </w:pPr>
      <w:r>
        <w:rPr>
          <w:rFonts w:ascii="Times New Roman" w:cs="Times New Roman" w:eastAsia="Times New Roman" w:hAnsi="Times New Roman"/>
          <w:sz w:val="14"/>
          <w:szCs w:val="14"/>
          <w:color w:val="auto"/>
        </w:rPr>
        <w:t>any calendar quarter), and (3) 20% of the amount of our Pre-Incentive Fee Net Investment Income, if any, that exceeds 2.9167% in any calendar quarter. These calculations are pro-rated for any share issuances or repurchases during the relevant quarter, if applicable. For the three months ended December 31, 2020 and 2019, the Investment Adviser earned $1.8 million and $2.3 million, respectively, in incentive fees on net investment income from us.</w:t>
      </w:r>
    </w:p>
    <w:p>
      <w:pPr>
        <w:spacing w:after="0" w:line="109" w:lineRule="exact"/>
        <w:rPr>
          <w:sz w:val="20"/>
          <w:szCs w:val="20"/>
          <w:color w:val="auto"/>
        </w:rPr>
      </w:pPr>
    </w:p>
    <w:p>
      <w:pPr>
        <w:ind w:right="140" w:firstLine="438"/>
        <w:spacing w:after="0" w:line="236" w:lineRule="auto"/>
        <w:rPr>
          <w:sz w:val="20"/>
          <w:szCs w:val="20"/>
          <w:color w:val="auto"/>
        </w:rPr>
      </w:pPr>
      <w:r>
        <w:rPr>
          <w:rFonts w:ascii="Times New Roman" w:cs="Times New Roman" w:eastAsia="Times New Roman" w:hAnsi="Times New Roman"/>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both periods presented herein, the Investment Adviser did not accrue an incentive fee on capital gains, as calculated under the Investment Management Agreement (as described above).</w:t>
      </w:r>
    </w:p>
    <w:p>
      <w:pPr>
        <w:spacing w:after="0" w:line="109" w:lineRule="exact"/>
        <w:rPr>
          <w:sz w:val="20"/>
          <w:szCs w:val="20"/>
          <w:color w:val="auto"/>
        </w:rPr>
      </w:pPr>
    </w:p>
    <w:p>
      <w:pPr>
        <w:ind w:right="100" w:firstLine="438"/>
        <w:spacing w:after="0"/>
        <w:rPr>
          <w:sz w:val="20"/>
          <w:szCs w:val="20"/>
          <w:color w:val="auto"/>
        </w:rPr>
      </w:pPr>
      <w:r>
        <w:rPr>
          <w:rFonts w:ascii="Times New Roman" w:cs="Times New Roman" w:eastAsia="Times New Roman" w:hAnsi="Times New Roman"/>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but not payable, under GAAP on our unrealized and realized capital gains for both the three months ended December 31, 2020 and 2019 was zero.</w:t>
      </w:r>
    </w:p>
    <w:p>
      <w:pPr>
        <w:spacing w:after="0" w:line="210" w:lineRule="exact"/>
        <w:rPr>
          <w:sz w:val="20"/>
          <w:szCs w:val="20"/>
          <w:color w:val="auto"/>
        </w:rPr>
      </w:pPr>
    </w:p>
    <w:p>
      <w:pPr>
        <w:ind w:right="80" w:firstLine="438"/>
        <w:spacing w:after="0" w:line="229" w:lineRule="auto"/>
        <w:rPr>
          <w:sz w:val="20"/>
          <w:szCs w:val="20"/>
          <w:color w:val="auto"/>
        </w:rPr>
      </w:pPr>
      <w:r>
        <w:rPr>
          <w:rFonts w:ascii="Times New Roman" w:cs="Times New Roman" w:eastAsia="Times New Roman" w:hAnsi="Times New Roman"/>
          <w:sz w:val="14"/>
          <w:szCs w:val="14"/>
          <w:color w:val="auto"/>
        </w:rPr>
        <w:t>The Administration Agreement with the Administrator was reapproved by our board of directors, including a majority of our directors who are not interested persons of us, in February 2021.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months ended December 31, 2020 and 2019, we reimbursed the Investment Adviser approximately $0.2 million and $0.3 million, respectively, including expenses the Investment Adviser incurred on behalf of the Administrator, for services described above.</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There were no transactions subject to Rule 17a-7 under the 1940 Act during both the three months ended December 31, 2020 and 2019.</w:t>
      </w:r>
    </w:p>
    <w:p>
      <w:pPr>
        <w:spacing w:after="0" w:line="136" w:lineRule="exact"/>
        <w:rPr>
          <w:sz w:val="20"/>
          <w:szCs w:val="20"/>
          <w:color w:val="auto"/>
        </w:rPr>
      </w:pPr>
    </w:p>
    <w:p>
      <w:pPr>
        <w:ind w:right="160" w:firstLine="438"/>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2020, we did not sell any investments to PSSL. For the three months ended December 31, 2019, we sold $68.9 million in investments to PSSL at fair value and recognized $0.5 million of net realized gains.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INVESTMENTS</w:t>
      </w:r>
    </w:p>
    <w:p>
      <w:pPr>
        <w:spacing w:after="0" w:line="138" w:lineRule="exact"/>
        <w:rPr>
          <w:sz w:val="20"/>
          <w:szCs w:val="20"/>
          <w:color w:val="auto"/>
        </w:rPr>
      </w:pPr>
    </w:p>
    <w:p>
      <w:pPr>
        <w:ind w:right="80" w:firstLine="438"/>
        <w:spacing w:after="0" w:line="261" w:lineRule="auto"/>
        <w:rPr>
          <w:sz w:val="20"/>
          <w:szCs w:val="20"/>
          <w:color w:val="auto"/>
        </w:rPr>
      </w:pPr>
      <w:r>
        <w:rPr>
          <w:rFonts w:ascii="Times New Roman" w:cs="Times New Roman" w:eastAsia="Times New Roman" w:hAnsi="Times New Roman"/>
          <w:sz w:val="14"/>
          <w:szCs w:val="14"/>
          <w:color w:val="auto"/>
        </w:rPr>
        <w:t>Purchases of investments, including PIK interest, for the three months ended December 31, 2020 and 2019 totaled $68.5 million and $240.3 million, respectively. Sales and repayments of investments for the three months ended December 31, 2020 and 2019 totaled $109.6 million and $143.7 million, respectively.</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Investments and cash and cash equivalents consisted of the following: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 Classification</w:t>
            </w:r>
          </w:p>
        </w:tc>
        <w:tc>
          <w:tcPr>
            <w:tcW w:w="320" w:type="dxa"/>
            <w:vAlign w:val="bottom"/>
          </w:tcPr>
          <w:p>
            <w:pPr>
              <w:spacing w:after="0"/>
              <w:rPr>
                <w:sz w:val="15"/>
                <w:szCs w:val="15"/>
                <w:color w:val="auto"/>
              </w:rPr>
            </w:pPr>
          </w:p>
        </w:tc>
        <w:tc>
          <w:tcPr>
            <w:tcW w:w="312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320" w:type="dxa"/>
            <w:vAlign w:val="bottom"/>
          </w:tcPr>
          <w:p>
            <w:pPr>
              <w:spacing w:after="0"/>
              <w:rPr>
                <w:sz w:val="15"/>
                <w:szCs w:val="15"/>
                <w:color w:val="auto"/>
              </w:rPr>
            </w:pPr>
          </w:p>
        </w:tc>
        <w:tc>
          <w:tcPr>
            <w:tcW w:w="29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09"/>
              <w:spacing w:after="0" w:line="155" w:lineRule="exact"/>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28"/>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28"/>
              <w:spacing w:after="0" w:line="155" w:lineRule="exact"/>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48"/>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8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814,647,700</w:t>
            </w:r>
          </w:p>
        </w:tc>
        <w:tc>
          <w:tcPr>
            <w:tcW w:w="28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804,762,638</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861,283,212</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843,236,998</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lien in PSSL</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126,481,250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126,481,250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125,378,750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125,378,750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Second lien</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30,637,871</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25,607,068</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31,627,520</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29,911,030</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48,505,274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67,599,621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44,928,206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48,491,115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Equity in PSSL</w:t>
            </w: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54,206,250</w:t>
            </w:r>
          </w:p>
        </w:tc>
        <w:tc>
          <w:tcPr>
            <w:tcW w:w="28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42,894,805</w:t>
            </w:r>
          </w:p>
        </w:tc>
        <w:tc>
          <w:tcPr>
            <w:tcW w:w="28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53,733,750</w:t>
            </w:r>
          </w:p>
        </w:tc>
        <w:tc>
          <w:tcPr>
            <w:tcW w:w="26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39,910,574</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Borders>
              <w:bottom w:val="single" w:sz="8" w:color="CCECFF"/>
            </w:tcBorders>
            <w:gridSpan w:val="2"/>
          </w:tcPr>
          <w:p>
            <w:pPr>
              <w:spacing w:after="0" w:line="155" w:lineRule="exact"/>
              <w:rPr>
                <w:sz w:val="20"/>
                <w:szCs w:val="20"/>
                <w:color w:val="auto"/>
              </w:rPr>
            </w:pPr>
            <w:r>
              <w:rPr>
                <w:rFonts w:ascii="Times New Roman" w:cs="Times New Roman" w:eastAsia="Times New Roman" w:hAnsi="Times New Roman"/>
                <w:sz w:val="14"/>
                <w:szCs w:val="14"/>
                <w:color w:val="auto"/>
              </w:rPr>
              <w:t>Total investments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1,074,478,345</w:t>
            </w:r>
          </w:p>
        </w:tc>
        <w:tc>
          <w:tcPr>
            <w:tcW w:w="28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1,067,345,382</w:t>
            </w:r>
          </w:p>
        </w:tc>
        <w:tc>
          <w:tcPr>
            <w:tcW w:w="2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1,116,951,438</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1,086,928,467</w:t>
            </w:r>
          </w:p>
        </w:tc>
        <w:tc>
          <w:tcPr>
            <w:tcW w:w="10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28,487,798</w:t>
            </w:r>
          </w:p>
        </w:tc>
        <w:tc>
          <w:tcPr>
            <w:tcW w:w="28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28,488,111</w:t>
            </w:r>
          </w:p>
        </w:tc>
        <w:tc>
          <w:tcPr>
            <w:tcW w:w="280" w:type="dxa"/>
            <w:vAlign w:val="bottom"/>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57,534,421</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57,511,928</w:t>
            </w:r>
          </w:p>
        </w:tc>
        <w:tc>
          <w:tcPr>
            <w:tcW w:w="10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1,102,966,143</w:t>
            </w:r>
          </w:p>
        </w:tc>
        <w:tc>
          <w:tcPr>
            <w:tcW w:w="28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1,095,833,493</w:t>
            </w:r>
          </w:p>
        </w:tc>
        <w:tc>
          <w:tcPr>
            <w:tcW w:w="280" w:type="dxa"/>
            <w:vAlign w:val="bottom"/>
          </w:tcPr>
          <w:p>
            <w:pPr>
              <w:spacing w:after="0"/>
              <w:rPr>
                <w:sz w:val="13"/>
                <w:szCs w:val="13"/>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1,174,485,859</w:t>
            </w:r>
          </w:p>
        </w:tc>
        <w:tc>
          <w:tcPr>
            <w:tcW w:w="26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1,144,440,395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229"/>
              <w:spacing w:after="0"/>
              <w:rPr>
                <w:sz w:val="20"/>
                <w:szCs w:val="20"/>
                <w:color w:val="auto"/>
              </w:rPr>
            </w:pPr>
            <w:r>
              <w:rPr>
                <w:rFonts w:ascii="Times New Roman" w:cs="Times New Roman" w:eastAsia="Times New Roman" w:hAnsi="Times New Roman"/>
                <w:sz w:val="13"/>
                <w:szCs w:val="13"/>
                <w:color w:val="auto"/>
              </w:rPr>
              <w:t>19</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p>
      <w:pPr>
        <w:ind w:right="220" w:firstLine="438"/>
        <w:spacing w:after="0" w:line="261" w:lineRule="auto"/>
        <w:rPr>
          <w:sz w:val="20"/>
          <w:szCs w:val="20"/>
          <w:color w:val="auto"/>
        </w:rPr>
      </w:pPr>
      <w:r>
        <w:rPr>
          <w:rFonts w:ascii="Times New Roman" w:cs="Times New Roman" w:eastAsia="Times New Roman" w:hAnsi="Times New Roman"/>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200" w:type="dxa"/>
            <w:vAlign w:val="bottom"/>
            <w:tcBorders>
              <w:bottom w:val="single" w:sz="8" w:color="CCECFF"/>
            </w:tcBorders>
          </w:tcPr>
          <w:p>
            <w:pPr>
              <w:spacing w:after="0"/>
              <w:rPr>
                <w:sz w:val="15"/>
                <w:szCs w:val="15"/>
                <w:color w:val="auto"/>
              </w:rPr>
            </w:pPr>
          </w:p>
        </w:tc>
        <w:tc>
          <w:tcPr>
            <w:tcW w:w="18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xml:space="preserve">December 31, 2020 </w:t>
            </w:r>
            <w:r>
              <w:rPr>
                <w:rFonts w:ascii="Times New Roman" w:cs="Times New Roman" w:eastAsia="Times New Roman" w:hAnsi="Times New Roman"/>
                <w:sz w:val="12"/>
                <w:szCs w:val="12"/>
                <w:b w:val="1"/>
                <w:bCs w:val="1"/>
                <w:color w:val="auto"/>
              </w:rPr>
              <w:t>(1)</w:t>
            </w:r>
          </w:p>
        </w:tc>
        <w:tc>
          <w:tcPr>
            <w:tcW w:w="320" w:type="dxa"/>
            <w:vAlign w:val="bottom"/>
            <w:tcBorders>
              <w:bottom w:val="single" w:sz="8" w:color="CCECFF"/>
            </w:tcBorders>
          </w:tcPr>
          <w:p>
            <w:pPr>
              <w:spacing w:after="0"/>
              <w:rPr>
                <w:sz w:val="15"/>
                <w:szCs w:val="15"/>
                <w:color w:val="auto"/>
              </w:rPr>
            </w:pPr>
          </w:p>
        </w:tc>
        <w:tc>
          <w:tcPr>
            <w:tcW w:w="1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xml:space="preserve">September 30, 2020 </w:t>
            </w:r>
            <w:r>
              <w:rPr>
                <w:rFonts w:ascii="Times New Roman" w:cs="Times New Roman" w:eastAsia="Times New Roman" w:hAnsi="Times New Roman"/>
                <w:sz w:val="12"/>
                <w:szCs w:val="12"/>
                <w:b w:val="1"/>
                <w:bCs w:val="1"/>
                <w:color w:val="auto"/>
              </w:rPr>
              <w:t>(1)</w:t>
            </w:r>
          </w:p>
        </w:tc>
        <w:tc>
          <w:tcPr>
            <w:tcW w:w="140" w:type="dxa"/>
            <w:vAlign w:val="bottom"/>
            <w:tcBorders>
              <w:bottom w:val="single" w:sz="8" w:color="CCECFF"/>
            </w:tcBorders>
          </w:tcPr>
          <w:p>
            <w:pPr>
              <w:spacing w:after="0"/>
              <w:rPr>
                <w:sz w:val="15"/>
                <w:szCs w:val="15"/>
                <w:color w:val="auto"/>
              </w:rPr>
            </w:pPr>
          </w:p>
        </w:tc>
      </w:tr>
      <w:tr>
        <w:trPr>
          <w:trHeight w:val="155"/>
        </w:trPr>
        <w:tc>
          <w:tcPr>
            <w:tcW w:w="694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Professional Services</w:t>
            </w:r>
          </w:p>
        </w:tc>
        <w:tc>
          <w:tcPr>
            <w:tcW w:w="200" w:type="dxa"/>
            <w:vAlign w:val="bottom"/>
            <w:shd w:val="clear" w:color="auto" w:fill="CCECFF"/>
          </w:tcPr>
          <w:p>
            <w:pPr>
              <w:spacing w:after="0"/>
              <w:rPr>
                <w:sz w:val="13"/>
                <w:szCs w:val="13"/>
                <w:color w:val="auto"/>
              </w:rPr>
            </w:pPr>
          </w:p>
        </w:tc>
        <w:tc>
          <w:tcPr>
            <w:tcW w:w="2180" w:type="dxa"/>
            <w:vAlign w:val="bottom"/>
            <w:gridSpan w:val="2"/>
            <w:shd w:val="clear" w:color="auto" w:fill="CCECFF"/>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9%</w:t>
            </w:r>
          </w:p>
        </w:tc>
        <w:tc>
          <w:tcPr>
            <w:tcW w:w="1920" w:type="dxa"/>
            <w:vAlign w:val="bottom"/>
            <w:gridSpan w:val="2"/>
            <w:shd w:val="clear" w:color="auto" w:fill="CCEC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8%</w:t>
            </w:r>
          </w:p>
        </w:tc>
      </w:tr>
      <w:tr>
        <w:trPr>
          <w:trHeight w:val="162"/>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Aerospace and Defense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4"/>
                <w:szCs w:val="14"/>
                <w:color w:val="auto"/>
              </w:rPr>
            </w:pPr>
          </w:p>
        </w:tc>
      </w:tr>
      <w:tr>
        <w:trPr>
          <w:trHeight w:val="162"/>
        </w:trPr>
        <w:tc>
          <w:tcPr>
            <w:tcW w:w="71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High Tech Industries</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2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Media</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4"/>
                <w:szCs w:val="14"/>
                <w:color w:val="auto"/>
              </w:rPr>
            </w:pPr>
          </w:p>
        </w:tc>
      </w:tr>
      <w:tr>
        <w:trPr>
          <w:trHeight w:val="162"/>
        </w:trPr>
        <w:tc>
          <w:tcPr>
            <w:tcW w:w="71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Business Services</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2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Capital Equipment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4"/>
                <w:szCs w:val="14"/>
                <w:color w:val="auto"/>
              </w:rPr>
            </w:pPr>
          </w:p>
        </w:tc>
      </w:tr>
      <w:tr>
        <w:trPr>
          <w:trHeight w:val="162"/>
        </w:trPr>
        <w:tc>
          <w:tcPr>
            <w:tcW w:w="71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Healthcare Technology</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2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Media: Diversified and Production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4"/>
                <w:szCs w:val="14"/>
                <w:color w:val="auto"/>
              </w:rPr>
            </w:pPr>
          </w:p>
        </w:tc>
      </w:tr>
      <w:tr>
        <w:trPr>
          <w:trHeight w:val="162"/>
        </w:trPr>
        <w:tc>
          <w:tcPr>
            <w:tcW w:w="71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Beverage, Food and Tobacco</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Commercial Services &amp; Supplies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4"/>
                <w:szCs w:val="14"/>
                <w:color w:val="auto"/>
              </w:rPr>
            </w:pPr>
          </w:p>
        </w:tc>
      </w:tr>
      <w:tr>
        <w:trPr>
          <w:trHeight w:val="162"/>
        </w:trPr>
        <w:tc>
          <w:tcPr>
            <w:tcW w:w="71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Consumer Services</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Electronic Equipment, Instruments, and Components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4"/>
                <w:szCs w:val="14"/>
                <w:color w:val="auto"/>
              </w:rPr>
            </w:pPr>
          </w:p>
        </w:tc>
      </w:tr>
      <w:tr>
        <w:trPr>
          <w:trHeight w:val="162"/>
        </w:trPr>
        <w:tc>
          <w:tcPr>
            <w:tcW w:w="71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Healthcare and Pharmaceuticals</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Hotel, Gaming and Leisure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4"/>
                <w:szCs w:val="14"/>
                <w:color w:val="auto"/>
              </w:rPr>
            </w:pPr>
          </w:p>
        </w:tc>
      </w:tr>
      <w:tr>
        <w:trPr>
          <w:trHeight w:val="162"/>
        </w:trPr>
        <w:tc>
          <w:tcPr>
            <w:tcW w:w="71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Wholesale</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Banking, Finance, Insurance &amp; Real Estate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4"/>
                <w:szCs w:val="14"/>
                <w:color w:val="auto"/>
              </w:rPr>
            </w:pPr>
          </w:p>
        </w:tc>
      </w:tr>
      <w:tr>
        <w:trPr>
          <w:trHeight w:val="162"/>
        </w:trPr>
        <w:tc>
          <w:tcPr>
            <w:tcW w:w="71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Building Products</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Construction and Building</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4"/>
                <w:szCs w:val="14"/>
                <w:color w:val="auto"/>
              </w:rPr>
            </w:pPr>
          </w:p>
        </w:tc>
      </w:tr>
      <w:tr>
        <w:trPr>
          <w:trHeight w:val="162"/>
        </w:trPr>
        <w:tc>
          <w:tcPr>
            <w:tcW w:w="71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Hotels, Restaurants and Leisure</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Insurance</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4"/>
                <w:szCs w:val="14"/>
                <w:color w:val="auto"/>
              </w:rPr>
            </w:pPr>
          </w:p>
        </w:tc>
      </w:tr>
      <w:tr>
        <w:trPr>
          <w:trHeight w:val="162"/>
        </w:trPr>
        <w:tc>
          <w:tcPr>
            <w:tcW w:w="71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IT Services</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Media: Advertising, Printing and Publishing</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4"/>
                <w:szCs w:val="14"/>
                <w:color w:val="auto"/>
              </w:rPr>
            </w:pPr>
          </w:p>
        </w:tc>
      </w:tr>
      <w:tr>
        <w:trPr>
          <w:trHeight w:val="162"/>
        </w:trPr>
        <w:tc>
          <w:tcPr>
            <w:tcW w:w="71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Media: Broadcasting and Subscription</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Telecommunications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4"/>
                <w:szCs w:val="14"/>
                <w:color w:val="auto"/>
              </w:rPr>
            </w:pPr>
          </w:p>
        </w:tc>
      </w:tr>
      <w:tr>
        <w:trPr>
          <w:trHeight w:val="162"/>
        </w:trPr>
        <w:tc>
          <w:tcPr>
            <w:tcW w:w="71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Construction &amp; Engineering</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r>
      <w:tr>
        <w:trPr>
          <w:trHeight w:val="162"/>
        </w:trPr>
        <w:tc>
          <w:tcPr>
            <w:tcW w:w="71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Consumer Goods: Non-Durable</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Diversified Consumer Services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r>
      <w:tr>
        <w:trPr>
          <w:trHeight w:val="162"/>
        </w:trPr>
        <w:tc>
          <w:tcPr>
            <w:tcW w:w="71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Energy Equipment and Services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r>
      <w:tr>
        <w:trPr>
          <w:trHeight w:val="162"/>
        </w:trPr>
        <w:tc>
          <w:tcPr>
            <w:tcW w:w="71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Environmental Industries</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Healthcare Equipment and Supplies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r>
      <w:tr>
        <w:trPr>
          <w:trHeight w:val="162"/>
        </w:trPr>
        <w:tc>
          <w:tcPr>
            <w:tcW w:w="71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Healthcare Providers and Services</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Personal Products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r>
      <w:tr>
        <w:trPr>
          <w:trHeight w:val="162"/>
        </w:trPr>
        <w:tc>
          <w:tcPr>
            <w:tcW w:w="71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Retail</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Transportation: Consumer</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r>
      <w:tr>
        <w:trPr>
          <w:trHeight w:val="162"/>
        </w:trPr>
        <w:tc>
          <w:tcPr>
            <w:tcW w:w="714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Wireless Telecommunication Services</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4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4"/>
                <w:szCs w:val="14"/>
                <w:color w:val="auto"/>
              </w:rPr>
              <w:t>All Other</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Borders>
              <w:bottom w:val="single" w:sz="8" w:color="CCECFF"/>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Borders>
              <w:bottom w:val="single" w:sz="8" w:color="CCECFF"/>
            </w:tcBorders>
          </w:tcPr>
          <w:p>
            <w:pPr>
              <w:spacing w:after="0"/>
              <w:rPr>
                <w:sz w:val="14"/>
                <w:szCs w:val="14"/>
                <w:color w:val="auto"/>
              </w:rPr>
            </w:pPr>
          </w:p>
        </w:tc>
      </w:tr>
      <w:tr>
        <w:trPr>
          <w:trHeight w:val="155"/>
        </w:trPr>
        <w:tc>
          <w:tcPr>
            <w:tcW w:w="7140" w:type="dxa"/>
            <w:vAlign w:val="bottom"/>
            <w:gridSpan w:val="3"/>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180" w:type="dxa"/>
            <w:vAlign w:val="bottom"/>
            <w:gridSpan w:val="2"/>
            <w:shd w:val="clear" w:color="auto" w:fill="CCECFF"/>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1920" w:type="dxa"/>
            <w:vAlign w:val="bottom"/>
            <w:gridSpan w:val="2"/>
            <w:shd w:val="clear" w:color="auto" w:fill="CCEC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100%</w:t>
            </w:r>
          </w:p>
        </w:tc>
      </w:tr>
      <w:tr>
        <w:trPr>
          <w:trHeight w:val="20"/>
        </w:trPr>
        <w:tc>
          <w:tcPr>
            <w:tcW w:w="2940" w:type="dxa"/>
            <w:vAlign w:val="bottom"/>
            <w:tcBorders>
              <w:top w:val="single" w:sz="8" w:color="CCECFF"/>
            </w:tcBorders>
          </w:tcPr>
          <w:p>
            <w:pPr>
              <w:spacing w:after="0" w:line="20" w:lineRule="exact"/>
              <w:rPr>
                <w:sz w:val="1"/>
                <w:szCs w:val="1"/>
                <w:color w:val="auto"/>
              </w:rPr>
            </w:pPr>
          </w:p>
        </w:tc>
        <w:tc>
          <w:tcPr>
            <w:tcW w:w="400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C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r>
      <w:tr>
        <w:trPr>
          <w:trHeight w:val="35"/>
        </w:trPr>
        <w:tc>
          <w:tcPr>
            <w:tcW w:w="2940" w:type="dxa"/>
            <w:vAlign w:val="bottom"/>
            <w:tcBorders>
              <w:bottom w:val="single" w:sz="8" w:color="auto"/>
            </w:tcBorders>
          </w:tcPr>
          <w:p>
            <w:pPr>
              <w:spacing w:after="0"/>
              <w:rPr>
                <w:sz w:val="3"/>
                <w:szCs w:val="3"/>
                <w:color w:val="auto"/>
              </w:rPr>
            </w:pPr>
          </w:p>
        </w:tc>
        <w:tc>
          <w:tcPr>
            <w:tcW w:w="4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40" w:type="dxa"/>
            <w:vAlign w:val="bottom"/>
          </w:tcPr>
          <w:p>
            <w:pPr>
              <w:spacing w:after="0"/>
              <w:rPr>
                <w:sz w:val="3"/>
                <w:szCs w:val="3"/>
                <w:color w:val="auto"/>
              </w:rPr>
            </w:pPr>
          </w:p>
        </w:tc>
      </w:tr>
    </w:tbl>
    <w:p>
      <w:pPr>
        <w:ind w:left="380" w:hanging="372"/>
        <w:spacing w:after="0" w:line="190" w:lineRule="auto"/>
        <w:tabs>
          <w:tab w:leader="none" w:pos="38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Excludes investments in PSSL.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Secured Loan Fund I LLC</w:t>
      </w:r>
    </w:p>
    <w:p>
      <w:pPr>
        <w:spacing w:after="0" w:line="138" w:lineRule="exact"/>
        <w:rPr>
          <w:sz w:val="20"/>
          <w:szCs w:val="20"/>
          <w:color w:val="auto"/>
        </w:rPr>
      </w:pPr>
    </w:p>
    <w:p>
      <w:pPr>
        <w:ind w:firstLine="438"/>
        <w:spacing w:after="0" w:line="231" w:lineRule="auto"/>
        <w:rPr>
          <w:sz w:val="20"/>
          <w:szCs w:val="20"/>
          <w:color w:val="auto"/>
        </w:rPr>
      </w:pPr>
      <w:r>
        <w:rPr>
          <w:rFonts w:ascii="Times New Roman" w:cs="Times New Roman" w:eastAsia="Times New Roman" w:hAnsi="Times New Roman"/>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December 31, 2020 and September 30, 2020, PSSL had total assets of $395.1 million and $406.4 million, respectively. As of December 31, 2020, PSSL had $184.1 million of unused borrowing capacity under the PSSL Credit Facility (as defined point below), subject to leverage and borrowing base restrictions, and cash and cash equivalents of $11.4 million. As of September 30, 2020, PSSL had $107.5 million of unused borrowing capacity under the PSSL Credit Facility, subject to leverage and borrowing base restrictions, and cash and cash equivalents of $11.1 million. As of December 31, 2020 and September 30, 2020, we and Kemper had remaining commitments to fund first lien secured debt and equity interests in PSSL in an aggregate amount of $23.5 million and $25.3 million, respectively. PSSL invests in portfolio companies in the same industries in which we may directly invest.</w:t>
      </w:r>
    </w:p>
    <w:p>
      <w:pPr>
        <w:spacing w:after="0" w:line="83" w:lineRule="exact"/>
        <w:rPr>
          <w:sz w:val="20"/>
          <w:szCs w:val="20"/>
          <w:color w:val="auto"/>
        </w:rPr>
      </w:pPr>
    </w:p>
    <w:p>
      <w:pPr>
        <w:ind w:right="140" w:firstLine="438"/>
        <w:spacing w:after="0" w:line="236" w:lineRule="auto"/>
        <w:rPr>
          <w:sz w:val="20"/>
          <w:szCs w:val="20"/>
          <w:color w:val="auto"/>
        </w:rPr>
      </w:pPr>
      <w:r>
        <w:rPr>
          <w:rFonts w:ascii="Times New Roman" w:cs="Times New Roman" w:eastAsia="Times New Roman" w:hAnsi="Times New Roman"/>
          <w:sz w:val="14"/>
          <w:szCs w:val="14"/>
          <w:color w:val="auto"/>
        </w:rPr>
        <w:t>We provide capital to PSSL in the form of first lien secured debt and equity interests. As of December 31, 2020 and September 30, 2020, we and Kemper owned 87.5% and 12.5%, respectively, of each of the outstanding first lien secured debt and equity interests. As of the same dates, our investment in PSSL consisted of first lien secured debt of $126.5 million (additional $14.4 million unfunded) and $125.4 million (additional $15.5 million unfunded), respectively, and equity interests of $54.2 million (additional $6.2 million unfunded) and $53.7 million (additional $6.6 million unfunded), respectively.</w:t>
      </w:r>
    </w:p>
    <w:p>
      <w:pPr>
        <w:spacing w:after="0" w:line="109" w:lineRule="exact"/>
        <w:rPr>
          <w:sz w:val="20"/>
          <w:szCs w:val="20"/>
          <w:color w:val="auto"/>
        </w:rPr>
      </w:pPr>
    </w:p>
    <w:p>
      <w:pPr>
        <w:ind w:right="120" w:firstLine="438"/>
        <w:spacing w:after="0"/>
        <w:rPr>
          <w:sz w:val="20"/>
          <w:szCs w:val="20"/>
          <w:color w:val="auto"/>
        </w:rPr>
      </w:pPr>
      <w:r>
        <w:rPr>
          <w:rFonts w:ascii="Times New Roman" w:cs="Times New Roman" w:eastAsia="Times New Roman" w:hAnsi="Times New Roman"/>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or (iii) the presence of four members of the board of directors or investment committee, provided that two individuals are present that were elected, designated or appointed by each member.</w:t>
      </w:r>
    </w:p>
    <w:p>
      <w:pPr>
        <w:spacing w:after="0" w:line="235" w:lineRule="exact"/>
        <w:rPr>
          <w:sz w:val="20"/>
          <w:szCs w:val="20"/>
          <w:color w:val="auto"/>
        </w:rPr>
      </w:pPr>
    </w:p>
    <w:p>
      <w:pPr>
        <w:jc w:val="both"/>
        <w:ind w:right="80" w:firstLine="438"/>
        <w:spacing w:after="0" w:line="241" w:lineRule="auto"/>
        <w:rPr>
          <w:sz w:val="20"/>
          <w:szCs w:val="20"/>
          <w:color w:val="auto"/>
        </w:rPr>
      </w:pPr>
      <w:r>
        <w:rPr>
          <w:rFonts w:ascii="Times New Roman" w:cs="Times New Roman" w:eastAsia="Times New Roman" w:hAnsi="Times New Roman"/>
          <w:sz w:val="14"/>
          <w:szCs w:val="14"/>
          <w:color w:val="auto"/>
        </w:rPr>
        <w:t>PSSL has entered into a $325.0 million senior secured revolving credit facility which bears interest at LIBOR (or an alternative risk-free floating interest rate index) plus 225 basis points, or the PSSL Credit Facility, with Capital One, N.A. through its wholly-owned subsidiary, PennantPark Senior Secured Loan Facility LLC, or PSSL Subsidiary, subject to leverage and borrowing base restrictions.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ind w:right="2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p>
      <w:pPr>
        <w:ind w:right="100" w:firstLine="438"/>
        <w:spacing w:after="0" w:line="241" w:lineRule="auto"/>
        <w:rPr>
          <w:sz w:val="20"/>
          <w:szCs w:val="20"/>
          <w:color w:val="auto"/>
        </w:rPr>
      </w:pPr>
      <w:r>
        <w:rPr>
          <w:rFonts w:ascii="Times New Roman" w:cs="Times New Roman" w:eastAsia="Times New Roman" w:hAnsi="Times New Roman"/>
          <w:sz w:val="14"/>
          <w:szCs w:val="14"/>
          <w:color w:val="auto"/>
        </w:rPr>
        <w:t>Additionally, on December 23, 2020 PSSL issued a $50.0 million senior secured promissory note. The principal is payable upon the earlier of the closing date of the PennantPark CLO II, Ltd. transaction (See Note 12) and March 12, 2021. The senior secured promissory note bears interest at LIBOR (or an alternative risk-free floating interest rate index) plus 190 basis points. Proceeds from the senior secured promissory note were used to pay down the PSSL Credit Facility.</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Below is a summary of PSSL’s portfolio at fair value: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 w:type="dxa"/>
            <w:vAlign w:val="bottom"/>
          </w:tcPr>
          <w:p>
            <w:pPr>
              <w:spacing w:after="0"/>
              <w:rPr>
                <w:sz w:val="15"/>
                <w:szCs w:val="15"/>
                <w:color w:val="auto"/>
              </w:rPr>
            </w:pPr>
          </w:p>
        </w:tc>
      </w:tr>
      <w:tr>
        <w:trPr>
          <w:trHeight w:val="156"/>
        </w:trPr>
        <w:tc>
          <w:tcPr>
            <w:tcW w:w="426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investments</w:t>
            </w:r>
          </w:p>
        </w:tc>
        <w:tc>
          <w:tcPr>
            <w:tcW w:w="29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382,232,264</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392,986,090</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yield on debt investments</w:t>
            </w: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w:t>
            </w: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Number of portfolio companies in PSSL</w:t>
            </w:r>
          </w:p>
        </w:tc>
        <w:tc>
          <w:tcPr>
            <w:tcW w:w="29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Largest portfolio company investment</w:t>
            </w:r>
          </w:p>
        </w:tc>
        <w:tc>
          <w:tcPr>
            <w:tcW w:w="310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21,766,222</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20,614,860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Total of five largest portfolio company investments</w:t>
            </w:r>
          </w:p>
        </w:tc>
        <w:tc>
          <w:tcPr>
            <w:tcW w:w="3100" w:type="dxa"/>
            <w:vAlign w:val="bottom"/>
            <w:gridSpan w:val="2"/>
            <w:shd w:val="clear" w:color="auto" w:fill="CCEC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90,626,739</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93,320,993</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727"/>
        </w:trPr>
        <w:tc>
          <w:tcPr>
            <w:tcW w:w="4260" w:type="dxa"/>
            <w:vAlign w:val="bottom"/>
          </w:tcPr>
          <w:p>
            <w:pPr>
              <w:spacing w:after="0"/>
              <w:rPr>
                <w:sz w:val="24"/>
                <w:szCs w:val="24"/>
                <w:color w:val="auto"/>
              </w:rPr>
            </w:pPr>
          </w:p>
        </w:tc>
        <w:tc>
          <w:tcPr>
            <w:tcW w:w="2920" w:type="dxa"/>
            <w:vAlign w:val="bottom"/>
          </w:tcPr>
          <w:p>
            <w:pPr>
              <w:jc w:val="right"/>
              <w:ind w:right="1431"/>
              <w:spacing w:after="0"/>
              <w:rPr>
                <w:sz w:val="20"/>
                <w:szCs w:val="20"/>
                <w:color w:val="auto"/>
              </w:rPr>
            </w:pPr>
            <w:r>
              <w:rPr>
                <w:rFonts w:ascii="Times New Roman" w:cs="Times New Roman" w:eastAsia="Times New Roman" w:hAnsi="Times New Roman"/>
                <w:sz w:val="13"/>
                <w:szCs w:val="13"/>
                <w:color w:val="auto"/>
              </w:rPr>
              <w:t>21</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426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Below is a listing of PSSL’s individual investments as of December 31,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2"/>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7"/>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Par</w:t>
            </w:r>
          </w:p>
        </w:tc>
        <w:tc>
          <w:tcPr>
            <w:tcW w:w="10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Pr>
          <w:p>
            <w:pPr>
              <w:spacing w:after="0"/>
              <w:rPr>
                <w:sz w:val="11"/>
                <w:szCs w:val="11"/>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9"/>
                <w:szCs w:val="9"/>
                <w:b w:val="1"/>
                <w:bCs w:val="1"/>
                <w:color w:val="auto"/>
              </w:rPr>
              <w:t>(2)</w:t>
            </w:r>
          </w:p>
        </w:tc>
      </w:tr>
      <w:tr>
        <w:trPr>
          <w:trHeight w:val="128"/>
        </w:trPr>
        <w:tc>
          <w:tcPr>
            <w:tcW w:w="3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Debt—757.3%</w:t>
            </w: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Altamira Technologies,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07/24/2025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4,793,655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4,736,311</w:t>
            </w:r>
          </w:p>
        </w:tc>
        <w:tc>
          <w:tcPr>
            <w:tcW w:w="220" w:type="dxa"/>
            <w:vAlign w:val="bottom"/>
            <w:shd w:val="clear" w:color="auto" w:fill="CCECFF"/>
          </w:tcPr>
          <w:p>
            <w:pPr>
              <w:spacing w:after="0"/>
              <w:rPr>
                <w:sz w:val="11"/>
                <w:szCs w:val="11"/>
                <w:color w:val="auto"/>
              </w:rPr>
            </w:pPr>
          </w:p>
        </w:tc>
        <w:tc>
          <w:tcPr>
            <w:tcW w:w="100" w:type="dxa"/>
            <w:vAlign w:val="bottom"/>
            <w:gridSpan w:val="2"/>
            <w:shd w:val="clear" w:color="auto" w:fill="CCEC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4,577,940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American Auto Auction Group,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01/02/2024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Transportation: Consumer</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7,650,680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7,577,451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7,421,160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05/16/2022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13,322,745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13,190,035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13,322,745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Cadence Aerospace, LLC</w:t>
            </w:r>
          </w:p>
        </w:tc>
        <w:tc>
          <w:tcPr>
            <w:tcW w:w="6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11/14/2023</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11,958,705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11,892,126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11,597,552</w:t>
            </w:r>
          </w:p>
        </w:tc>
        <w:tc>
          <w:tcPr>
            <w:tcW w:w="12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(PIK 9.50%)</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Cardenas Markets LLC</w:t>
            </w:r>
          </w:p>
        </w:tc>
        <w:tc>
          <w:tcPr>
            <w:tcW w:w="6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11/29/2023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7,260,885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7,241,946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7,079,363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Challenger Performance Optimization,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08/31/2023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8.00%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9,557,889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9,496,515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9,032,205</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Country Fresh Holdings,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05/01/2023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182,403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180,193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182,403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Country Fresh Holdings, LLC (Revolver)</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05/01/2023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450,110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450,111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450,110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10/19/2022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8,814,025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8,742,832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8,725,885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10/19/2022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7,384,345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7,355,651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7,310,502</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DRS Holdings III, Inc.</w:t>
            </w:r>
          </w:p>
        </w:tc>
        <w:tc>
          <w:tcPr>
            <w:tcW w:w="6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11/03/2025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8,001,943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7,933,475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8,009,944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Findex Group Limited </w:t>
            </w:r>
            <w:r>
              <w:rPr>
                <w:rFonts w:ascii="Times New Roman" w:cs="Times New Roman" w:eastAsia="Times New Roman" w:hAnsi="Times New Roman"/>
                <w:sz w:val="9"/>
                <w:szCs w:val="9"/>
                <w:color w:val="auto"/>
              </w:rPr>
              <w:t>(3), (4)</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05/31/2024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Banking, Finance, Insurance and Real Estate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5.07%</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7,426,591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7,407,840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GCOM Software LLC</w:t>
            </w:r>
          </w:p>
        </w:tc>
        <w:tc>
          <w:tcPr>
            <w:tcW w:w="6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11/14/2022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7.75%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16,500,931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16,427,796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16,500,931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Good2Grow LLC</w:t>
            </w:r>
          </w:p>
        </w:tc>
        <w:tc>
          <w:tcPr>
            <w:tcW w:w="6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11/18/2024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Beverages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5.25%</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9,499,183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9,433,068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9,499,183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IMIA Holdings,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10/26/2025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12,113,209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12,070,386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12,052,642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Impact Group,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06/27/2023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4"/>
              </w:rPr>
              <w:t>Wholesale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8.37%</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L+737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9,265,185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9,197,418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9,357,837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Integrative Nutrition,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09/29/2023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5.75%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8,562,480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8,562,480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8,476,856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12/20/2023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8.00%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19,400,356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19,257,000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LAV Gear Holdings,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10/31/2024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8.50%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10,103,330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10,034,691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9,361,746</w:t>
            </w:r>
          </w:p>
        </w:tc>
        <w:tc>
          <w:tcPr>
            <w:tcW w:w="120" w:type="dxa"/>
            <w:vAlign w:val="bottom"/>
            <w:shd w:val="clear" w:color="auto" w:fill="CCECFF"/>
          </w:tcPr>
          <w:p>
            <w:pPr>
              <w:spacing w:after="0"/>
              <w:rPr>
                <w:sz w:val="11"/>
                <w:szCs w:val="11"/>
                <w:color w:val="auto"/>
              </w:rPr>
            </w:pPr>
          </w:p>
        </w:tc>
      </w:tr>
      <w:tr>
        <w:trPr>
          <w:trHeight w:val="135"/>
        </w:trPr>
        <w:tc>
          <w:tcPr>
            <w:tcW w:w="21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(PIK 1.00%)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LSF9 Atlantis Holdings,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05/01/2023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1"/>
              </w:rPr>
              <w:t>Retail</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6,775,305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6,690,938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Marketplace Events, LLC - Super Priority First Lien Term Loan</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09/30/2025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589,122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589,122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589,122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Marketplace Events, LLC - Super Priority First Lien Term Loan </w:t>
            </w:r>
            <w:r>
              <w:rPr>
                <w:rFonts w:ascii="Times New Roman" w:cs="Times New Roman" w:eastAsia="Times New Roman" w:hAnsi="Times New Roman"/>
                <w:sz w:val="9"/>
                <w:szCs w:val="9"/>
                <w:color w:val="auto"/>
              </w:rPr>
              <w:t>(6)</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09/30/2025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589,122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Marketplace Events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09/30/2026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9"/>
                <w:szCs w:val="9"/>
                <w:color w:val="auto"/>
                <w:w w:val="94"/>
              </w:rPr>
              <w:t>(5)</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4,402,977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3,441,474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3,490,302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MeritDirect,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05/23/2024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Advertising, Printing &amp; Publishing</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4,756,924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4,718,027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4,566,647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09/28/2022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5,934,668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5,915,065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5,906,182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New Milani Group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06/06/2024</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14,625,000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14,537,498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13,381,876</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Output Services Group,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03/27/2024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7,783,419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7,804,076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7,199,663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PH Beauty Holdings III,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09/29/2025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4"/>
              </w:rPr>
              <w:t>Wholesale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5.23%</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9,767,613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9,696,990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9,230,395</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10/19/2022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1,589,974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1,577,612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1,574,075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PlayPower, Inc.</w:t>
            </w:r>
          </w:p>
        </w:tc>
        <w:tc>
          <w:tcPr>
            <w:tcW w:w="6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05/8/2026</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5.74%</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4,015,020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3,981,683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3,829,326</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Sargent &amp; Greenleaf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12/20/2024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4"/>
              </w:rPr>
              <w:t>Wholesale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4,839,970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4,838,749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Schlesinger Global,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07/14/2025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11,874,567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11,874,567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10,716,797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Smile Brands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10/14/2024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4.79%</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11,147,500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11,067,083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10,813,075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Snak Club,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07/19/2021</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4,518,583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4,518,583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4,473,397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Solutionreach,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01/17/2024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6,197,791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6,137,232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6,154,407</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STV Group Incorporated</w:t>
            </w:r>
          </w:p>
        </w:tc>
        <w:tc>
          <w:tcPr>
            <w:tcW w:w="6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12/11/2026</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5.40%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7,742,222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7,674,638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7,742,222</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TeleGuam Holdings, LLC</w:t>
            </w:r>
          </w:p>
        </w:tc>
        <w:tc>
          <w:tcPr>
            <w:tcW w:w="6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11/20/2025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Telecommunications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8,187,806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8,152,391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8,105,928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Teneo Holdings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07/18/2025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4,778,965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4,877,855</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The Infosoft Group,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09/16/2024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6M L+575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8,548,701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8,534,306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8,548,701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6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11/24/2025</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8,901,566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8,815,449</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8,634,519</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TVC Enterprises,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01/18/2024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9,722,209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9,722,209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9,795,126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06/16/2025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6,910,465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6,803,278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6,910,465</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UBEO,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04/03/2024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21,930,702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21,739,216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21,766,222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Urology Management Associates,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08/30/2024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11,434,281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11,291,119</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11,177,010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09/26/2024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4"/>
              </w:rPr>
              <w:t>Wholesale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15,492,125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15,348,482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15,492,125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color w:val="auto"/>
              </w:rPr>
              <w:t>Whitney, Bradley &amp; Brown, Inc.</w:t>
            </w:r>
          </w:p>
        </w:tc>
        <w:tc>
          <w:tcPr>
            <w:tcW w:w="660" w:type="dxa"/>
            <w:vAlign w:val="bottom"/>
            <w:tcBorders>
              <w:bottom w:val="single" w:sz="8" w:color="CCECFF"/>
            </w:tcBorders>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10/18/2022</w:t>
            </w:r>
          </w:p>
        </w:tc>
        <w:tc>
          <w:tcPr>
            <w:tcW w:w="220" w:type="dxa"/>
            <w:vAlign w:val="bottom"/>
            <w:tcBorders>
              <w:bottom w:val="single" w:sz="8" w:color="CCECFF"/>
            </w:tcBorders>
          </w:tcPr>
          <w:p>
            <w:pPr>
              <w:spacing w:after="0"/>
              <w:rPr>
                <w:sz w:val="11"/>
                <w:szCs w:val="11"/>
                <w:color w:val="auto"/>
              </w:rPr>
            </w:pPr>
          </w:p>
        </w:tc>
        <w:tc>
          <w:tcPr>
            <w:tcW w:w="268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tcBorders>
              <w:bottom w:val="single" w:sz="8" w:color="CCECFF"/>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8.50%</w:t>
            </w: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2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5,118,990</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5,067,986</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5,118,988</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376,751,758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371,247,956</w:t>
            </w:r>
          </w:p>
        </w:tc>
        <w:tc>
          <w:tcPr>
            <w:tcW w:w="120" w:type="dxa"/>
            <w:vAlign w:val="bottom"/>
            <w:shd w:val="clear" w:color="auto" w:fill="CCECFF"/>
          </w:tcPr>
          <w:p>
            <w:pPr>
              <w:spacing w:after="0"/>
              <w:rPr>
                <w:sz w:val="11"/>
                <w:szCs w:val="11"/>
                <w:color w:val="auto"/>
              </w:rPr>
            </w:pPr>
          </w:p>
        </w:tc>
      </w:tr>
      <w:tr>
        <w:trPr>
          <w:trHeight w:val="128"/>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Debt—18.0%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Country Fresh Holdings,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04/29/2024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9"/>
                <w:szCs w:val="9"/>
                <w:color w:val="auto"/>
                <w:w w:val="94"/>
              </w:rPr>
              <w:t>(5)</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987,450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964,305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124,419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DBI Holding, LLC, Term Loan B</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03/26/2021</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9.00%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17,335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17,335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17,335</w:t>
            </w:r>
          </w:p>
        </w:tc>
        <w:tc>
          <w:tcPr>
            <w:tcW w:w="12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(PIK 9.00%)</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DBI Holding, LLC, Term Loan 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02/02/2026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9.00%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8,672,665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8,672,665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8,672,665</w:t>
            </w:r>
          </w:p>
        </w:tc>
        <w:tc>
          <w:tcPr>
            <w:tcW w:w="120" w:type="dxa"/>
            <w:vAlign w:val="bottom"/>
            <w:shd w:val="clear" w:color="auto" w:fill="CCECFF"/>
          </w:tcPr>
          <w:p>
            <w:pPr>
              <w:spacing w:after="0"/>
              <w:rPr>
                <w:sz w:val="11"/>
                <w:szCs w:val="11"/>
                <w:color w:val="auto"/>
              </w:rPr>
            </w:pPr>
          </w:p>
        </w:tc>
      </w:tr>
      <w:tr>
        <w:trPr>
          <w:trHeight w:val="135"/>
        </w:trPr>
        <w:tc>
          <w:tcPr>
            <w:tcW w:w="21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(PIK 9.00%)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29"/>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9,654,305</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8,814,419</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Equity Securities—4.4%</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Country Fresh Holding Company Inc.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1,713,106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DBI Holding, LLC, Series A-1</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13.00%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5,034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5,034,310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2,169,889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DBI Holding, LLC, Series B</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1,065,021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236,521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New MPE Holdings, LLC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8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28"/>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6,983,937</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2,169,889</w:t>
            </w:r>
          </w:p>
        </w:tc>
        <w:tc>
          <w:tcPr>
            <w:tcW w:w="120" w:type="dxa"/>
            <w:vAlign w:val="bottom"/>
            <w:tcBorders>
              <w:bottom w:val="single" w:sz="8" w:color="CCECFF"/>
            </w:tcBorders>
          </w:tcPr>
          <w:p>
            <w:pPr>
              <w:spacing w:after="0"/>
              <w:rPr>
                <w:sz w:val="11"/>
                <w:szCs w:val="11"/>
                <w:color w:val="auto"/>
              </w:rPr>
            </w:pPr>
          </w:p>
        </w:tc>
      </w:tr>
      <w:tr>
        <w:trPr>
          <w:trHeight w:val="129"/>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Investments—779.7%</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393,390,000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382,232,264</w:t>
            </w:r>
          </w:p>
        </w:tc>
        <w:tc>
          <w:tcPr>
            <w:tcW w:w="120" w:type="dxa"/>
            <w:vAlign w:val="bottom"/>
            <w:shd w:val="clear" w:color="auto" w:fill="CCECFF"/>
          </w:tcPr>
          <w:p>
            <w:pPr>
              <w:spacing w:after="0"/>
              <w:rPr>
                <w:sz w:val="11"/>
                <w:szCs w:val="11"/>
                <w:color w:val="auto"/>
              </w:rPr>
            </w:pPr>
          </w:p>
        </w:tc>
      </w:tr>
      <w:tr>
        <w:trPr>
          <w:trHeight w:val="128"/>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Equivalents—23.3%</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4,739,098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4,739,098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6,586,206</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6,668,928</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11,325,304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11,408,026</w:t>
            </w:r>
          </w:p>
        </w:tc>
        <w:tc>
          <w:tcPr>
            <w:tcW w:w="120" w:type="dxa"/>
            <w:vAlign w:val="bottom"/>
            <w:shd w:val="clear" w:color="auto" w:fill="CCECFF"/>
          </w:tcPr>
          <w:p>
            <w:pPr>
              <w:spacing w:after="0"/>
              <w:rPr>
                <w:sz w:val="11"/>
                <w:szCs w:val="11"/>
                <w:color w:val="auto"/>
              </w:rPr>
            </w:pPr>
          </w:p>
        </w:tc>
      </w:tr>
      <w:tr>
        <w:trPr>
          <w:trHeight w:val="169"/>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Equivalents—803.0%</w:t>
            </w:r>
          </w:p>
        </w:tc>
        <w:tc>
          <w:tcPr>
            <w:tcW w:w="120" w:type="dxa"/>
            <w:vAlign w:val="bottom"/>
            <w:tcBorders>
              <w:bottom w:val="single" w:sz="8" w:color="CCECFF"/>
            </w:tcBorders>
          </w:tcPr>
          <w:p>
            <w:pPr>
              <w:spacing w:after="0"/>
              <w:rPr>
                <w:sz w:val="14"/>
                <w:szCs w:val="14"/>
                <w:color w:val="auto"/>
              </w:rPr>
            </w:pPr>
          </w:p>
        </w:tc>
        <w:tc>
          <w:tcPr>
            <w:tcW w:w="54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5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70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70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56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404,715,304</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393,640,290</w:t>
            </w:r>
          </w:p>
        </w:tc>
        <w:tc>
          <w:tcPr>
            <w:tcW w:w="120" w:type="dxa"/>
            <w:vAlign w:val="bottom"/>
            <w:tcBorders>
              <w:bottom w:val="single" w:sz="8" w:color="CCECFF"/>
            </w:tcBorders>
          </w:tcPr>
          <w:p>
            <w:pPr>
              <w:spacing w:after="0"/>
              <w:rPr>
                <w:sz w:val="14"/>
                <w:szCs w:val="14"/>
                <w:color w:val="auto"/>
              </w:rPr>
            </w:pPr>
          </w:p>
        </w:tc>
      </w:tr>
      <w:tr>
        <w:trPr>
          <w:trHeight w:val="115"/>
        </w:trPr>
        <w:tc>
          <w:tcPr>
            <w:tcW w:w="3080" w:type="dxa"/>
            <w:vAlign w:val="bottom"/>
            <w:gridSpan w:val="2"/>
            <w:shd w:val="clear" w:color="auto" w:fill="CCEC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Assets—(703.0)%</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5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w w:val="99"/>
              </w:rPr>
              <w:t>(344,617,656)</w:t>
            </w:r>
          </w:p>
        </w:tc>
        <w:tc>
          <w:tcPr>
            <w:tcW w:w="120" w:type="dxa"/>
            <w:vAlign w:val="bottom"/>
            <w:shd w:val="clear" w:color="auto" w:fill="CCECFF"/>
          </w:tcPr>
          <w:p>
            <w:pPr>
              <w:spacing w:after="0"/>
              <w:rPr>
                <w:sz w:val="10"/>
                <w:szCs w:val="10"/>
                <w:color w:val="auto"/>
              </w:rPr>
            </w:pPr>
          </w:p>
        </w:tc>
      </w:tr>
      <w:tr>
        <w:trPr>
          <w:trHeight w:val="128"/>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49,022,634</w:t>
            </w:r>
          </w:p>
        </w:tc>
        <w:tc>
          <w:tcPr>
            <w:tcW w:w="120" w:type="dxa"/>
            <w:vAlign w:val="bottom"/>
          </w:tcPr>
          <w:p>
            <w:pPr>
              <w:spacing w:after="0"/>
              <w:rPr>
                <w:sz w:val="11"/>
                <w:szCs w:val="11"/>
                <w:color w:val="auto"/>
              </w:rPr>
            </w:pPr>
          </w:p>
        </w:tc>
      </w:tr>
      <w:tr>
        <w:trPr>
          <w:trHeight w:val="20"/>
        </w:trPr>
        <w:tc>
          <w:tcPr>
            <w:tcW w:w="2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 w:lineRule="exact"/>
        <w:rPr>
          <w:sz w:val="20"/>
          <w:szCs w:val="20"/>
          <w:color w:val="auto"/>
        </w:rPr>
      </w:pPr>
    </w:p>
    <w:p>
      <w:pPr>
        <w:ind w:left="380" w:right="40" w:hanging="372"/>
        <w:spacing w:after="0" w:line="243" w:lineRule="auto"/>
        <w:tabs>
          <w:tab w:leader="none" w:pos="380" w:val="left"/>
        </w:tabs>
        <w:numPr>
          <w:ilvl w:val="0"/>
          <w:numId w:val="8"/>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0" w:lineRule="exact"/>
        <w:rPr>
          <w:rFonts w:ascii="Times New Roman" w:cs="Times New Roman" w:eastAsia="Times New Roman" w:hAnsi="Times New Roman"/>
          <w:sz w:val="9"/>
          <w:szCs w:val="9"/>
          <w:b w:val="1"/>
          <w:bCs w:val="1"/>
          <w:color w:val="auto"/>
        </w:rPr>
      </w:pPr>
    </w:p>
    <w:p>
      <w:pPr>
        <w:ind w:left="380" w:hanging="372"/>
        <w:spacing w:after="0"/>
        <w:tabs>
          <w:tab w:leader="none" w:pos="380" w:val="left"/>
        </w:tabs>
        <w:numPr>
          <w:ilvl w:val="0"/>
          <w:numId w:val="8"/>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Valued based on PSSL’s accounting policy.</w:t>
      </w:r>
    </w:p>
    <w:p>
      <w:pPr>
        <w:spacing w:after="0" w:line="35" w:lineRule="exact"/>
        <w:rPr>
          <w:rFonts w:ascii="Times New Roman" w:cs="Times New Roman" w:eastAsia="Times New Roman" w:hAnsi="Times New Roman"/>
          <w:sz w:val="9"/>
          <w:szCs w:val="9"/>
          <w:b w:val="1"/>
          <w:bCs w:val="1"/>
          <w:color w:val="auto"/>
        </w:rPr>
      </w:pPr>
    </w:p>
    <w:p>
      <w:pPr>
        <w:ind w:left="380" w:hanging="372"/>
        <w:spacing w:after="0"/>
        <w:tabs>
          <w:tab w:leader="none" w:pos="380" w:val="left"/>
        </w:tabs>
        <w:numPr>
          <w:ilvl w:val="0"/>
          <w:numId w:val="8"/>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Non-U.S. company or principal place of business outside the United States.</w:t>
      </w:r>
    </w:p>
    <w:p>
      <w:pPr>
        <w:spacing w:after="0" w:line="35" w:lineRule="exact"/>
        <w:rPr>
          <w:rFonts w:ascii="Times New Roman" w:cs="Times New Roman" w:eastAsia="Times New Roman" w:hAnsi="Times New Roman"/>
          <w:sz w:val="9"/>
          <w:szCs w:val="9"/>
          <w:b w:val="1"/>
          <w:bCs w:val="1"/>
          <w:color w:val="auto"/>
        </w:rPr>
      </w:pPr>
    </w:p>
    <w:p>
      <w:pPr>
        <w:ind w:left="380" w:hanging="372"/>
        <w:spacing w:after="0"/>
        <w:tabs>
          <w:tab w:leader="none" w:pos="380" w:val="left"/>
        </w:tabs>
        <w:numPr>
          <w:ilvl w:val="0"/>
          <w:numId w:val="8"/>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Par amount is denominated in Australian Dollars (A$) as denoted.</w:t>
      </w:r>
    </w:p>
    <w:p>
      <w:pPr>
        <w:spacing w:after="0" w:line="7" w:lineRule="exact"/>
        <w:rPr>
          <w:rFonts w:ascii="Times New Roman" w:cs="Times New Roman" w:eastAsia="Times New Roman" w:hAnsi="Times New Roman"/>
          <w:sz w:val="9"/>
          <w:szCs w:val="9"/>
          <w:b w:val="1"/>
          <w:bCs w:val="1"/>
          <w:color w:val="auto"/>
        </w:rPr>
      </w:pPr>
    </w:p>
    <w:p>
      <w:pPr>
        <w:ind w:left="380" w:hanging="372"/>
        <w:spacing w:after="0" w:line="230" w:lineRule="auto"/>
        <w:tabs>
          <w:tab w:leader="none" w:pos="380" w:val="left"/>
        </w:tabs>
        <w:numPr>
          <w:ilvl w:val="0"/>
          <w:numId w:val="8"/>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Non-income producing security.</w:t>
      </w:r>
    </w:p>
    <w:p>
      <w:pPr>
        <w:ind w:left="380" w:hanging="372"/>
        <w:spacing w:after="0"/>
        <w:tabs>
          <w:tab w:leader="none" w:pos="380" w:val="left"/>
        </w:tabs>
        <w:numPr>
          <w:ilvl w:val="0"/>
          <w:numId w:val="8"/>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Below is a listing of PSSL’s individual investments as of September 30, 2020: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2"/>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20" w:type="dxa"/>
            <w:vAlign w:val="bottom"/>
          </w:tcPr>
          <w:p>
            <w:pPr>
              <w:spacing w:after="0"/>
              <w:rPr>
                <w:sz w:val="10"/>
                <w:szCs w:val="10"/>
                <w:color w:val="auto"/>
              </w:rPr>
            </w:pPr>
          </w:p>
        </w:tc>
        <w:tc>
          <w:tcPr>
            <w:tcW w:w="94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7"/>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20" w:type="dxa"/>
            <w:vAlign w:val="bottom"/>
          </w:tcPr>
          <w:p>
            <w:pPr>
              <w:spacing w:after="0"/>
              <w:rPr>
                <w:sz w:val="11"/>
                <w:szCs w:val="11"/>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(1)</w:t>
            </w:r>
          </w:p>
        </w:tc>
        <w:tc>
          <w:tcPr>
            <w:tcW w:w="120" w:type="dxa"/>
            <w:vAlign w:val="bottom"/>
          </w:tcPr>
          <w:p>
            <w:pPr>
              <w:spacing w:after="0"/>
              <w:rPr>
                <w:sz w:val="11"/>
                <w:szCs w:val="11"/>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Par</w:t>
            </w:r>
          </w:p>
        </w:tc>
        <w:tc>
          <w:tcPr>
            <w:tcW w:w="10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Pr>
          <w:p>
            <w:pPr>
              <w:spacing w:after="0"/>
              <w:rPr>
                <w:sz w:val="11"/>
                <w:szCs w:val="11"/>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9"/>
                <w:szCs w:val="9"/>
                <w:b w:val="1"/>
                <w:bCs w:val="1"/>
                <w:color w:val="auto"/>
              </w:rPr>
              <w:t>(2)</w:t>
            </w:r>
          </w:p>
        </w:tc>
      </w:tr>
      <w:tr>
        <w:trPr>
          <w:trHeight w:val="128"/>
        </w:trPr>
        <w:tc>
          <w:tcPr>
            <w:tcW w:w="3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Debt—838.2%</w:t>
            </w: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Altamira Technologies,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07/24/2025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L+600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4,856,155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4,795,251</w:t>
            </w:r>
          </w:p>
        </w:tc>
        <w:tc>
          <w:tcPr>
            <w:tcW w:w="220" w:type="dxa"/>
            <w:vAlign w:val="bottom"/>
            <w:shd w:val="clear" w:color="auto" w:fill="CCECFF"/>
          </w:tcPr>
          <w:p>
            <w:pPr>
              <w:spacing w:after="0"/>
              <w:rPr>
                <w:sz w:val="11"/>
                <w:szCs w:val="11"/>
                <w:color w:val="auto"/>
              </w:rPr>
            </w:pPr>
          </w:p>
        </w:tc>
        <w:tc>
          <w:tcPr>
            <w:tcW w:w="100" w:type="dxa"/>
            <w:vAlign w:val="bottom"/>
            <w:gridSpan w:val="2"/>
            <w:shd w:val="clear" w:color="auto" w:fill="CCEC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4,686,189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American Auto Auction Group,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01/02/2024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Transportation: Consumer</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7,670,399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7,596,860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7,440,287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05/16/2022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L+625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10,901,843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10,774,172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10,792,825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Cadence Aerospace, LLC</w:t>
            </w:r>
          </w:p>
        </w:tc>
        <w:tc>
          <w:tcPr>
            <w:tcW w:w="6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11/14/2023</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L+850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11,802,082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11,730,187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11,322,915</w:t>
            </w:r>
          </w:p>
        </w:tc>
        <w:tc>
          <w:tcPr>
            <w:tcW w:w="120" w:type="dxa"/>
            <w:vAlign w:val="bottom"/>
          </w:tcPr>
          <w:p>
            <w:pPr>
              <w:spacing w:after="0"/>
              <w:rPr>
                <w:sz w:val="11"/>
                <w:szCs w:val="11"/>
                <w:color w:val="auto"/>
              </w:rPr>
            </w:pPr>
          </w:p>
        </w:tc>
      </w:tr>
      <w:tr>
        <w:trPr>
          <w:trHeight w:val="135"/>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(PIK 9.50%)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Cardenas Markets LLC</w:t>
            </w:r>
          </w:p>
        </w:tc>
        <w:tc>
          <w:tcPr>
            <w:tcW w:w="6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11/29/2023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4,779,776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4,759,527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4,779,776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Centauri Group Holdings,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02/12/2024</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L+525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5,330,847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5,330,847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5,304,193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Challenger Performance Optimization,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08/31/2023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9,663,392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9,595,826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8,986,954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Country Fresh Holdings,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05/01/2023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182,403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179,976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182,403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Country Fresh Holdings, LLC (Revolver)</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05/01/2023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450,110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450,111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450,110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10/19/2022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8,836,683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8,756,358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8,704,133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10/19/2022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7,403,183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7,370,405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7,292,135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DRS Holdings III, Inc.</w:t>
            </w:r>
          </w:p>
        </w:tc>
        <w:tc>
          <w:tcPr>
            <w:tcW w:w="6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11/03/2025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8,022,149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7,950,609</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7,875,344</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Findex Group Limited </w:t>
            </w:r>
            <w:r>
              <w:rPr>
                <w:rFonts w:ascii="Times New Roman" w:cs="Times New Roman" w:eastAsia="Times New Roman" w:hAnsi="Times New Roman"/>
                <w:sz w:val="9"/>
                <w:szCs w:val="9"/>
                <w:color w:val="auto"/>
              </w:rPr>
              <w:t>(3), (4)</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05/31/2024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Banking, Finance, Insurance and Real Estate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5.46%</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L+525A</w:t>
            </w:r>
          </w:p>
        </w:tc>
        <w:tc>
          <w:tcPr>
            <w:tcW w:w="12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7,411,600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6,809,125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GCOM Software LLC</w:t>
            </w:r>
          </w:p>
        </w:tc>
        <w:tc>
          <w:tcPr>
            <w:tcW w:w="6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11/14/2022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L+625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16,646,228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16,562,972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16,646,228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Good2Grow LLC</w:t>
            </w:r>
          </w:p>
        </w:tc>
        <w:tc>
          <w:tcPr>
            <w:tcW w:w="6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11/18/2024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Beverages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L+425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9,499,183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9,429,133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9,427,938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GSM Holdings,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06/03/2024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19,470,523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19,354,235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19,275,817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IMIA Holdings,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10/26/2025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L+450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12,143,568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12,097,717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12,022,132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Impact Group,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06/27/2023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4"/>
              </w:rPr>
              <w:t>Wholesale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8.37%</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L+737</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9,290,185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9,216,206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9,336,636</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Integrative Nutrition,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09/29/2023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5.75%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L+475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8,587,606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8,587,606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8,458,792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12/20/2023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L+700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19,650,000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19,436,214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19,217,700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LAV Gear Holdings,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10/31/2024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L+750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9,975,861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9,902,990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9,188,766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LSF9 Atlantis Holdings,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05/01/2023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1"/>
              </w:rPr>
              <w:t>Retail</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L+600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6,843,750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6,872,048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6,631,320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Manna Pro Products,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12/08/2023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L+600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4,313,910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4,273,019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4,197,866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Marketplace Events LLC </w:t>
            </w:r>
            <w:r>
              <w:rPr>
                <w:rFonts w:ascii="Times New Roman" w:cs="Times New Roman" w:eastAsia="Times New Roman" w:hAnsi="Times New Roman"/>
                <w:sz w:val="9"/>
                <w:szCs w:val="9"/>
                <w:color w:val="auto"/>
              </w:rPr>
              <w:t>(4)</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01/27/2023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4"/>
              </w:rPr>
              <w:t>(5)</w:t>
            </w:r>
          </w:p>
        </w:tc>
        <w:tc>
          <w:tcPr>
            <w:tcW w:w="4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 C</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5,730,254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4,449,786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3,623,691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MeritDirect,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05/23/2024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Advertising, Printing &amp; Publishing</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4,812,500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4,771,073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4,583,906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09/28/2022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5,949,731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5,927,114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5,877,737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New Milani Group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06/06/2024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14,662,500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14,568,019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13,379,531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Output Services Group,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03/27/2024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7,803,419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7,825,029</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7,101,111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PH Beauty Holdings III,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09/29/2025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4"/>
              </w:rPr>
              <w:t>Wholesale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5.19%</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9,792,594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9,717,936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9,156,076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10/19/2022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1,594,030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1,579,915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1,570,120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PlayPower, Inc.</w:t>
            </w:r>
          </w:p>
        </w:tc>
        <w:tc>
          <w:tcPr>
            <w:tcW w:w="6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05/8/2026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5.72%</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4,025,520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3,990,707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3,824,244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Sargent &amp; Greenleaf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12/20/2024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4"/>
              </w:rPr>
              <w:t>Wholesale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4,860,858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4,836,350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Schlesinger Global,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07/14/2025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L+600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11,904,617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11,904,617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11,041,532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Smile Brands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10/14/2024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4.93%</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11,175,938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11,090,654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10,840,659</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Snak Club,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07/19/2021</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4,561,971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4,561,971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4,493,542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Solutionreach,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01/17/2024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6,214,305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6,149,172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6,145,948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STV Group Incorporated</w:t>
            </w:r>
          </w:p>
        </w:tc>
        <w:tc>
          <w:tcPr>
            <w:tcW w:w="6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12/11/2026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5.40%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7,762,222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7,692,023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7,684,600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TeleGuam Holdings, LLC</w:t>
            </w:r>
          </w:p>
        </w:tc>
        <w:tc>
          <w:tcPr>
            <w:tcW w:w="6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11/20/2025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Telecommunications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8,309,797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8,272,104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8,060,503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Teneo Holdings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07/18/2025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4,783,595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4,764,375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The Infosoft Group,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09/16/2024</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6M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8,602,807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8,584,634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8,602,807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6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11/24/2025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8,924,066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8,837,614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8,656,344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TVC Enterprises,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01/18/2024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9,747,335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9,747,335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9,674,230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06/16/2025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L+625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6,910,465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6,797,117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6,772,256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UBEO,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04/03/2024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21,930,702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21,762,065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20,614,860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Urology Management Associates,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08/30/2024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11,463,443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11,311,325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11,119,540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09/26/2024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4"/>
              </w:rPr>
              <w:t>Wholesale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L+625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10,594,047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10,440,520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10,594,047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Whitney, Bradley &amp; Brown,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10/18/2022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L+750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254,095</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250,910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251,557</w:t>
            </w:r>
          </w:p>
        </w:tc>
        <w:tc>
          <w:tcPr>
            <w:tcW w:w="120" w:type="dxa"/>
            <w:vAlign w:val="bottom"/>
            <w:shd w:val="clear" w:color="auto" w:fill="CCECFF"/>
          </w:tcPr>
          <w:p>
            <w:pPr>
              <w:spacing w:after="0"/>
              <w:rPr>
                <w:sz w:val="11"/>
                <w:szCs w:val="11"/>
                <w:color w:val="auto"/>
              </w:rPr>
            </w:pPr>
          </w:p>
        </w:tc>
      </w:tr>
      <w:tr>
        <w:trPr>
          <w:trHeight w:val="129"/>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392,309,962</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382,299,150</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Debt—19.5%</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Country Fresh Holdings,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04/29/2024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L+850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964,045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964,045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889,813</w:t>
            </w:r>
          </w:p>
        </w:tc>
        <w:tc>
          <w:tcPr>
            <w:tcW w:w="120" w:type="dxa"/>
            <w:vAlign w:val="bottom"/>
          </w:tcPr>
          <w:p>
            <w:pPr>
              <w:spacing w:after="0"/>
              <w:rPr>
                <w:sz w:val="11"/>
                <w:szCs w:val="11"/>
                <w:color w:val="auto"/>
              </w:rPr>
            </w:pPr>
          </w:p>
        </w:tc>
      </w:tr>
      <w:tr>
        <w:trPr>
          <w:trHeight w:val="135"/>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(PIK 9.50%)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DBI Holding, LLC, Term Loan B</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03/26/2021</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15,946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15,946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15,946</w:t>
            </w:r>
          </w:p>
        </w:tc>
        <w:tc>
          <w:tcPr>
            <w:tcW w:w="120" w:type="dxa"/>
            <w:vAlign w:val="bottom"/>
            <w:shd w:val="clear" w:color="auto" w:fill="CCECFF"/>
          </w:tcPr>
          <w:p>
            <w:pPr>
              <w:spacing w:after="0"/>
              <w:rPr>
                <w:sz w:val="11"/>
                <w:szCs w:val="11"/>
                <w:color w:val="auto"/>
              </w:rPr>
            </w:pPr>
          </w:p>
        </w:tc>
      </w:tr>
      <w:tr>
        <w:trPr>
          <w:trHeight w:val="135"/>
        </w:trPr>
        <w:tc>
          <w:tcPr>
            <w:tcW w:w="29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(PIK 9.00%)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DBI Holding, LLC, Term Loan 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02/02/2026</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9.00%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7,977,513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7,977,513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7,977,513</w:t>
            </w:r>
          </w:p>
        </w:tc>
        <w:tc>
          <w:tcPr>
            <w:tcW w:w="120" w:type="dxa"/>
            <w:vAlign w:val="bottom"/>
          </w:tcPr>
          <w:p>
            <w:pPr>
              <w:spacing w:after="0"/>
              <w:rPr>
                <w:sz w:val="11"/>
                <w:szCs w:val="11"/>
                <w:color w:val="auto"/>
              </w:rPr>
            </w:pPr>
          </w:p>
        </w:tc>
      </w:tr>
      <w:tr>
        <w:trPr>
          <w:trHeight w:val="135"/>
        </w:trPr>
        <w:tc>
          <w:tcPr>
            <w:tcW w:w="294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(PIK 9.00%)</w:t>
            </w: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8,957,504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8,883,272</w:t>
            </w:r>
          </w:p>
        </w:tc>
        <w:tc>
          <w:tcPr>
            <w:tcW w:w="120" w:type="dxa"/>
            <w:vAlign w:val="bottom"/>
            <w:shd w:val="clear" w:color="auto" w:fill="CCECFF"/>
          </w:tcPr>
          <w:p>
            <w:pPr>
              <w:spacing w:after="0"/>
              <w:rPr>
                <w:sz w:val="11"/>
                <w:szCs w:val="11"/>
                <w:color w:val="auto"/>
              </w:rPr>
            </w:pPr>
          </w:p>
        </w:tc>
      </w:tr>
      <w:tr>
        <w:trPr>
          <w:trHeight w:val="129"/>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Equity Securities—4.0%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Country Fresh Holding Company Inc.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1,713,105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DBI Holding, LLC, Series A-1</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5,034,310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1,803,668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DBI Holding, LLC, Series B</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1,065,021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236,521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28"/>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6,983,936</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1,803,668</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Investments—861.6%</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408,251,402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392,986,090</w:t>
            </w:r>
          </w:p>
        </w:tc>
        <w:tc>
          <w:tcPr>
            <w:tcW w:w="120" w:type="dxa"/>
            <w:vAlign w:val="bottom"/>
            <w:shd w:val="clear" w:color="auto" w:fill="CCECFF"/>
          </w:tcPr>
          <w:p>
            <w:pPr>
              <w:spacing w:after="0"/>
              <w:rPr>
                <w:sz w:val="11"/>
                <w:szCs w:val="11"/>
                <w:color w:val="auto"/>
              </w:rPr>
            </w:pPr>
          </w:p>
        </w:tc>
      </w:tr>
      <w:tr>
        <w:trPr>
          <w:trHeight w:val="129"/>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Equivalents—24.4%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6,005,963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6,005,963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5,109,410</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5,115,516</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11,115,373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11,121,479</w:t>
            </w:r>
          </w:p>
        </w:tc>
        <w:tc>
          <w:tcPr>
            <w:tcW w:w="120" w:type="dxa"/>
            <w:vAlign w:val="bottom"/>
            <w:shd w:val="clear" w:color="auto" w:fill="CCECFF"/>
          </w:tcPr>
          <w:p>
            <w:pPr>
              <w:spacing w:after="0"/>
              <w:rPr>
                <w:sz w:val="11"/>
                <w:szCs w:val="11"/>
                <w:color w:val="auto"/>
              </w:rPr>
            </w:pPr>
          </w:p>
        </w:tc>
      </w:tr>
      <w:tr>
        <w:trPr>
          <w:trHeight w:val="169"/>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Equivalents—886.0%</w:t>
            </w:r>
          </w:p>
        </w:tc>
        <w:tc>
          <w:tcPr>
            <w:tcW w:w="120" w:type="dxa"/>
            <w:vAlign w:val="bottom"/>
            <w:tcBorders>
              <w:bottom w:val="single" w:sz="8" w:color="CCECFF"/>
            </w:tcBorders>
          </w:tcPr>
          <w:p>
            <w:pPr>
              <w:spacing w:after="0"/>
              <w:rPr>
                <w:sz w:val="14"/>
                <w:szCs w:val="14"/>
                <w:color w:val="auto"/>
              </w:rPr>
            </w:pPr>
          </w:p>
        </w:tc>
        <w:tc>
          <w:tcPr>
            <w:tcW w:w="54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5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70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480" w:type="dxa"/>
            <w:vAlign w:val="bottom"/>
            <w:tcBorders>
              <w:bottom w:val="single" w:sz="8" w:color="CCECFF"/>
            </w:tcBorders>
          </w:tcPr>
          <w:p>
            <w:pPr>
              <w:spacing w:after="0"/>
              <w:rPr>
                <w:sz w:val="14"/>
                <w:szCs w:val="14"/>
                <w:color w:val="auto"/>
              </w:rPr>
            </w:pPr>
          </w:p>
        </w:tc>
        <w:tc>
          <w:tcPr>
            <w:tcW w:w="32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56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419,366,775</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404,107,569</w:t>
            </w:r>
          </w:p>
        </w:tc>
        <w:tc>
          <w:tcPr>
            <w:tcW w:w="120" w:type="dxa"/>
            <w:vAlign w:val="bottom"/>
            <w:tcBorders>
              <w:bottom w:val="single" w:sz="8" w:color="CCECFF"/>
            </w:tcBorders>
          </w:tcPr>
          <w:p>
            <w:pPr>
              <w:spacing w:after="0"/>
              <w:rPr>
                <w:sz w:val="14"/>
                <w:szCs w:val="14"/>
                <w:color w:val="auto"/>
              </w:rPr>
            </w:pPr>
          </w:p>
        </w:tc>
      </w:tr>
      <w:tr>
        <w:trPr>
          <w:trHeight w:val="115"/>
        </w:trPr>
        <w:tc>
          <w:tcPr>
            <w:tcW w:w="3080" w:type="dxa"/>
            <w:vAlign w:val="bottom"/>
            <w:gridSpan w:val="2"/>
            <w:shd w:val="clear" w:color="auto" w:fill="CCEC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Assets—(786.0)%</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5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w w:val="99"/>
              </w:rPr>
              <w:t>(358,495,484)</w:t>
            </w:r>
          </w:p>
        </w:tc>
        <w:tc>
          <w:tcPr>
            <w:tcW w:w="120" w:type="dxa"/>
            <w:vAlign w:val="bottom"/>
            <w:shd w:val="clear" w:color="auto" w:fill="CCECFF"/>
          </w:tcPr>
          <w:p>
            <w:pPr>
              <w:spacing w:after="0"/>
              <w:rPr>
                <w:sz w:val="10"/>
                <w:szCs w:val="10"/>
                <w:color w:val="auto"/>
              </w:rPr>
            </w:pPr>
          </w:p>
        </w:tc>
      </w:tr>
      <w:tr>
        <w:trPr>
          <w:trHeight w:val="128"/>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45,612,085</w:t>
            </w:r>
          </w:p>
        </w:tc>
        <w:tc>
          <w:tcPr>
            <w:tcW w:w="120" w:type="dxa"/>
            <w:vAlign w:val="bottom"/>
          </w:tcPr>
          <w:p>
            <w:pPr>
              <w:spacing w:after="0"/>
              <w:rPr>
                <w:sz w:val="11"/>
                <w:szCs w:val="11"/>
                <w:color w:val="auto"/>
              </w:rPr>
            </w:pPr>
          </w:p>
        </w:tc>
      </w:tr>
      <w:tr>
        <w:trPr>
          <w:trHeight w:val="20"/>
        </w:trPr>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
        </w:trPr>
        <w:tc>
          <w:tcPr>
            <w:tcW w:w="2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r>
    </w:tbl>
    <w:p>
      <w:pPr>
        <w:spacing w:after="0" w:line="27" w:lineRule="exact"/>
        <w:rPr>
          <w:sz w:val="20"/>
          <w:szCs w:val="20"/>
          <w:color w:val="auto"/>
        </w:rPr>
      </w:pPr>
    </w:p>
    <w:p>
      <w:pPr>
        <w:ind w:left="380" w:right="40" w:hanging="372"/>
        <w:spacing w:after="0" w:line="238" w:lineRule="auto"/>
        <w:tabs>
          <w:tab w:leader="none" w:pos="380" w:val="left"/>
        </w:tabs>
        <w:numPr>
          <w:ilvl w:val="0"/>
          <w:numId w:val="9"/>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0" w:lineRule="auto"/>
        <w:tabs>
          <w:tab w:leader="none" w:pos="380" w:val="left"/>
        </w:tabs>
        <w:numPr>
          <w:ilvl w:val="0"/>
          <w:numId w:val="9"/>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Valued based on PSSL’s accounting policy.</w:t>
      </w:r>
    </w:p>
    <w:p>
      <w:pPr>
        <w:ind w:left="380" w:hanging="372"/>
        <w:spacing w:after="0" w:line="230" w:lineRule="auto"/>
        <w:tabs>
          <w:tab w:leader="none" w:pos="380" w:val="left"/>
        </w:tabs>
        <w:numPr>
          <w:ilvl w:val="0"/>
          <w:numId w:val="9"/>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Non-U.S. company or principal place of business outside the United States.</w:t>
      </w:r>
    </w:p>
    <w:p>
      <w:pPr>
        <w:ind w:left="380" w:hanging="372"/>
        <w:spacing w:after="0" w:line="230" w:lineRule="auto"/>
        <w:tabs>
          <w:tab w:leader="none" w:pos="380" w:val="left"/>
        </w:tabs>
        <w:numPr>
          <w:ilvl w:val="0"/>
          <w:numId w:val="9"/>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Par amount is denominated in Australian Dollars (A$) or in Canadian Dollars (C$) as denoted.</w:t>
      </w:r>
    </w:p>
    <w:p>
      <w:pPr>
        <w:ind w:left="380" w:hanging="372"/>
        <w:spacing w:after="0"/>
        <w:tabs>
          <w:tab w:leader="none" w:pos="380" w:val="left"/>
        </w:tabs>
        <w:numPr>
          <w:ilvl w:val="0"/>
          <w:numId w:val="9"/>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Non-income producing security.</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Below is the financial information for PSSL:</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10"/>
        </w:trPr>
        <w:tc>
          <w:tcPr>
            <w:tcW w:w="2940" w:type="dxa"/>
            <w:vAlign w:val="bottom"/>
          </w:tcPr>
          <w:p>
            <w:pPr>
              <w:spacing w:after="0"/>
              <w:rPr>
                <w:sz w:val="24"/>
                <w:szCs w:val="24"/>
                <w:color w:val="auto"/>
              </w:rPr>
            </w:pPr>
          </w:p>
        </w:tc>
        <w:tc>
          <w:tcPr>
            <w:tcW w:w="460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Statements of Assets and Liabilities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7"/>
        </w:trPr>
        <w:tc>
          <w:tcPr>
            <w:tcW w:w="29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156"/>
        </w:trPr>
        <w:tc>
          <w:tcPr>
            <w:tcW w:w="7540" w:type="dxa"/>
            <w:vAlign w:val="bottom"/>
            <w:tcBorders>
              <w:top w:val="single" w:sz="8" w:color="CCECFF"/>
            </w:tcBorders>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top w:val="single" w:sz="8" w:color="auto"/>
            </w:tcBorders>
            <w:shd w:val="clear" w:color="auto" w:fill="CCECFF"/>
          </w:tcPr>
          <w:p>
            <w:pPr>
              <w:spacing w:after="0"/>
              <w:rPr>
                <w:sz w:val="13"/>
                <w:szCs w:val="13"/>
                <w:color w:val="auto"/>
              </w:rPr>
            </w:pPr>
          </w:p>
        </w:tc>
        <w:tc>
          <w:tcPr>
            <w:tcW w:w="148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5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Investments at fair value (cost—$393,390,000 and $408,251,402, respectively)</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382,232,264</w:t>
            </w:r>
          </w:p>
        </w:tc>
        <w:tc>
          <w:tcPr>
            <w:tcW w:w="300" w:type="dxa"/>
            <w:vAlign w:val="bottom"/>
          </w:tcPr>
          <w:p>
            <w:pPr>
              <w:spacing w:after="0"/>
              <w:rPr>
                <w:sz w:val="14"/>
                <w:szCs w:val="14"/>
                <w:color w:val="auto"/>
              </w:rPr>
            </w:pPr>
          </w:p>
        </w:tc>
        <w:tc>
          <w:tcPr>
            <w:tcW w:w="1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392,986,090</w:t>
            </w:r>
          </w:p>
        </w:tc>
        <w:tc>
          <w:tcPr>
            <w:tcW w:w="120" w:type="dxa"/>
            <w:vAlign w:val="bottom"/>
          </w:tcPr>
          <w:p>
            <w:pPr>
              <w:spacing w:after="0"/>
              <w:rPr>
                <w:sz w:val="14"/>
                <w:szCs w:val="14"/>
                <w:color w:val="auto"/>
              </w:rPr>
            </w:pPr>
          </w:p>
        </w:tc>
      </w:tr>
      <w:tr>
        <w:trPr>
          <w:trHeight w:val="162"/>
        </w:trPr>
        <w:tc>
          <w:tcPr>
            <w:tcW w:w="75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Cash and cash equivalents (cost—$11,325,304 and $11,115,373, respectively)</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11,408,026</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11,121,479</w:t>
            </w:r>
          </w:p>
        </w:tc>
        <w:tc>
          <w:tcPr>
            <w:tcW w:w="120" w:type="dxa"/>
            <w:vAlign w:val="bottom"/>
            <w:shd w:val="clear" w:color="auto" w:fill="CCECFF"/>
          </w:tcPr>
          <w:p>
            <w:pPr>
              <w:spacing w:after="0"/>
              <w:rPr>
                <w:sz w:val="14"/>
                <w:szCs w:val="14"/>
                <w:color w:val="auto"/>
              </w:rPr>
            </w:pPr>
          </w:p>
        </w:tc>
      </w:tr>
      <w:tr>
        <w:trPr>
          <w:trHeight w:val="162"/>
        </w:trPr>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receivable</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1,371,822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2,235,595</w:t>
            </w:r>
          </w:p>
        </w:tc>
        <w:tc>
          <w:tcPr>
            <w:tcW w:w="120" w:type="dxa"/>
            <w:vAlign w:val="bottom"/>
          </w:tcPr>
          <w:p>
            <w:pPr>
              <w:spacing w:after="0"/>
              <w:rPr>
                <w:sz w:val="14"/>
                <w:szCs w:val="14"/>
                <w:color w:val="auto"/>
              </w:rPr>
            </w:pPr>
          </w:p>
        </w:tc>
      </w:tr>
      <w:tr>
        <w:trPr>
          <w:trHeight w:val="162"/>
        </w:trPr>
        <w:tc>
          <w:tcPr>
            <w:tcW w:w="75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60" w:type="dxa"/>
            <w:vAlign w:val="bottom"/>
            <w:tcBorders>
              <w:bottom w:val="single" w:sz="8" w:color="auto"/>
            </w:tcBorders>
            <w:shd w:val="clear" w:color="auto" w:fill="CCECFF"/>
          </w:tcPr>
          <w:p>
            <w:pPr>
              <w:spacing w:after="0"/>
              <w:rPr>
                <w:sz w:val="14"/>
                <w:szCs w:val="14"/>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82,838</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62,812</w:t>
            </w:r>
          </w:p>
        </w:tc>
        <w:tc>
          <w:tcPr>
            <w:tcW w:w="120" w:type="dxa"/>
            <w:vAlign w:val="bottom"/>
            <w:shd w:val="clear" w:color="auto" w:fill="CCECFF"/>
          </w:tcPr>
          <w:p>
            <w:pPr>
              <w:spacing w:after="0"/>
              <w:rPr>
                <w:sz w:val="14"/>
                <w:szCs w:val="14"/>
                <w:color w:val="auto"/>
              </w:rPr>
            </w:pPr>
          </w:p>
        </w:tc>
      </w:tr>
      <w:tr>
        <w:trPr>
          <w:trHeight w:val="155"/>
        </w:trPr>
        <w:tc>
          <w:tcPr>
            <w:tcW w:w="7540" w:type="dxa"/>
            <w:vAlign w:val="bottom"/>
            <w:tcBorders>
              <w:bottom w:val="single" w:sz="8" w:color="CCECFF"/>
            </w:tcBorders>
            <w:gridSpan w:val="2"/>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395,094,950</w:t>
            </w:r>
          </w:p>
        </w:tc>
        <w:tc>
          <w:tcPr>
            <w:tcW w:w="3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406,405,976</w:t>
            </w:r>
          </w:p>
        </w:tc>
        <w:tc>
          <w:tcPr>
            <w:tcW w:w="120" w:type="dxa"/>
            <w:vAlign w:val="bottom"/>
            <w:tcBorders>
              <w:bottom w:val="single" w:sz="8" w:color="CCECFF"/>
            </w:tcBorders>
          </w:tcPr>
          <w:p>
            <w:pPr>
              <w:spacing w:after="0"/>
              <w:rPr>
                <w:sz w:val="13"/>
                <w:szCs w:val="13"/>
                <w:color w:val="auto"/>
              </w:rPr>
            </w:pPr>
          </w:p>
        </w:tc>
      </w:tr>
      <w:tr>
        <w:trPr>
          <w:trHeight w:val="156"/>
        </w:trPr>
        <w:tc>
          <w:tcPr>
            <w:tcW w:w="754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shd w:val="clear" w:color="auto" w:fill="CCECFF"/>
          </w:tcPr>
          <w:p>
            <w:pPr>
              <w:spacing w:after="0"/>
              <w:rPr>
                <w:sz w:val="13"/>
                <w:szCs w:val="13"/>
                <w:color w:val="auto"/>
              </w:rPr>
            </w:pPr>
          </w:p>
        </w:tc>
        <w:tc>
          <w:tcPr>
            <w:tcW w:w="14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5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9,935,844</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5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PSSL Credit Facility payable</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141,085,005</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216,969,469</w:t>
            </w:r>
          </w:p>
        </w:tc>
        <w:tc>
          <w:tcPr>
            <w:tcW w:w="120" w:type="dxa"/>
            <w:vAlign w:val="bottom"/>
            <w:shd w:val="clear" w:color="auto" w:fill="CCECFF"/>
          </w:tcPr>
          <w:p>
            <w:pPr>
              <w:spacing w:after="0"/>
              <w:rPr>
                <w:sz w:val="14"/>
                <w:szCs w:val="14"/>
                <w:color w:val="auto"/>
              </w:rPr>
            </w:pPr>
          </w:p>
        </w:tc>
      </w:tr>
      <w:tr>
        <w:trPr>
          <w:trHeight w:val="162"/>
        </w:trPr>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Notes payable to members</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144,550,000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143,290,000</w:t>
            </w:r>
          </w:p>
        </w:tc>
        <w:tc>
          <w:tcPr>
            <w:tcW w:w="120" w:type="dxa"/>
            <w:vAlign w:val="bottom"/>
          </w:tcPr>
          <w:p>
            <w:pPr>
              <w:spacing w:after="0"/>
              <w:rPr>
                <w:sz w:val="14"/>
                <w:szCs w:val="14"/>
                <w:color w:val="auto"/>
              </w:rPr>
            </w:pPr>
          </w:p>
        </w:tc>
      </w:tr>
      <w:tr>
        <w:trPr>
          <w:trHeight w:val="162"/>
        </w:trPr>
        <w:tc>
          <w:tcPr>
            <w:tcW w:w="75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Promissory note</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50,000,000</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6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payable on credit facility</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468,325</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490,858</w:t>
            </w:r>
          </w:p>
        </w:tc>
        <w:tc>
          <w:tcPr>
            <w:tcW w:w="120" w:type="dxa"/>
            <w:vAlign w:val="bottom"/>
          </w:tcPr>
          <w:p>
            <w:pPr>
              <w:spacing w:after="0"/>
              <w:rPr>
                <w:sz w:val="14"/>
                <w:szCs w:val="14"/>
                <w:color w:val="auto"/>
              </w:rPr>
            </w:pPr>
          </w:p>
        </w:tc>
      </w:tr>
      <w:tr>
        <w:trPr>
          <w:trHeight w:val="162"/>
        </w:trPr>
        <w:tc>
          <w:tcPr>
            <w:tcW w:w="75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Interest payable on members notes</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33,142</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32,719</w:t>
            </w:r>
          </w:p>
        </w:tc>
        <w:tc>
          <w:tcPr>
            <w:tcW w:w="120" w:type="dxa"/>
            <w:vAlign w:val="bottom"/>
            <w:shd w:val="clear" w:color="auto" w:fill="CCECFF"/>
          </w:tcPr>
          <w:p>
            <w:pPr>
              <w:spacing w:after="0"/>
              <w:rPr>
                <w:sz w:val="14"/>
                <w:szCs w:val="14"/>
                <w:color w:val="auto"/>
              </w:rPr>
            </w:pPr>
          </w:p>
        </w:tc>
      </w:tr>
      <w:tr>
        <w:trPr>
          <w:trHeight w:val="162"/>
        </w:trPr>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other expenses</w:t>
            </w:r>
          </w:p>
        </w:tc>
        <w:tc>
          <w:tcPr>
            <w:tcW w:w="160" w:type="dxa"/>
            <w:vAlign w:val="bottom"/>
          </w:tcPr>
          <w:p>
            <w:pPr>
              <w:spacing w:after="0"/>
              <w:rPr>
                <w:sz w:val="14"/>
                <w:szCs w:val="14"/>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10,845</w:t>
            </w:r>
          </w:p>
        </w:tc>
        <w:tc>
          <w:tcPr>
            <w:tcW w:w="120" w:type="dxa"/>
            <w:vAlign w:val="bottom"/>
          </w:tcPr>
          <w:p>
            <w:pPr>
              <w:spacing w:after="0"/>
              <w:rPr>
                <w:sz w:val="14"/>
                <w:szCs w:val="14"/>
                <w:color w:val="auto"/>
              </w:rPr>
            </w:pPr>
          </w:p>
        </w:tc>
      </w:tr>
      <w:tr>
        <w:trPr>
          <w:trHeight w:val="156"/>
        </w:trPr>
        <w:tc>
          <w:tcPr>
            <w:tcW w:w="7540" w:type="dxa"/>
            <w:vAlign w:val="bottom"/>
            <w:tcBorders>
              <w:top w:val="single" w:sz="8" w:color="CCECFF"/>
            </w:tcBorders>
            <w:gridSpan w:val="2"/>
            <w:shd w:val="clear" w:color="auto" w:fill="CCECFF"/>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14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346,072,316</w:t>
            </w:r>
          </w:p>
        </w:tc>
        <w:tc>
          <w:tcPr>
            <w:tcW w:w="30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5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360,793,891</w:t>
            </w:r>
          </w:p>
        </w:tc>
        <w:tc>
          <w:tcPr>
            <w:tcW w:w="120" w:type="dxa"/>
            <w:vAlign w:val="bottom"/>
            <w:tcBorders>
              <w:top w:val="single" w:sz="8" w:color="CCECFF"/>
            </w:tcBorders>
            <w:shd w:val="clear" w:color="auto" w:fill="CCECFF"/>
          </w:tcPr>
          <w:p>
            <w:pPr>
              <w:spacing w:after="0"/>
              <w:rPr>
                <w:sz w:val="13"/>
                <w:szCs w:val="13"/>
                <w:color w:val="auto"/>
              </w:rPr>
            </w:pPr>
          </w:p>
        </w:tc>
      </w:tr>
      <w:tr>
        <w:trPr>
          <w:trHeight w:val="156"/>
        </w:trPr>
        <w:tc>
          <w:tcPr>
            <w:tcW w:w="7540" w:type="dxa"/>
            <w:vAlign w:val="bottom"/>
            <w:tcBorders>
              <w:bottom w:val="single" w:sz="8" w:color="CCECFF"/>
            </w:tcBorders>
            <w:gridSpan w:val="2"/>
          </w:tcPr>
          <w:p>
            <w:pPr>
              <w:spacing w:after="0" w:line="155" w:lineRule="exact"/>
              <w:rPr>
                <w:sz w:val="20"/>
                <w:szCs w:val="20"/>
                <w:color w:val="auto"/>
              </w:rPr>
            </w:pPr>
            <w:r>
              <w:rPr>
                <w:rFonts w:ascii="Times New Roman" w:cs="Times New Roman" w:eastAsia="Times New Roman" w:hAnsi="Times New Roman"/>
                <w:sz w:val="14"/>
                <w:szCs w:val="14"/>
                <w:color w:val="auto"/>
              </w:rPr>
              <w:t xml:space="preserve">Commitments and contingencies </w:t>
            </w:r>
            <w:r>
              <w:rPr>
                <w:rFonts w:ascii="Times New Roman" w:cs="Times New Roman" w:eastAsia="Times New Roman" w:hAnsi="Times New Roman"/>
                <w:sz w:val="12"/>
                <w:szCs w:val="12"/>
                <w:color w:val="auto"/>
              </w:rPr>
              <w:t>(1)</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CFF"/>
            </w:tcBorders>
          </w:tcPr>
          <w:p>
            <w:pPr>
              <w:spacing w:after="0"/>
              <w:rPr>
                <w:sz w:val="13"/>
                <w:szCs w:val="13"/>
                <w:color w:val="auto"/>
              </w:rPr>
            </w:pPr>
          </w:p>
        </w:tc>
      </w:tr>
      <w:tr>
        <w:trPr>
          <w:trHeight w:val="155"/>
        </w:trPr>
        <w:tc>
          <w:tcPr>
            <w:tcW w:w="7540" w:type="dxa"/>
            <w:vAlign w:val="bottom"/>
            <w:gridSpan w:val="2"/>
            <w:shd w:val="clear" w:color="auto" w:fill="CCECFF"/>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Members' equity</w:t>
            </w:r>
          </w:p>
        </w:tc>
        <w:tc>
          <w:tcPr>
            <w:tcW w:w="160" w:type="dxa"/>
            <w:vAlign w:val="bottom"/>
            <w:tcBorders>
              <w:bottom w:val="single" w:sz="8" w:color="auto"/>
            </w:tcBorders>
            <w:shd w:val="clear" w:color="auto" w:fill="CCECFF"/>
          </w:tcPr>
          <w:p>
            <w:pPr>
              <w:spacing w:after="0"/>
              <w:rPr>
                <w:sz w:val="13"/>
                <w:szCs w:val="13"/>
                <w:color w:val="auto"/>
              </w:rPr>
            </w:pP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49,022,634</w:t>
            </w: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45,612,085</w:t>
            </w:r>
          </w:p>
        </w:tc>
        <w:tc>
          <w:tcPr>
            <w:tcW w:w="120" w:type="dxa"/>
            <w:vAlign w:val="bottom"/>
            <w:shd w:val="clear" w:color="auto" w:fill="CCECFF"/>
          </w:tcPr>
          <w:p>
            <w:pPr>
              <w:spacing w:after="0"/>
              <w:rPr>
                <w:sz w:val="13"/>
                <w:szCs w:val="13"/>
                <w:color w:val="auto"/>
              </w:rPr>
            </w:pPr>
          </w:p>
        </w:tc>
      </w:tr>
      <w:tr>
        <w:trPr>
          <w:trHeight w:val="156"/>
        </w:trPr>
        <w:tc>
          <w:tcPr>
            <w:tcW w:w="7540" w:type="dxa"/>
            <w:vAlign w:val="bottom"/>
            <w:gridSpan w:val="2"/>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1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395,094,950</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15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406,405,976</w:t>
            </w:r>
          </w:p>
        </w:tc>
        <w:tc>
          <w:tcPr>
            <w:tcW w:w="120" w:type="dxa"/>
            <w:vAlign w:val="bottom"/>
          </w:tcPr>
          <w:p>
            <w:pPr>
              <w:spacing w:after="0"/>
              <w:rPr>
                <w:sz w:val="13"/>
                <w:szCs w:val="13"/>
                <w:color w:val="auto"/>
              </w:rPr>
            </w:pPr>
          </w:p>
        </w:tc>
      </w:tr>
      <w:tr>
        <w:trPr>
          <w:trHeight w:val="20"/>
        </w:trPr>
        <w:tc>
          <w:tcPr>
            <w:tcW w:w="29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
        </w:trPr>
        <w:tc>
          <w:tcPr>
            <w:tcW w:w="2940" w:type="dxa"/>
            <w:vAlign w:val="bottom"/>
            <w:tcBorders>
              <w:bottom w:val="single" w:sz="8" w:color="auto"/>
            </w:tcBorders>
          </w:tcPr>
          <w:p>
            <w:pPr>
              <w:spacing w:after="0"/>
              <w:rPr>
                <w:sz w:val="4"/>
                <w:szCs w:val="4"/>
                <w:color w:val="auto"/>
              </w:rPr>
            </w:pPr>
          </w:p>
        </w:tc>
        <w:tc>
          <w:tcPr>
            <w:tcW w:w="4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r>
    </w:tbl>
    <w:p>
      <w:pPr>
        <w:ind w:left="380" w:hanging="372"/>
        <w:spacing w:after="0" w:line="195" w:lineRule="auto"/>
        <w:tabs>
          <w:tab w:leader="none" w:pos="380" w:val="left"/>
        </w:tabs>
        <w:numPr>
          <w:ilvl w:val="0"/>
          <w:numId w:val="10"/>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2"/>
          <w:szCs w:val="12"/>
          <w:color w:val="auto"/>
        </w:rPr>
        <w:t>As of December 31, 2020 and September 30, 2020, PSSL had unfunded commitments to fund investments of $0.6 million and zero, respectively.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840" w:type="dxa"/>
            <w:vAlign w:val="bottom"/>
            <w:gridSpan w:val="2"/>
          </w:tcPr>
          <w:p>
            <w:pPr>
              <w:jc w:val="right"/>
              <w:ind w:right="2173"/>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40" w:type="dxa"/>
            <w:vAlign w:val="bottom"/>
            <w:tcBorders>
              <w:top w:val="single" w:sz="8" w:color="CCECFF"/>
            </w:tcBorders>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Investment income:</w:t>
            </w:r>
          </w:p>
        </w:tc>
        <w:tc>
          <w:tcPr>
            <w:tcW w:w="2860" w:type="dxa"/>
            <w:vAlign w:val="bottom"/>
            <w:tcBorders>
              <w:top w:val="single" w:sz="8" w:color="CCECFF"/>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spacing w:after="0"/>
              <w:rPr>
                <w:sz w:val="13"/>
                <w:szCs w:val="13"/>
                <w:color w:val="auto"/>
              </w:rPr>
            </w:pPr>
          </w:p>
        </w:tc>
        <w:tc>
          <w:tcPr>
            <w:tcW w:w="64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spacing w:after="0"/>
              <w:rPr>
                <w:sz w:val="13"/>
                <w:szCs w:val="13"/>
                <w:color w:val="auto"/>
              </w:rPr>
            </w:pPr>
          </w:p>
        </w:tc>
        <w:tc>
          <w:tcPr>
            <w:tcW w:w="66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w:t>
            </w:r>
          </w:p>
        </w:tc>
        <w:tc>
          <w:tcPr>
            <w:tcW w:w="3840" w:type="dxa"/>
            <w:vAlign w:val="bottom"/>
            <w:gridSpan w:val="2"/>
          </w:tcPr>
          <w:p>
            <w:pPr>
              <w:jc w:val="right"/>
              <w:ind w:right="85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6,747,939</w:t>
            </w:r>
          </w:p>
        </w:tc>
        <w:tc>
          <w:tcPr>
            <w:tcW w:w="160" w:type="dxa"/>
            <w:vAlign w:val="bottom"/>
          </w:tcPr>
          <w:p>
            <w:pPr>
              <w:spacing w:after="0"/>
              <w:rPr>
                <w:sz w:val="14"/>
                <w:szCs w:val="14"/>
                <w:color w:val="auto"/>
              </w:rPr>
            </w:pPr>
          </w:p>
        </w:tc>
        <w:tc>
          <w:tcPr>
            <w:tcW w:w="1100" w:type="dxa"/>
            <w:vAlign w:val="bottom"/>
            <w:gridSpan w:val="2"/>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8,768,628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Other income</w:t>
            </w:r>
          </w:p>
        </w:tc>
        <w:tc>
          <w:tcPr>
            <w:tcW w:w="286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155,384</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4740" w:type="dxa"/>
            <w:vAlign w:val="bottom"/>
            <w:tcBorders>
              <w:bottom w:val="single" w:sz="8" w:color="CCECFF"/>
            </w:tcBorders>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2860" w:type="dxa"/>
            <w:vAlign w:val="bottom"/>
            <w:tcBorders>
              <w:bottom w:val="single" w:sz="8" w:color="CCECFF"/>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6,903,323</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8,768,628</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4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28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 and expenses on credit facility</w:t>
            </w:r>
          </w:p>
        </w:tc>
        <w:tc>
          <w:tcPr>
            <w:tcW w:w="2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3,606,085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Interest expense on members notes</w:t>
            </w:r>
          </w:p>
        </w:tc>
        <w:tc>
          <w:tcPr>
            <w:tcW w:w="286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3,054,519</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3,430,557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2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 xml:space="preserve">Other general and administrative expenses </w:t>
            </w:r>
            <w:r>
              <w:rPr>
                <w:rFonts w:ascii="Times New Roman" w:cs="Times New Roman" w:eastAsia="Times New Roman" w:hAnsi="Times New Roman"/>
                <w:sz w:val="12"/>
                <w:szCs w:val="12"/>
                <w:color w:val="auto"/>
              </w:rPr>
              <w:t>(1)</w:t>
            </w:r>
          </w:p>
        </w:tc>
        <w:tc>
          <w:tcPr>
            <w:tcW w:w="2860" w:type="dxa"/>
            <w:vAlign w:val="bottom"/>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spacing w:after="0"/>
              <w:rPr>
                <w:sz w:val="14"/>
                <w:szCs w:val="14"/>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195,317</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spacing w:after="0"/>
              <w:rPr>
                <w:sz w:val="14"/>
                <w:szCs w:val="14"/>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113,710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40" w:type="dxa"/>
            <w:vAlign w:val="bottom"/>
            <w:tcBorders>
              <w:bottom w:val="single" w:sz="8" w:color="CCECFF"/>
            </w:tcBorders>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2860" w:type="dxa"/>
            <w:vAlign w:val="bottom"/>
            <w:tcBorders>
              <w:bottom w:val="single" w:sz="8" w:color="CCEC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4,965,842</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7,450,352</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40" w:type="dxa"/>
            <w:vAlign w:val="bottom"/>
            <w:gridSpan w:val="2"/>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2860" w:type="dxa"/>
            <w:vAlign w:val="bottom"/>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spacing w:after="0"/>
              <w:rPr>
                <w:sz w:val="13"/>
                <w:szCs w:val="13"/>
                <w:color w:val="auto"/>
              </w:rPr>
            </w:pPr>
          </w:p>
        </w:tc>
        <w:tc>
          <w:tcPr>
            <w:tcW w:w="6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1,937,481</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spacing w:after="0"/>
              <w:rPr>
                <w:sz w:val="13"/>
                <w:szCs w:val="13"/>
                <w:color w:val="auto"/>
              </w:rPr>
            </w:pPr>
          </w:p>
        </w:tc>
        <w:tc>
          <w:tcPr>
            <w:tcW w:w="6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1,318,276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74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Realized and unrealized gain on investments and credit facility foreign</w:t>
            </w:r>
          </w:p>
        </w:tc>
        <w:tc>
          <w:tcPr>
            <w:tcW w:w="2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currency translations:</w:t>
            </w:r>
          </w:p>
        </w:tc>
        <w:tc>
          <w:tcPr>
            <w:tcW w:w="2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realized (loss) gain on investments</w:t>
            </w:r>
          </w:p>
        </w:tc>
        <w:tc>
          <w:tcPr>
            <w:tcW w:w="286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(791,279)</w:t>
            </w:r>
          </w:p>
        </w:tc>
        <w:tc>
          <w:tcPr>
            <w:tcW w:w="1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452,477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change in unrealized appreciation on:</w:t>
            </w:r>
          </w:p>
        </w:tc>
        <w:tc>
          <w:tcPr>
            <w:tcW w:w="2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Investments</w:t>
            </w:r>
          </w:p>
        </w:tc>
        <w:tc>
          <w:tcPr>
            <w:tcW w:w="286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4,184,101</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1,078,789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Credit facility appreciation of foreign currency translation</w:t>
            </w:r>
          </w:p>
        </w:tc>
        <w:tc>
          <w:tcPr>
            <w:tcW w:w="2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(659,754)</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(1,325,522)</w:t>
            </w:r>
          </w:p>
        </w:tc>
        <w:tc>
          <w:tcPr>
            <w:tcW w:w="0" w:type="dxa"/>
            <w:vAlign w:val="bottom"/>
          </w:tcPr>
          <w:p>
            <w:pPr>
              <w:spacing w:after="0"/>
              <w:rPr>
                <w:sz w:val="1"/>
                <w:szCs w:val="1"/>
                <w:color w:val="auto"/>
              </w:rPr>
            </w:pPr>
          </w:p>
        </w:tc>
      </w:tr>
      <w:tr>
        <w:trPr>
          <w:trHeight w:val="20"/>
        </w:trPr>
        <w:tc>
          <w:tcPr>
            <w:tcW w:w="4740" w:type="dxa"/>
            <w:vAlign w:val="bottom"/>
            <w:gridSpan w:val="2"/>
            <w:vMerge w:val="restart"/>
            <w:shd w:val="clear" w:color="auto" w:fill="CCECFF"/>
          </w:tcPr>
          <w:p>
            <w:pPr>
              <w:ind w:left="260"/>
              <w:spacing w:after="0" w:line="151" w:lineRule="exact"/>
              <w:rPr>
                <w:sz w:val="20"/>
                <w:szCs w:val="20"/>
                <w:color w:val="auto"/>
              </w:rPr>
            </w:pPr>
            <w:r>
              <w:rPr>
                <w:rFonts w:ascii="Times New Roman" w:cs="Times New Roman" w:eastAsia="Times New Roman" w:hAnsi="Times New Roman"/>
                <w:sz w:val="14"/>
                <w:szCs w:val="14"/>
                <w:b w:val="1"/>
                <w:bCs w:val="1"/>
                <w:color w:val="auto"/>
              </w:rPr>
              <w:t>Net change in unrealized appreciation (depreciation) on investments and</w:t>
            </w:r>
          </w:p>
        </w:tc>
        <w:tc>
          <w:tcPr>
            <w:tcW w:w="2860" w:type="dxa"/>
            <w:vAlign w:val="bottom"/>
            <w:shd w:val="clear" w:color="auto" w:fill="CCEC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740" w:type="dxa"/>
            <w:vAlign w:val="bottom"/>
            <w:gridSpan w:val="2"/>
            <w:vMerge w:val="continue"/>
            <w:shd w:val="clear" w:color="auto" w:fill="CCECFF"/>
          </w:tcPr>
          <w:p>
            <w:pPr>
              <w:spacing w:after="0"/>
              <w:rPr>
                <w:sz w:val="11"/>
                <w:szCs w:val="11"/>
                <w:color w:val="auto"/>
              </w:rPr>
            </w:pPr>
          </w:p>
        </w:tc>
        <w:tc>
          <w:tcPr>
            <w:tcW w:w="286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6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3,524,347</w:t>
            </w:r>
          </w:p>
        </w:tc>
        <w:tc>
          <w:tcPr>
            <w:tcW w:w="1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760" w:type="dxa"/>
            <w:vAlign w:val="bottom"/>
            <w:gridSpan w:val="2"/>
            <w:vMerge w:val="restart"/>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(246,733)</w:t>
            </w:r>
          </w:p>
        </w:tc>
        <w:tc>
          <w:tcPr>
            <w:tcW w:w="0" w:type="dxa"/>
            <w:vAlign w:val="bottom"/>
          </w:tcPr>
          <w:p>
            <w:pPr>
              <w:spacing w:after="0"/>
              <w:rPr>
                <w:sz w:val="1"/>
                <w:szCs w:val="1"/>
                <w:color w:val="auto"/>
              </w:rPr>
            </w:pPr>
          </w:p>
        </w:tc>
      </w:tr>
      <w:tr>
        <w:trPr>
          <w:trHeight w:val="173"/>
        </w:trPr>
        <w:tc>
          <w:tcPr>
            <w:tcW w:w="4740" w:type="dxa"/>
            <w:vAlign w:val="bottom"/>
            <w:gridSpan w:val="2"/>
            <w:shd w:val="clear" w:color="auto" w:fill="CCECFF"/>
          </w:tcPr>
          <w:p>
            <w:pPr>
              <w:ind w:left="360"/>
              <w:spacing w:after="0"/>
              <w:rPr>
                <w:sz w:val="20"/>
                <w:szCs w:val="20"/>
                <w:color w:val="auto"/>
              </w:rPr>
            </w:pPr>
            <w:r>
              <w:rPr>
                <w:rFonts w:ascii="Times New Roman" w:cs="Times New Roman" w:eastAsia="Times New Roman" w:hAnsi="Times New Roman"/>
                <w:sz w:val="14"/>
                <w:szCs w:val="14"/>
                <w:b w:val="1"/>
                <w:bCs w:val="1"/>
                <w:color w:val="auto"/>
              </w:rPr>
              <w:t>credit facility foreign currency translations</w:t>
            </w:r>
          </w:p>
        </w:tc>
        <w:tc>
          <w:tcPr>
            <w:tcW w:w="286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640" w:type="dxa"/>
            <w:vAlign w:val="bottom"/>
            <w:vMerge w:val="continue"/>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760" w:type="dxa"/>
            <w:vAlign w:val="bottom"/>
            <w:gridSpan w:val="2"/>
            <w:vMerge w:val="continue"/>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74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Net realized and unrealized gain from investments and credit facility</w:t>
            </w:r>
          </w:p>
        </w:tc>
        <w:tc>
          <w:tcPr>
            <w:tcW w:w="286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2,733,068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205,744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40" w:type="dxa"/>
            <w:vAlign w:val="bottom"/>
            <w:tcBorders>
              <w:bottom w:val="single" w:sz="8" w:color="CCECFF"/>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foreign currency translations</w:t>
            </w:r>
          </w:p>
        </w:tc>
        <w:tc>
          <w:tcPr>
            <w:tcW w:w="2860" w:type="dxa"/>
            <w:vAlign w:val="bottom"/>
            <w:tcBorders>
              <w:bottom w:val="single" w:sz="8" w:color="CCEC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40" w:type="dxa"/>
            <w:vAlign w:val="bottom"/>
            <w:tcBorders>
              <w:bottom w:val="single" w:sz="8" w:color="CCECFF"/>
            </w:tcBorders>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in members' equity resulting from operations</w:t>
            </w:r>
          </w:p>
        </w:tc>
        <w:tc>
          <w:tcPr>
            <w:tcW w:w="2860" w:type="dxa"/>
            <w:vAlign w:val="bottom"/>
            <w:tcBorders>
              <w:bottom w:val="single" w:sz="8" w:color="CCECFF"/>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ind w:right="85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4,670,549</w:t>
            </w:r>
          </w:p>
        </w:tc>
        <w:tc>
          <w:tcPr>
            <w:tcW w:w="16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ind w:right="8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1,524,020</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940" w:type="dxa"/>
            <w:vAlign w:val="bottom"/>
            <w:tcBorders>
              <w:bottom w:val="single" w:sz="8" w:color="auto"/>
            </w:tcBorders>
          </w:tcPr>
          <w:p>
            <w:pPr>
              <w:spacing w:after="0"/>
              <w:rPr>
                <w:sz w:val="3"/>
                <w:szCs w:val="3"/>
                <w:color w:val="auto"/>
              </w:rPr>
            </w:pPr>
          </w:p>
        </w:tc>
        <w:tc>
          <w:tcPr>
            <w:tcW w:w="18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190" w:lineRule="auto"/>
        <w:tabs>
          <w:tab w:leader="none" w:pos="380" w:val="left"/>
        </w:tabs>
        <w:numPr>
          <w:ilvl w:val="0"/>
          <w:numId w:val="11"/>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No management or incentive fees are payable by PSSL. If any fees were to be charged, they would be separately disclosed in the Statement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FAIR VALUE OF FINANCIAL INSTRUMENTS</w:t>
      </w:r>
    </w:p>
    <w:p>
      <w:pPr>
        <w:spacing w:after="0" w:line="138"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136"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260" w:right="20" w:hanging="809"/>
        <w:spacing w:after="0" w:line="261" w:lineRule="auto"/>
        <w:tabs>
          <w:tab w:leader="none" w:pos="124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Inputs that are unobservable for an asset or liability because they are based on our own assumptions about how market participants would price the asset or liability.</w:t>
      </w:r>
    </w:p>
    <w:p>
      <w:pPr>
        <w:spacing w:after="0" w:line="28" w:lineRule="exact"/>
        <w:rPr>
          <w:sz w:val="20"/>
          <w:szCs w:val="20"/>
          <w:color w:val="auto"/>
        </w:rPr>
      </w:pPr>
    </w:p>
    <w:p>
      <w:pPr>
        <w:ind w:right="80" w:firstLine="438"/>
        <w:spacing w:after="0" w:line="236"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09"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0" w:lineRule="exact"/>
        <w:rPr>
          <w:sz w:val="20"/>
          <w:szCs w:val="20"/>
          <w:color w:val="auto"/>
        </w:rPr>
      </w:pPr>
    </w:p>
    <w:p>
      <w:pPr>
        <w:jc w:val="both"/>
        <w:ind w:right="60" w:firstLine="438"/>
        <w:spacing w:after="0" w:line="233" w:lineRule="auto"/>
        <w:rPr>
          <w:sz w:val="20"/>
          <w:szCs w:val="20"/>
          <w:color w:val="auto"/>
        </w:rPr>
      </w:pPr>
      <w:r>
        <w:rPr>
          <w:rFonts w:ascii="Times New Roman" w:cs="Times New Roman" w:eastAsia="Times New Roman" w:hAnsi="Times New Roman"/>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0" w:lineRule="exact"/>
        <w:rPr>
          <w:sz w:val="20"/>
          <w:szCs w:val="20"/>
          <w:color w:val="auto"/>
        </w:rPr>
      </w:pPr>
    </w:p>
    <w:p>
      <w:pPr>
        <w:ind w:right="280" w:firstLine="438"/>
        <w:spacing w:after="0" w:line="261" w:lineRule="auto"/>
        <w:rPr>
          <w:sz w:val="20"/>
          <w:szCs w:val="20"/>
          <w:color w:val="auto"/>
        </w:rPr>
      </w:pPr>
      <w:r>
        <w:rPr>
          <w:rFonts w:ascii="Times New Roman" w:cs="Times New Roman" w:eastAsia="Times New Roman" w:hAnsi="Times New Roman"/>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95" w:lineRule="exact"/>
        <w:rPr>
          <w:sz w:val="20"/>
          <w:szCs w:val="20"/>
          <w:color w:val="auto"/>
        </w:rPr>
      </w:pPr>
    </w:p>
    <w:p>
      <w:pPr>
        <w:ind w:right="260" w:firstLine="438"/>
        <w:spacing w:after="0" w:line="24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2023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09" w:lineRule="exact"/>
        <w:rPr>
          <w:sz w:val="20"/>
          <w:szCs w:val="20"/>
          <w:color w:val="auto"/>
        </w:rPr>
      </w:pPr>
    </w:p>
    <w:p>
      <w:pPr>
        <w:jc w:val="both"/>
        <w:ind w:right="140" w:firstLine="438"/>
        <w:spacing w:after="0" w:line="233" w:lineRule="auto"/>
        <w:rPr>
          <w:sz w:val="20"/>
          <w:szCs w:val="20"/>
          <w:color w:val="auto"/>
        </w:rPr>
      </w:pPr>
      <w:r>
        <w:rPr>
          <w:rFonts w:ascii="Times New Roman" w:cs="Times New Roman" w:eastAsia="Times New Roman" w:hAnsi="Times New Roman"/>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our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110" w:lineRule="exact"/>
        <w:rPr>
          <w:sz w:val="20"/>
          <w:szCs w:val="20"/>
          <w:color w:val="auto"/>
        </w:rPr>
      </w:pPr>
    </w:p>
    <w:p>
      <w:pPr>
        <w:ind w:right="20" w:firstLine="438"/>
        <w:spacing w:after="0"/>
        <w:rPr>
          <w:sz w:val="20"/>
          <w:szCs w:val="20"/>
          <w:color w:val="auto"/>
        </w:rPr>
      </w:pPr>
      <w:r>
        <w:rPr>
          <w:rFonts w:ascii="Times New Roman" w:cs="Times New Roman" w:eastAsia="Times New Roman" w:hAnsi="Times New Roman"/>
          <w:sz w:val="14"/>
          <w:szCs w:val="14"/>
          <w:color w:val="auto"/>
        </w:rPr>
        <w:t>The remainder of our investment portfolio and our long-term Credit Facility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Our Level 3 valuation techniques, unobservable inputs and ranges were categorized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 at December 31,</w:t>
            </w:r>
          </w:p>
        </w:tc>
        <w:tc>
          <w:tcPr>
            <w:tcW w:w="260" w:type="dxa"/>
            <w:vAlign w:val="bottom"/>
          </w:tcPr>
          <w:p>
            <w:pPr>
              <w:spacing w:after="0"/>
              <w:rPr>
                <w:sz w:val="13"/>
                <w:szCs w:val="13"/>
                <w:color w:val="auto"/>
              </w:rPr>
            </w:pPr>
          </w:p>
        </w:tc>
        <w:tc>
          <w:tcPr>
            <w:tcW w:w="1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0" w:type="dxa"/>
            <w:vAlign w:val="bottom"/>
          </w:tcPr>
          <w:p>
            <w:pPr>
              <w:spacing w:after="0"/>
              <w:rPr>
                <w:sz w:val="1"/>
                <w:szCs w:val="1"/>
                <w:color w:val="auto"/>
              </w:rPr>
            </w:pPr>
          </w:p>
        </w:tc>
      </w:tr>
      <w:tr>
        <w:trPr>
          <w:trHeight w:val="173"/>
        </w:trPr>
        <w:tc>
          <w:tcPr>
            <w:tcW w:w="3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60" w:type="dxa"/>
            <w:vAlign w:val="bottom"/>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xml:space="preserve">(Weighted Average)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56"/>
        </w:trPr>
        <w:tc>
          <w:tcPr>
            <w:tcW w:w="3420" w:type="dxa"/>
            <w:vAlign w:val="bottom"/>
            <w:tcBorders>
              <w:top w:val="single" w:sz="8" w:color="auto"/>
            </w:tcBorders>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179,034,785</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gridSpan w:val="2"/>
            <w:shd w:val="clear" w:color="auto" w:fill="CCECFF"/>
          </w:tcPr>
          <w:p>
            <w:pPr>
              <w:jc w:val="center"/>
              <w:ind w:right="120"/>
              <w:spacing w:after="0" w:line="155"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745,612,162</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Market Comparable</w:t>
            </w: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5.3% – 16.6% (8.0%)</w:t>
            </w:r>
          </w:p>
        </w:tc>
        <w:tc>
          <w:tcPr>
            <w:tcW w:w="0" w:type="dxa"/>
            <w:vAlign w:val="bottom"/>
          </w:tcPr>
          <w:p>
            <w:pPr>
              <w:spacing w:after="0"/>
              <w:rPr>
                <w:sz w:val="1"/>
                <w:szCs w:val="1"/>
                <w:color w:val="auto"/>
              </w:rPr>
            </w:pPr>
          </w:p>
        </w:tc>
      </w:tr>
      <w:tr>
        <w:trPr>
          <w:trHeight w:val="162"/>
        </w:trPr>
        <w:tc>
          <w:tcPr>
            <w:tcW w:w="34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24,050,361</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18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4"/>
                <w:szCs w:val="14"/>
                <w:color w:val="auto"/>
              </w:rPr>
              <w:t>9.2% – 11.0% (9.8%)</w:t>
            </w:r>
          </w:p>
        </w:tc>
        <w:tc>
          <w:tcPr>
            <w:tcW w:w="0" w:type="dxa"/>
            <w:vAlign w:val="bottom"/>
          </w:tcPr>
          <w:p>
            <w:pPr>
              <w:spacing w:after="0"/>
              <w:rPr>
                <w:sz w:val="1"/>
                <w:szCs w:val="1"/>
                <w:color w:val="auto"/>
              </w:rPr>
            </w:pPr>
          </w:p>
        </w:tc>
      </w:tr>
      <w:tr>
        <w:trPr>
          <w:trHeight w:val="16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6,596,941</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Enterprise Market Value</w:t>
            </w: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EBITDA multiple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0.2x</w:t>
            </w:r>
          </w:p>
        </w:tc>
        <w:tc>
          <w:tcPr>
            <w:tcW w:w="0" w:type="dxa"/>
            <w:vAlign w:val="bottom"/>
          </w:tcPr>
          <w:p>
            <w:pPr>
              <w:spacing w:after="0"/>
              <w:rPr>
                <w:sz w:val="1"/>
                <w:szCs w:val="1"/>
                <w:color w:val="auto"/>
              </w:rPr>
            </w:pPr>
          </w:p>
        </w:tc>
      </w:tr>
      <w:tr>
        <w:trPr>
          <w:trHeight w:val="162"/>
        </w:trPr>
        <w:tc>
          <w:tcPr>
            <w:tcW w:w="34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1,556,707</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EBITDA multiple</w:t>
            </w:r>
          </w:p>
        </w:tc>
        <w:tc>
          <w:tcPr>
            <w:tcW w:w="18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4"/>
                <w:szCs w:val="14"/>
                <w:color w:val="auto"/>
              </w:rPr>
              <w:t>0.2x – 5.9x (3.1x)</w:t>
            </w:r>
          </w:p>
        </w:tc>
        <w:tc>
          <w:tcPr>
            <w:tcW w:w="0" w:type="dxa"/>
            <w:vAlign w:val="bottom"/>
          </w:tcPr>
          <w:p>
            <w:pPr>
              <w:spacing w:after="0"/>
              <w:rPr>
                <w:sz w:val="1"/>
                <w:szCs w:val="1"/>
                <w:color w:val="auto"/>
              </w:rPr>
            </w:pPr>
          </w:p>
        </w:tc>
      </w:tr>
      <w:tr>
        <w:trPr>
          <w:trHeight w:val="162"/>
        </w:trPr>
        <w:tc>
          <w:tcPr>
            <w:tcW w:w="342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67,599,621</w:t>
            </w:r>
          </w:p>
        </w:tc>
        <w:tc>
          <w:tcPr>
            <w:tcW w:w="260" w:type="dxa"/>
            <w:vAlign w:val="bottom"/>
            <w:tcBorders>
              <w:bottom w:val="single" w:sz="8" w:color="CCECFF"/>
            </w:tcBorders>
          </w:tcPr>
          <w:p>
            <w:pPr>
              <w:spacing w:after="0"/>
              <w:rPr>
                <w:sz w:val="14"/>
                <w:szCs w:val="14"/>
                <w:color w:val="auto"/>
              </w:rPr>
            </w:pPr>
          </w:p>
        </w:tc>
        <w:tc>
          <w:tcPr>
            <w:tcW w:w="1960" w:type="dxa"/>
            <w:vAlign w:val="bottom"/>
            <w:tcBorders>
              <w:bottom w:val="single" w:sz="8" w:color="CCECFF"/>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Enterprise Market Value</w:t>
            </w:r>
          </w:p>
        </w:tc>
        <w:tc>
          <w:tcPr>
            <w:tcW w:w="1960" w:type="dxa"/>
            <w:vAlign w:val="bottom"/>
            <w:tcBorders>
              <w:bottom w:val="single" w:sz="8" w:color="CCECFF"/>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EBITDA multiple</w:t>
            </w:r>
          </w:p>
        </w:tc>
        <w:tc>
          <w:tcPr>
            <w:tcW w:w="1800" w:type="dxa"/>
            <w:vAlign w:val="bottom"/>
            <w:tcBorders>
              <w:bottom w:val="single" w:sz="8" w:color="CCEC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0.2x – 13.6x (10.6x)</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CCECFF"/>
            </w:tcBorders>
            <w:gridSpan w:val="2"/>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 Level 3 investments</w:t>
            </w:r>
          </w:p>
        </w:tc>
        <w:tc>
          <w:tcPr>
            <w:tcW w:w="16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1,024,450,577</w:t>
            </w:r>
          </w:p>
        </w:tc>
        <w:tc>
          <w:tcPr>
            <w:tcW w:w="2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7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Long-Term Credit Facility</w:t>
            </w: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Market Comparable</w:t>
            </w:r>
          </w:p>
        </w:tc>
        <w:tc>
          <w:tcPr>
            <w:tcW w:w="1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253,303,400</w:t>
            </w:r>
          </w:p>
        </w:tc>
        <w:tc>
          <w:tcPr>
            <w:tcW w:w="2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60" w:type="dxa"/>
            <w:vAlign w:val="bottom"/>
          </w:tcPr>
          <w:p>
            <w:pPr>
              <w:spacing w:after="0"/>
              <w:rPr>
                <w:sz w:val="23"/>
                <w:szCs w:val="23"/>
                <w:color w:val="auto"/>
              </w:rPr>
            </w:pPr>
          </w:p>
        </w:tc>
        <w:tc>
          <w:tcPr>
            <w:tcW w:w="1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0" w:type="dxa"/>
            <w:vAlign w:val="bottom"/>
          </w:tcPr>
          <w:p>
            <w:pPr>
              <w:spacing w:after="0"/>
              <w:rPr>
                <w:sz w:val="1"/>
                <w:szCs w:val="1"/>
                <w:color w:val="auto"/>
              </w:rPr>
            </w:pPr>
          </w:p>
        </w:tc>
      </w:tr>
      <w:tr>
        <w:trPr>
          <w:trHeight w:val="173"/>
        </w:trPr>
        <w:tc>
          <w:tcPr>
            <w:tcW w:w="3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60" w:type="dxa"/>
            <w:vAlign w:val="bottom"/>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xml:space="preserve">(Weighted Average)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55"/>
        </w:trPr>
        <w:tc>
          <w:tcPr>
            <w:tcW w:w="3420" w:type="dxa"/>
            <w:vAlign w:val="bottom"/>
            <w:tcBorders>
              <w:top w:val="single" w:sz="8" w:color="auto"/>
            </w:tcBorders>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First lien</w:t>
            </w:r>
          </w:p>
        </w:tc>
        <w:tc>
          <w:tcPr>
            <w:tcW w:w="180" w:type="dxa"/>
            <w:vAlign w:val="bottom"/>
            <w:tcBorders>
              <w:top w:val="single" w:sz="8" w:color="CCECFF"/>
            </w:tcBorders>
            <w:gridSpan w:val="2"/>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114,844,301</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848,114,233</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Market Comparable</w:t>
            </w: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5.4% – 19.5% (8.4%)</w:t>
            </w:r>
          </w:p>
        </w:tc>
        <w:tc>
          <w:tcPr>
            <w:tcW w:w="0" w:type="dxa"/>
            <w:vAlign w:val="bottom"/>
          </w:tcPr>
          <w:p>
            <w:pPr>
              <w:spacing w:after="0"/>
              <w:rPr>
                <w:sz w:val="1"/>
                <w:szCs w:val="1"/>
                <w:color w:val="auto"/>
              </w:rPr>
            </w:pPr>
          </w:p>
        </w:tc>
      </w:tr>
      <w:tr>
        <w:trPr>
          <w:trHeight w:val="162"/>
        </w:trPr>
        <w:tc>
          <w:tcPr>
            <w:tcW w:w="34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23,017,187</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18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4"/>
                <w:szCs w:val="14"/>
                <w:color w:val="auto"/>
              </w:rPr>
              <w:t>9.3% – 11.0% (9.5%)</w:t>
            </w:r>
          </w:p>
        </w:tc>
        <w:tc>
          <w:tcPr>
            <w:tcW w:w="0" w:type="dxa"/>
            <w:vAlign w:val="bottom"/>
          </w:tcPr>
          <w:p>
            <w:pPr>
              <w:spacing w:after="0"/>
              <w:rPr>
                <w:sz w:val="1"/>
                <w:szCs w:val="1"/>
                <w:color w:val="auto"/>
              </w:rPr>
            </w:pPr>
          </w:p>
        </w:tc>
      </w:tr>
      <w:tr>
        <w:trPr>
          <w:trHeight w:val="162"/>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5,657,214</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Enterprise Market Value</w:t>
            </w: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EBITDA multiple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0.3x</w:t>
            </w:r>
          </w:p>
        </w:tc>
        <w:tc>
          <w:tcPr>
            <w:tcW w:w="0" w:type="dxa"/>
            <w:vAlign w:val="bottom"/>
          </w:tcPr>
          <w:p>
            <w:pPr>
              <w:spacing w:after="0"/>
              <w:rPr>
                <w:sz w:val="1"/>
                <w:szCs w:val="1"/>
                <w:color w:val="auto"/>
              </w:rPr>
            </w:pPr>
          </w:p>
        </w:tc>
      </w:tr>
      <w:tr>
        <w:trPr>
          <w:trHeight w:val="162"/>
        </w:trPr>
        <w:tc>
          <w:tcPr>
            <w:tcW w:w="34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6,893,843</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EBITDA multiple</w:t>
            </w:r>
          </w:p>
        </w:tc>
        <w:tc>
          <w:tcPr>
            <w:tcW w:w="18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4"/>
                <w:szCs w:val="14"/>
                <w:color w:val="auto"/>
              </w:rPr>
              <w:t>0.3x – 8.5x (2.0x)</w:t>
            </w:r>
          </w:p>
        </w:tc>
        <w:tc>
          <w:tcPr>
            <w:tcW w:w="0" w:type="dxa"/>
            <w:vAlign w:val="bottom"/>
          </w:tcPr>
          <w:p>
            <w:pPr>
              <w:spacing w:after="0"/>
              <w:rPr>
                <w:sz w:val="1"/>
                <w:szCs w:val="1"/>
                <w:color w:val="auto"/>
              </w:rPr>
            </w:pPr>
          </w:p>
        </w:tc>
      </w:tr>
      <w:tr>
        <w:trPr>
          <w:trHeight w:val="162"/>
        </w:trPr>
        <w:tc>
          <w:tcPr>
            <w:tcW w:w="342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48,491,115</w:t>
            </w:r>
          </w:p>
        </w:tc>
        <w:tc>
          <w:tcPr>
            <w:tcW w:w="260" w:type="dxa"/>
            <w:vAlign w:val="bottom"/>
            <w:tcBorders>
              <w:bottom w:val="single" w:sz="8" w:color="CCECFF"/>
            </w:tcBorders>
          </w:tcPr>
          <w:p>
            <w:pPr>
              <w:spacing w:after="0"/>
              <w:rPr>
                <w:sz w:val="14"/>
                <w:szCs w:val="14"/>
                <w:color w:val="auto"/>
              </w:rPr>
            </w:pPr>
          </w:p>
        </w:tc>
        <w:tc>
          <w:tcPr>
            <w:tcW w:w="1960" w:type="dxa"/>
            <w:vAlign w:val="bottom"/>
            <w:tcBorders>
              <w:bottom w:val="single" w:sz="8" w:color="CCECFF"/>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Enterprise Market Value</w:t>
            </w:r>
          </w:p>
        </w:tc>
        <w:tc>
          <w:tcPr>
            <w:tcW w:w="1960" w:type="dxa"/>
            <w:vAlign w:val="bottom"/>
            <w:tcBorders>
              <w:bottom w:val="single" w:sz="8" w:color="CCECFF"/>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EBITDA multiple</w:t>
            </w:r>
          </w:p>
        </w:tc>
        <w:tc>
          <w:tcPr>
            <w:tcW w:w="1800" w:type="dxa"/>
            <w:vAlign w:val="bottom"/>
            <w:tcBorders>
              <w:bottom w:val="single" w:sz="8" w:color="CCEC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0.3x – 15.2x (10.4x)</w:t>
            </w:r>
          </w:p>
        </w:tc>
        <w:tc>
          <w:tcPr>
            <w:tcW w:w="0" w:type="dxa"/>
            <w:vAlign w:val="bottom"/>
          </w:tcPr>
          <w:p>
            <w:pPr>
              <w:spacing w:after="0"/>
              <w:rPr>
                <w:sz w:val="1"/>
                <w:szCs w:val="1"/>
                <w:color w:val="auto"/>
              </w:rPr>
            </w:pPr>
          </w:p>
        </w:tc>
      </w:tr>
      <w:tr>
        <w:trPr>
          <w:trHeight w:val="155"/>
        </w:trPr>
        <w:tc>
          <w:tcPr>
            <w:tcW w:w="3420" w:type="dxa"/>
            <w:vAlign w:val="bottom"/>
            <w:tcBorders>
              <w:bottom w:val="single" w:sz="8" w:color="CCECFF"/>
            </w:tcBorders>
            <w:gridSpan w:val="2"/>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 Level 3 investments</w:t>
            </w:r>
          </w:p>
        </w:tc>
        <w:tc>
          <w:tcPr>
            <w:tcW w:w="180" w:type="dxa"/>
            <w:vAlign w:val="bottom"/>
            <w:tcBorders>
              <w:bottom w:val="single" w:sz="8" w:color="CCECFF"/>
            </w:tcBorders>
            <w:gridSpan w:val="2"/>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1,047,017,893</w:t>
            </w:r>
          </w:p>
        </w:tc>
        <w:tc>
          <w:tcPr>
            <w:tcW w:w="2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7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Long-Term Credit Facility</w:t>
            </w:r>
          </w:p>
        </w:tc>
        <w:tc>
          <w:tcPr>
            <w:tcW w:w="32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Market Comparable</w:t>
            </w:r>
          </w:p>
        </w:tc>
        <w:tc>
          <w:tcPr>
            <w:tcW w:w="1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20" w:type="dxa"/>
            <w:vAlign w:val="bottom"/>
            <w:gridSpan w:val="2"/>
            <w:vMerge w:val="continue"/>
          </w:tcPr>
          <w:p>
            <w:pPr>
              <w:spacing w:after="0"/>
              <w:rPr>
                <w:sz w:val="12"/>
                <w:szCs w:val="12"/>
                <w:color w:val="auto"/>
              </w:rPr>
            </w:pPr>
          </w:p>
        </w:tc>
        <w:tc>
          <w:tcPr>
            <w:tcW w:w="180" w:type="dxa"/>
            <w:vAlign w:val="bottom"/>
            <w:gridSpan w:val="2"/>
          </w:tcPr>
          <w:p>
            <w:pPr>
              <w:spacing w:after="0"/>
              <w:rPr>
                <w:sz w:val="12"/>
                <w:szCs w:val="12"/>
                <w:color w:val="auto"/>
              </w:rPr>
            </w:pPr>
          </w:p>
        </w:tc>
        <w:tc>
          <w:tcPr>
            <w:tcW w:w="14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299,047,275</w:t>
            </w:r>
          </w:p>
        </w:tc>
        <w:tc>
          <w:tcPr>
            <w:tcW w:w="2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94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500" w:hanging="492"/>
        <w:spacing w:after="0" w:line="190" w:lineRule="auto"/>
        <w:tabs>
          <w:tab w:leader="none" w:pos="500"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The weighted averages disclosed in the table above were weighted by their relative fair value.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ind w:right="2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60" w:type="dxa"/>
            <w:vAlign w:val="bottom"/>
            <w:gridSpan w:val="15"/>
          </w:tcPr>
          <w:p>
            <w:pPr>
              <w:ind w:left="440"/>
              <w:spacing w:after="0"/>
              <w:rPr>
                <w:sz w:val="20"/>
                <w:szCs w:val="20"/>
                <w:color w:val="auto"/>
              </w:rPr>
            </w:pPr>
            <w:r>
              <w:rPr>
                <w:rFonts w:ascii="Times New Roman" w:cs="Times New Roman" w:eastAsia="Times New Roman" w:hAnsi="Times New Roman"/>
                <w:sz w:val="14"/>
                <w:szCs w:val="14"/>
                <w:color w:val="auto"/>
              </w:rPr>
              <w:t>Our investments, cash and cash equivalents, Credit Facility, 2023 Notes, and the 2031 Asset-Backed Debt were categorized as follows in the fair value hierarchy:</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2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Fair Value at December 31, 2020</w:t>
            </w: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1"/>
                <w:szCs w:val="11"/>
                <w:color w:val="auto"/>
              </w:rPr>
            </w:pPr>
          </w:p>
        </w:tc>
        <w:tc>
          <w:tcPr>
            <w:tcW w:w="118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56"/>
        </w:trPr>
        <w:tc>
          <w:tcPr>
            <w:tcW w:w="3780" w:type="dxa"/>
            <w:vAlign w:val="bottom"/>
            <w:tcBorders>
              <w:top w:val="single" w:sz="8" w:color="auto"/>
            </w:tcBorders>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First lien</w:t>
            </w:r>
          </w:p>
        </w:tc>
        <w:tc>
          <w:tcPr>
            <w:tcW w:w="1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931,243,888</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CFF"/>
          </w:tcPr>
          <w:p>
            <w:pPr>
              <w:ind w:left="84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931,243,888</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 lien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25,607,068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25,607,068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110,494,426</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67,599,621</w:t>
            </w:r>
          </w:p>
        </w:tc>
        <w:tc>
          <w:tcPr>
            <w:tcW w:w="24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42,894,805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tcBorders>
              <w:bottom w:val="single" w:sz="8" w:color="CCECFF"/>
            </w:tcBorders>
            <w:gridSpan w:val="2"/>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investments</w:t>
            </w:r>
          </w:p>
        </w:tc>
        <w:tc>
          <w:tcPr>
            <w:tcW w:w="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1,067,345,382</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1,024,450,577</w:t>
            </w:r>
          </w:p>
        </w:tc>
        <w:tc>
          <w:tcPr>
            <w:tcW w:w="24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42,894,805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28,488,111</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28,488,111</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780" w:type="dxa"/>
            <w:vAlign w:val="bottom"/>
            <w:tcBorders>
              <w:bottom w:val="single" w:sz="8" w:color="CCECFF"/>
            </w:tcBorders>
            <w:gridSpan w:val="2"/>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12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1,095,833,493</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28,488,111</w:t>
            </w:r>
          </w:p>
        </w:tc>
        <w:tc>
          <w:tcPr>
            <w:tcW w:w="24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ind w:left="84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1,024,450,577</w:t>
            </w:r>
          </w:p>
        </w:tc>
        <w:tc>
          <w:tcPr>
            <w:tcW w:w="240" w:type="dxa"/>
            <w:vAlign w:val="bottom"/>
            <w:tcBorders>
              <w:bottom w:val="single" w:sz="8" w:color="CCEC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42,894,805</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780" w:type="dxa"/>
            <w:vAlign w:val="bottom"/>
            <w:gridSpan w:val="2"/>
            <w:shd w:val="clear" w:color="auto" w:fill="CCECFF"/>
          </w:tcPr>
          <w:p>
            <w:pPr>
              <w:spacing w:after="0" w:line="143" w:lineRule="exact"/>
              <w:rPr>
                <w:sz w:val="20"/>
                <w:szCs w:val="20"/>
                <w:color w:val="auto"/>
              </w:rPr>
            </w:pPr>
            <w:r>
              <w:rPr>
                <w:rFonts w:ascii="Times New Roman" w:cs="Times New Roman" w:eastAsia="Times New Roman" w:hAnsi="Times New Roman"/>
                <w:sz w:val="14"/>
                <w:szCs w:val="14"/>
                <w:color w:val="auto"/>
              </w:rPr>
              <w:t>Long-Term Credit Facility</w:t>
            </w: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253,303,400</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2"/>
                <w:szCs w:val="12"/>
                <w:color w:val="auto"/>
              </w:rPr>
            </w:pPr>
          </w:p>
        </w:tc>
        <w:tc>
          <w:tcPr>
            <w:tcW w:w="240" w:type="dxa"/>
            <w:vAlign w:val="bottom"/>
            <w:shd w:val="clear" w:color="auto" w:fill="CCECFF"/>
          </w:tcPr>
          <w:p>
            <w:pPr>
              <w:jc w:val="right"/>
              <w:ind w:right="8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CFF"/>
          </w:tcPr>
          <w:p>
            <w:pPr>
              <w:ind w:left="840"/>
              <w:spacing w:after="0" w:line="143"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2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253,303,400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2023 Notes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106,567,218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106,567,218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2031 Asset-Backed Debt </w:t>
            </w:r>
            <w:r>
              <w:rPr>
                <w:rFonts w:ascii="Times New Roman" w:cs="Times New Roman" w:eastAsia="Times New Roman" w:hAnsi="Times New Roman"/>
                <w:sz w:val="12"/>
                <w:szCs w:val="12"/>
                <w:color w:val="auto"/>
              </w:rPr>
              <w:t>(2)</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225,024,045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225,024,045</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3780" w:type="dxa"/>
            <w:vAlign w:val="bottom"/>
            <w:gridSpan w:val="2"/>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debt</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584,894,663</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106,567,218</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ind w:left="84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478,327,445</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94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80" w:right="100" w:hanging="372"/>
        <w:spacing w:after="0" w:line="185" w:lineRule="auto"/>
        <w:tabs>
          <w:tab w:leader="none" w:pos="38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 accordance with ASC Subtopic 820-10, Fair Value Measurements and Disclosures, or ASC 820-10, our equity investment in PSSL is measured using the net asset value per share (or its equivalent) as a practical expedient for fair value, have not been classified in the fair value hierarchy.</w:t>
      </w:r>
    </w:p>
    <w:p>
      <w:pPr>
        <w:spacing w:after="0" w:line="1" w:lineRule="exact"/>
        <w:rPr>
          <w:rFonts w:ascii="Times New Roman" w:cs="Times New Roman" w:eastAsia="Times New Roman" w:hAnsi="Times New Roman"/>
          <w:sz w:val="20"/>
          <w:szCs w:val="20"/>
          <w:color w:val="auto"/>
          <w:vertAlign w:val="superscript"/>
        </w:rPr>
      </w:pPr>
    </w:p>
    <w:p>
      <w:pPr>
        <w:ind w:left="380" w:hanging="372"/>
        <w:spacing w:after="0" w:line="183" w:lineRule="auto"/>
        <w:tabs>
          <w:tab w:leader="none" w:pos="38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We elected not to apply ASC 825-10 to the 2031 Asset-Backed Debt and thus the balance reported in the Consolidated Statement of Assets and Liabilities represents the carrying value, which approximates the fair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Fair Value at September 30, 2020</w:t>
            </w: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1"/>
                <w:szCs w:val="11"/>
                <w:color w:val="auto"/>
              </w:rPr>
            </w:pPr>
          </w:p>
        </w:tc>
        <w:tc>
          <w:tcPr>
            <w:tcW w:w="118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55"/>
        </w:trPr>
        <w:tc>
          <w:tcPr>
            <w:tcW w:w="3780" w:type="dxa"/>
            <w:vAlign w:val="bottom"/>
            <w:tcBorders>
              <w:top w:val="single" w:sz="8" w:color="auto"/>
            </w:tcBorders>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First lien</w:t>
            </w:r>
          </w:p>
        </w:tc>
        <w:tc>
          <w:tcPr>
            <w:tcW w:w="1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968,615,748</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CFF"/>
          </w:tcPr>
          <w:p>
            <w:pPr>
              <w:ind w:left="84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968,615,748</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 lien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29,911,030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29,911,030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88,401,689</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48,491,115</w:t>
            </w:r>
          </w:p>
        </w:tc>
        <w:tc>
          <w:tcPr>
            <w:tcW w:w="24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39,910,574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Borders>
              <w:bottom w:val="single" w:sz="8" w:color="CCECFF"/>
            </w:tcBorders>
            <w:gridSpan w:val="2"/>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investments</w:t>
            </w:r>
          </w:p>
        </w:tc>
        <w:tc>
          <w:tcPr>
            <w:tcW w:w="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1,086,928,467</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1,047,017,893</w:t>
            </w:r>
          </w:p>
        </w:tc>
        <w:tc>
          <w:tcPr>
            <w:tcW w:w="24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39,910,574</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57,511,928</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57,511,928</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780" w:type="dxa"/>
            <w:vAlign w:val="bottom"/>
            <w:tcBorders>
              <w:bottom w:val="single" w:sz="8" w:color="CCECFF"/>
            </w:tcBorders>
            <w:gridSpan w:val="2"/>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12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1,144,440,395</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57,511,928</w:t>
            </w:r>
          </w:p>
        </w:tc>
        <w:tc>
          <w:tcPr>
            <w:tcW w:w="24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ind w:left="84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1,047,017,893</w:t>
            </w:r>
          </w:p>
        </w:tc>
        <w:tc>
          <w:tcPr>
            <w:tcW w:w="240" w:type="dxa"/>
            <w:vAlign w:val="bottom"/>
            <w:tcBorders>
              <w:bottom w:val="single" w:sz="8" w:color="CCEC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39,910,574</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780" w:type="dxa"/>
            <w:vAlign w:val="bottom"/>
            <w:gridSpan w:val="2"/>
            <w:shd w:val="clear" w:color="auto" w:fill="CCECFF"/>
          </w:tcPr>
          <w:p>
            <w:pPr>
              <w:spacing w:after="0" w:line="143" w:lineRule="exact"/>
              <w:rPr>
                <w:sz w:val="20"/>
                <w:szCs w:val="20"/>
                <w:color w:val="auto"/>
              </w:rPr>
            </w:pPr>
            <w:r>
              <w:rPr>
                <w:rFonts w:ascii="Times New Roman" w:cs="Times New Roman" w:eastAsia="Times New Roman" w:hAnsi="Times New Roman"/>
                <w:sz w:val="14"/>
                <w:szCs w:val="14"/>
                <w:color w:val="auto"/>
              </w:rPr>
              <w:t>Long-Term Credit Facility</w:t>
            </w: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299,047,275</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2"/>
                <w:szCs w:val="12"/>
                <w:color w:val="auto"/>
              </w:rPr>
            </w:pPr>
          </w:p>
        </w:tc>
        <w:tc>
          <w:tcPr>
            <w:tcW w:w="240" w:type="dxa"/>
            <w:vAlign w:val="bottom"/>
            <w:shd w:val="clear" w:color="auto" w:fill="CCECFF"/>
          </w:tcPr>
          <w:p>
            <w:pPr>
              <w:jc w:val="right"/>
              <w:ind w:right="8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CFF"/>
          </w:tcPr>
          <w:p>
            <w:pPr>
              <w:ind w:left="840"/>
              <w:spacing w:after="0" w:line="143"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2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299,047,275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2023 Notes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129,295,008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129,295,008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2031 Asset-Backed Debt</w:t>
            </w:r>
            <w:r>
              <w:rPr>
                <w:rFonts w:ascii="Times New Roman" w:cs="Times New Roman" w:eastAsia="Times New Roman" w:hAnsi="Times New Roman"/>
                <w:sz w:val="12"/>
                <w:szCs w:val="12"/>
                <w:color w:val="auto"/>
              </w:rPr>
              <w:t>(2)</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224,866,334</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224,866,334</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3780" w:type="dxa"/>
            <w:vAlign w:val="bottom"/>
            <w:gridSpan w:val="2"/>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debt</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653,208,617</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129,295,008</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ind w:left="84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523,913,609</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940" w:type="dxa"/>
            <w:vAlign w:val="bottom"/>
            <w:tcBorders>
              <w:bottom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80" w:right="100" w:hanging="372"/>
        <w:spacing w:after="0" w:line="185" w:lineRule="auto"/>
        <w:tabs>
          <w:tab w:leader="none" w:pos="38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 accordance with ASC Subtopic 820-10, Fair Value Measurements and Disclosures, or ASC 820-10, our equity investment in PSSL is measured using the net asset value per share (or its equivalent) as a practical expedient for fair value, have not been classified in the fair value hierarchy.</w:t>
      </w:r>
    </w:p>
    <w:p>
      <w:pPr>
        <w:spacing w:after="0" w:line="1" w:lineRule="exact"/>
        <w:rPr>
          <w:rFonts w:ascii="Times New Roman" w:cs="Times New Roman" w:eastAsia="Times New Roman" w:hAnsi="Times New Roman"/>
          <w:sz w:val="20"/>
          <w:szCs w:val="20"/>
          <w:color w:val="auto"/>
          <w:vertAlign w:val="superscript"/>
        </w:rPr>
      </w:pPr>
    </w:p>
    <w:p>
      <w:pPr>
        <w:ind w:left="380" w:hanging="372"/>
        <w:spacing w:after="0" w:line="193" w:lineRule="auto"/>
        <w:tabs>
          <w:tab w:leader="none" w:pos="38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We elected not to apply ASC 825-10 to the 2031 Asset-Backed Debt and thus the balance reported in the Consolidated Statement of Assets and Liabilities represents the carrying value, which approximates the fair value.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tables below show a reconciliation of the beginning and ending balances for investments measured at fair value using significant unobservable inputs (Level 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7"/>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Three Months Ended December 31, 2020</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Second lien,</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subordinated debt</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 equity</w:t>
            </w:r>
          </w:p>
        </w:tc>
        <w:tc>
          <w:tcPr>
            <w:tcW w:w="420" w:type="dxa"/>
            <w:vAlign w:val="bottom"/>
          </w:tcPr>
          <w:p>
            <w:pPr>
              <w:spacing w:after="0"/>
              <w:rPr>
                <w:sz w:val="12"/>
                <w:szCs w:val="12"/>
                <w:color w:val="auto"/>
              </w:rPr>
            </w:pPr>
          </w:p>
        </w:tc>
        <w:tc>
          <w:tcPr>
            <w:tcW w:w="10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6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16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Beginning Balance</w:t>
            </w:r>
          </w:p>
        </w:tc>
        <w:tc>
          <w:tcPr>
            <w:tcW w:w="136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968,615,748</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78,402,145</w:t>
            </w:r>
          </w:p>
        </w:tc>
        <w:tc>
          <w:tcPr>
            <w:tcW w:w="240" w:type="dxa"/>
            <w:vAlign w:val="bottom"/>
            <w:tcBorders>
              <w:top w:val="single" w:sz="8" w:color="CCECFF"/>
            </w:tcBorders>
            <w:shd w:val="clear" w:color="auto" w:fill="CCECFF"/>
          </w:tcPr>
          <w:p>
            <w:pPr>
              <w:spacing w:after="0"/>
              <w:rPr>
                <w:sz w:val="13"/>
                <w:szCs w:val="13"/>
                <w:color w:val="auto"/>
              </w:rPr>
            </w:pPr>
          </w:p>
        </w:tc>
        <w:tc>
          <w:tcPr>
            <w:tcW w:w="420" w:type="dxa"/>
            <w:vAlign w:val="bottom"/>
            <w:tcBorders>
              <w:top w:val="single" w:sz="8" w:color="auto"/>
            </w:tcBorders>
            <w:shd w:val="clear" w:color="auto" w:fill="CCECFF"/>
          </w:tcPr>
          <w:p>
            <w:pPr>
              <w:jc w:val="right"/>
              <w:ind w:right="2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1,047,017,893</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realized loss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(810,853)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(1,102,977)</w:t>
            </w:r>
          </w:p>
        </w:tc>
        <w:tc>
          <w:tcPr>
            <w:tcW w:w="4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(1,913,830)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Net change in unrealized appreciation</w:t>
            </w:r>
          </w:p>
        </w:tc>
        <w:tc>
          <w:tcPr>
            <w:tcW w:w="13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8,161,152</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12,217,125</w:t>
            </w:r>
          </w:p>
        </w:tc>
        <w:tc>
          <w:tcPr>
            <w:tcW w:w="24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20,378,277</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64,022,024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4,550,204</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68,572,228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Sales, repayments and non-cash exchanges</w:t>
            </w:r>
          </w:p>
        </w:tc>
        <w:tc>
          <w:tcPr>
            <w:tcW w:w="13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(108,744,183)</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(859,808)</w:t>
            </w:r>
          </w:p>
        </w:tc>
        <w:tc>
          <w:tcPr>
            <w:tcW w:w="4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(109,603,991)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Transfers in and/or out of Level 3</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Ending Balance</w:t>
            </w:r>
          </w:p>
        </w:tc>
        <w:tc>
          <w:tcPr>
            <w:tcW w:w="1360" w:type="dxa"/>
            <w:vAlign w:val="bottom"/>
            <w:tcBorders>
              <w:top w:val="single" w:sz="8" w:color="CCECFF"/>
              <w:bottom w:val="single" w:sz="8" w:color="CCECFF"/>
            </w:tcBorders>
            <w:shd w:val="clear" w:color="auto" w:fill="CCECFF"/>
          </w:tcPr>
          <w:p>
            <w:pPr>
              <w:spacing w:after="0"/>
              <w:rPr>
                <w:sz w:val="13"/>
                <w:szCs w:val="13"/>
                <w:color w:val="auto"/>
              </w:rPr>
            </w:pP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931,243,888</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93,206,689</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420" w:type="dxa"/>
            <w:vAlign w:val="bottom"/>
            <w:tcBorders>
              <w:top w:val="single" w:sz="8" w:color="auto"/>
              <w:bottom w:val="single" w:sz="8" w:color="auto"/>
            </w:tcBorders>
            <w:shd w:val="clear" w:color="auto" w:fill="CCECFF"/>
          </w:tcPr>
          <w:p>
            <w:pPr>
              <w:jc w:val="right"/>
              <w:ind w:right="2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1,024,450,577</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line="160" w:lineRule="exact"/>
              <w:rPr>
                <w:sz w:val="20"/>
                <w:szCs w:val="20"/>
                <w:color w:val="auto"/>
              </w:rPr>
            </w:pPr>
            <w:r>
              <w:rPr>
                <w:rFonts w:ascii="Times New Roman" w:cs="Times New Roman" w:eastAsia="Times New Roman" w:hAnsi="Times New Roman"/>
                <w:sz w:val="14"/>
                <w:szCs w:val="14"/>
                <w:color w:val="auto"/>
              </w:rPr>
              <w:t>Net change in unrealized appreciation reported within the net change in unrealized</w:t>
            </w: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16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appreciation on investments in our Consolidated Statements of Operations</w:t>
            </w:r>
          </w:p>
        </w:tc>
        <w:tc>
          <w:tcPr>
            <w:tcW w:w="172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7,397,488</w:t>
            </w:r>
          </w:p>
        </w:tc>
        <w:tc>
          <w:tcPr>
            <w:tcW w:w="14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12,347,478</w:t>
            </w:r>
          </w:p>
        </w:tc>
        <w:tc>
          <w:tcPr>
            <w:tcW w:w="240" w:type="dxa"/>
            <w:vAlign w:val="bottom"/>
          </w:tcPr>
          <w:p>
            <w:pPr>
              <w:spacing w:after="0"/>
              <w:rPr>
                <w:sz w:val="12"/>
                <w:szCs w:val="12"/>
                <w:color w:val="auto"/>
              </w:rPr>
            </w:pPr>
          </w:p>
        </w:tc>
        <w:tc>
          <w:tcPr>
            <w:tcW w:w="4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19,744,966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attributable to our Level 3 assets still held at the reporting date</w:t>
            </w:r>
          </w:p>
        </w:tc>
        <w:tc>
          <w:tcPr>
            <w:tcW w:w="1720" w:type="dxa"/>
            <w:vAlign w:val="bottom"/>
            <w:gridSpan w:val="3"/>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60" w:type="dxa"/>
            <w:vAlign w:val="bottom"/>
            <w:vMerge w:val="restart"/>
          </w:tcPr>
          <w:p>
            <w:pPr>
              <w:jc w:val="right"/>
              <w:ind w:right="773"/>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51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7"/>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Three Months Ended December 31, 2019</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Second lien,</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subordinated debt</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 equity</w:t>
            </w:r>
          </w:p>
        </w:tc>
        <w:tc>
          <w:tcPr>
            <w:tcW w:w="420" w:type="dxa"/>
            <w:vAlign w:val="bottom"/>
          </w:tcPr>
          <w:p>
            <w:pPr>
              <w:spacing w:after="0"/>
              <w:rPr>
                <w:sz w:val="12"/>
                <w:szCs w:val="12"/>
                <w:color w:val="auto"/>
              </w:rPr>
            </w:pPr>
          </w:p>
        </w:tc>
        <w:tc>
          <w:tcPr>
            <w:tcW w:w="10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73"/>
        </w:trPr>
        <w:tc>
          <w:tcPr>
            <w:tcW w:w="6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944,900,800</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86,836,779</w:t>
            </w:r>
          </w:p>
        </w:tc>
        <w:tc>
          <w:tcPr>
            <w:tcW w:w="240" w:type="dxa"/>
            <w:vAlign w:val="bottom"/>
            <w:tcBorders>
              <w:top w:val="single" w:sz="8" w:color="CCECFF"/>
            </w:tcBorders>
            <w:shd w:val="clear" w:color="auto" w:fill="CCECFF"/>
          </w:tcPr>
          <w:p>
            <w:pPr>
              <w:spacing w:after="0"/>
              <w:rPr>
                <w:sz w:val="13"/>
                <w:szCs w:val="13"/>
                <w:color w:val="auto"/>
              </w:rPr>
            </w:pPr>
          </w:p>
        </w:tc>
        <w:tc>
          <w:tcPr>
            <w:tcW w:w="420" w:type="dxa"/>
            <w:vAlign w:val="bottom"/>
            <w:tcBorders>
              <w:top w:val="single" w:sz="8" w:color="auto"/>
            </w:tcBorders>
            <w:shd w:val="clear" w:color="auto" w:fill="CCECFF"/>
          </w:tcPr>
          <w:p>
            <w:pPr>
              <w:jc w:val="right"/>
              <w:ind w:right="2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1,031,737,579</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realized 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976,698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35,322</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Net change in unrealized appreciation (depreciation)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679,968</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(4,051,404)</w:t>
            </w:r>
          </w:p>
        </w:tc>
        <w:tc>
          <w:tcPr>
            <w:tcW w:w="4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(3,371,436)</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237,379,619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3,373,585</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240,753,204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(141,423,648)</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(2,319,653)</w:t>
            </w:r>
          </w:p>
        </w:tc>
        <w:tc>
          <w:tcPr>
            <w:tcW w:w="4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(143,743,301)</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1,042,513,437</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83,874,629</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420" w:type="dxa"/>
            <w:vAlign w:val="bottom"/>
            <w:tcBorders>
              <w:top w:val="single" w:sz="8" w:color="auto"/>
              <w:bottom w:val="single" w:sz="8" w:color="auto"/>
            </w:tcBorders>
            <w:shd w:val="clear" w:color="auto" w:fill="CCECFF"/>
          </w:tcPr>
          <w:p>
            <w:pPr>
              <w:jc w:val="right"/>
              <w:ind w:right="2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1,126,388,066</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line="160" w:lineRule="exact"/>
              <w:rPr>
                <w:sz w:val="20"/>
                <w:szCs w:val="20"/>
                <w:color w:val="auto"/>
              </w:rPr>
            </w:pPr>
            <w:r>
              <w:rPr>
                <w:rFonts w:ascii="Times New Roman" w:cs="Times New Roman" w:eastAsia="Times New Roman" w:hAnsi="Times New Roman"/>
                <w:sz w:val="14"/>
                <w:szCs w:val="14"/>
                <w:color w:val="auto"/>
              </w:rPr>
              <w:t>Net change in unrealized appreciation (depreciation) reported within the net change in unrealized</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appreciation (depreciation) on investments in our Consolidated Statements of Operations</w:t>
            </w:r>
          </w:p>
        </w:tc>
        <w:tc>
          <w:tcPr>
            <w:tcW w:w="3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534,054</w:t>
            </w:r>
          </w:p>
        </w:tc>
        <w:tc>
          <w:tcPr>
            <w:tcW w:w="14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(3,974,340)</w:t>
            </w:r>
          </w:p>
        </w:tc>
        <w:tc>
          <w:tcPr>
            <w:tcW w:w="4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(3,440,286)</w:t>
            </w:r>
          </w:p>
        </w:tc>
        <w:tc>
          <w:tcPr>
            <w:tcW w:w="0" w:type="dxa"/>
            <w:vAlign w:val="bottom"/>
          </w:tcPr>
          <w:p>
            <w:pPr>
              <w:spacing w:after="0"/>
              <w:rPr>
                <w:sz w:val="1"/>
                <w:szCs w:val="1"/>
                <w:color w:val="auto"/>
              </w:rPr>
            </w:pPr>
          </w:p>
        </w:tc>
      </w:tr>
      <w:tr>
        <w:trPr>
          <w:trHeight w:val="171"/>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attributable to our Level 3 assets still held at the reporting date</w:t>
            </w:r>
          </w:p>
        </w:tc>
        <w:tc>
          <w:tcPr>
            <w:tcW w:w="36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table below shows a reconciliation of the beginning and ending balances for liabilities measured at fair value using significant unobservable inputs (Level 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Long-Term Credit Facility</w:t>
            </w:r>
          </w:p>
        </w:tc>
        <w:tc>
          <w:tcPr>
            <w:tcW w:w="340" w:type="dxa"/>
            <w:vAlign w:val="bottom"/>
          </w:tcPr>
          <w:p>
            <w:pPr>
              <w:spacing w:after="0"/>
              <w:rPr>
                <w:sz w:val="15"/>
                <w:szCs w:val="15"/>
                <w:color w:val="auto"/>
              </w:rPr>
            </w:pPr>
          </w:p>
        </w:tc>
        <w:tc>
          <w:tcPr>
            <w:tcW w:w="31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56"/>
        </w:trPr>
        <w:tc>
          <w:tcPr>
            <w:tcW w:w="7720" w:type="dxa"/>
            <w:vAlign w:val="bottom"/>
            <w:gridSpan w:val="2"/>
            <w:vMerge w:val="continue"/>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Beginning Balance (cost – $308,598,500 and $265,307,500,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299,047,275</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263,988,583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Net change in unrealized depreciation included in earnings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5,954,625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Borrowings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Repayments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(79,198,500)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(16,000,000)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Transfers in and/or out of Level 3</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Ending Balance (cost – $256,900,000 and $335,307,500, respectively)</w:t>
            </w: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253,303,400</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334,040,510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As of December 31, 2020, we did not have any outstanding non-U.S. dollar borrowings on the Credit Facility.</w:t>
      </w:r>
    </w:p>
    <w:p>
      <w:pPr>
        <w:spacing w:after="0" w:line="136" w:lineRule="exact"/>
        <w:rPr>
          <w:sz w:val="20"/>
          <w:szCs w:val="20"/>
          <w:color w:val="auto"/>
        </w:rPr>
      </w:pPr>
    </w:p>
    <w:p>
      <w:pPr>
        <w:ind w:right="120" w:firstLine="438"/>
        <w:spacing w:after="0" w:line="261" w:lineRule="auto"/>
        <w:rPr>
          <w:sz w:val="20"/>
          <w:szCs w:val="20"/>
          <w:color w:val="auto"/>
        </w:rPr>
      </w:pPr>
      <w:r>
        <w:rPr>
          <w:rFonts w:ascii="Times New Roman" w:cs="Times New Roman" w:eastAsia="Times New Roman" w:hAnsi="Times New Roman"/>
          <w:sz w:val="14"/>
          <w:szCs w:val="14"/>
          <w:color w:val="auto"/>
        </w:rPr>
        <w:t>As of September 30, 2020, we had outstanding non-U.S. dollar borrowings on the Credit Facility. Net change in fair value from foreign currency translation on outstanding borrowings is listed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 Borrowed</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 Cost</w:t>
            </w:r>
          </w:p>
        </w:tc>
        <w:tc>
          <w:tcPr>
            <w:tcW w:w="160" w:type="dxa"/>
            <w:vAlign w:val="bottom"/>
          </w:tcPr>
          <w:p>
            <w:pPr>
              <w:spacing w:after="0"/>
              <w:rPr>
                <w:sz w:val="15"/>
                <w:szCs w:val="15"/>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Reset Date</w:t>
            </w:r>
          </w:p>
        </w:tc>
        <w:tc>
          <w:tcPr>
            <w:tcW w:w="100" w:type="dxa"/>
            <w:vAlign w:val="bottom"/>
          </w:tcPr>
          <w:p>
            <w:pPr>
              <w:spacing w:after="0"/>
              <w:rPr>
                <w:sz w:val="15"/>
                <w:szCs w:val="15"/>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 in Fair Value</w:t>
            </w:r>
          </w:p>
        </w:tc>
      </w:tr>
      <w:tr>
        <w:trPr>
          <w:trHeight w:val="155"/>
        </w:trPr>
        <w:tc>
          <w:tcPr>
            <w:tcW w:w="256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Canadian Dollar</w:t>
            </w:r>
          </w:p>
        </w:tc>
        <w:tc>
          <w:tcPr>
            <w:tcW w:w="280" w:type="dxa"/>
            <w:vAlign w:val="bottom"/>
            <w:tcBorders>
              <w:top w:val="single" w:sz="8" w:color="CCECFF"/>
            </w:tcBorders>
            <w:shd w:val="clear" w:color="auto" w:fill="CCECFF"/>
          </w:tcPr>
          <w:p>
            <w:pPr>
              <w:ind w:left="180"/>
              <w:spacing w:after="0" w:line="155" w:lineRule="exact"/>
              <w:rPr>
                <w:sz w:val="20"/>
                <w:szCs w:val="20"/>
                <w:color w:val="auto"/>
              </w:rPr>
            </w:pPr>
            <w:r>
              <w:rPr>
                <w:rFonts w:ascii="Times New Roman" w:cs="Times New Roman" w:eastAsia="Times New Roman" w:hAnsi="Times New Roman"/>
                <w:sz w:val="14"/>
                <w:szCs w:val="14"/>
                <w:color w:val="auto"/>
                <w:w w:val="85"/>
              </w:rPr>
              <w:t>C</w:t>
            </w: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16,500,000</w:t>
            </w:r>
          </w:p>
        </w:tc>
        <w:tc>
          <w:tcPr>
            <w:tcW w:w="2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11,698,500</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12,352,610</w:t>
            </w:r>
          </w:p>
        </w:tc>
        <w:tc>
          <w:tcPr>
            <w:tcW w:w="280" w:type="dxa"/>
            <w:vAlign w:val="bottom"/>
            <w:tcBorders>
              <w:top w:val="single" w:sz="8" w:color="CCECFF"/>
            </w:tcBorders>
            <w:shd w:val="clear" w:color="auto" w:fill="CCECFF"/>
          </w:tcPr>
          <w:p>
            <w:pPr>
              <w:spacing w:after="0"/>
              <w:rPr>
                <w:sz w:val="13"/>
                <w:szCs w:val="13"/>
                <w:color w:val="auto"/>
              </w:rPr>
            </w:pPr>
          </w:p>
        </w:tc>
        <w:tc>
          <w:tcPr>
            <w:tcW w:w="150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October 1, 2020</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654,110</w:t>
            </w:r>
          </w:p>
        </w:tc>
        <w:tc>
          <w:tcPr>
            <w:tcW w:w="120" w:type="dxa"/>
            <w:vAlign w:val="bottom"/>
            <w:tcBorders>
              <w:top w:val="single" w:sz="8" w:color="CCECFF"/>
            </w:tcBorders>
            <w:shd w:val="clear" w:color="auto" w:fill="CCECFF"/>
          </w:tcPr>
          <w:p>
            <w:pPr>
              <w:spacing w:after="0"/>
              <w:rPr>
                <w:sz w:val="13"/>
                <w:szCs w:val="13"/>
                <w:color w:val="auto"/>
              </w:rPr>
            </w:pPr>
          </w:p>
        </w:tc>
      </w:tr>
    </w:tbl>
    <w:p>
      <w:pPr>
        <w:spacing w:after="0" w:line="126" w:lineRule="exact"/>
        <w:rPr>
          <w:sz w:val="20"/>
          <w:szCs w:val="20"/>
          <w:color w:val="auto"/>
        </w:rPr>
      </w:pPr>
    </w:p>
    <w:p>
      <w:pPr>
        <w:ind w:right="40" w:firstLine="438"/>
        <w:spacing w:after="0" w:line="228" w:lineRule="auto"/>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during the three months ended December 31, 2020 and 2019.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2031 Asset-Backed Debt.</w:t>
      </w:r>
    </w:p>
    <w:p>
      <w:pPr>
        <w:spacing w:after="0" w:line="113" w:lineRule="exact"/>
        <w:rPr>
          <w:sz w:val="20"/>
          <w:szCs w:val="20"/>
          <w:color w:val="auto"/>
        </w:rPr>
      </w:pPr>
    </w:p>
    <w:p>
      <w:pPr>
        <w:ind w:right="320" w:firstLine="438"/>
        <w:spacing w:after="0" w:line="236" w:lineRule="auto"/>
        <w:rPr>
          <w:sz w:val="20"/>
          <w:szCs w:val="20"/>
          <w:color w:val="auto"/>
        </w:rPr>
      </w:pPr>
      <w:r>
        <w:rPr>
          <w:rFonts w:ascii="Times New Roman" w:cs="Times New Roman" w:eastAsia="Times New Roman" w:hAnsi="Times New Roman"/>
          <w:sz w:val="14"/>
          <w:szCs w:val="14"/>
          <w:color w:val="auto"/>
        </w:rPr>
        <w:t>For the three months ended December 31, 2020 and 2019, the Credit Facility and the 2023 Notes had a net change in unrealized (appreciation) depreciation of ($4.0) million and $1.4 million, respectively. As of December 31, 2020 and September 30, 2020, the net unrealized depreciation on the Credit Facility and the 2023 Notes totaled $14.8 million and $18.8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TRANSACTIONS WITH AFFILIATED COMPANIES</w:t>
      </w:r>
    </w:p>
    <w:p>
      <w:pPr>
        <w:spacing w:after="0" w:line="138" w:lineRule="exact"/>
        <w:rPr>
          <w:sz w:val="20"/>
          <w:szCs w:val="20"/>
          <w:color w:val="auto"/>
        </w:rPr>
      </w:pPr>
    </w:p>
    <w:p>
      <w:pPr>
        <w:ind w:right="420" w:firstLine="438"/>
        <w:spacing w:after="0" w:line="241" w:lineRule="auto"/>
        <w:rPr>
          <w:sz w:val="20"/>
          <w:szCs w:val="20"/>
          <w:color w:val="auto"/>
        </w:rPr>
      </w:pPr>
      <w:r>
        <w:rPr>
          <w:rFonts w:ascii="Times New Roman" w:cs="Times New Roman" w:eastAsia="Times New Roman" w:hAnsi="Times New Roman"/>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2020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tcPr>
          <w:p>
            <w:pPr>
              <w:spacing w:after="0"/>
              <w:rPr>
                <w:sz w:val="13"/>
                <w:szCs w:val="13"/>
                <w:color w:val="auto"/>
              </w:rPr>
            </w:pPr>
          </w:p>
        </w:tc>
        <w:tc>
          <w:tcPr>
            <w:tcW w:w="940" w:type="dxa"/>
            <w:vAlign w:val="bottom"/>
            <w:gridSpan w:val="2"/>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Sale of /</w:t>
            </w:r>
          </w:p>
        </w:tc>
        <w:tc>
          <w:tcPr>
            <w:tcW w:w="80" w:type="dxa"/>
            <w:vAlign w:val="bottom"/>
          </w:tcPr>
          <w:p>
            <w:pPr>
              <w:spacing w:after="0"/>
              <w:rPr>
                <w:sz w:val="13"/>
                <w:szCs w:val="13"/>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Change in</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3"/>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Dividend/Other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Investment</w:t>
            </w:r>
          </w:p>
        </w:tc>
        <w:tc>
          <w:tcPr>
            <w:tcW w:w="10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 Advances</w:t>
            </w:r>
          </w:p>
        </w:tc>
        <w:tc>
          <w:tcPr>
            <w:tcW w:w="120" w:type="dxa"/>
            <w:vAlign w:val="bottom"/>
          </w:tcPr>
          <w:p>
            <w:pPr>
              <w:spacing w:after="0"/>
              <w:rPr>
                <w:sz w:val="12"/>
                <w:szCs w:val="12"/>
                <w:color w:val="auto"/>
              </w:rPr>
            </w:pPr>
          </w:p>
        </w:tc>
        <w:tc>
          <w:tcPr>
            <w:tcW w:w="940" w:type="dxa"/>
            <w:vAlign w:val="bottom"/>
            <w:gridSpan w:val="2"/>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8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0" w:type="dxa"/>
            <w:vAlign w:val="bottom"/>
          </w:tcPr>
          <w:p>
            <w:pPr>
              <w:spacing w:after="0"/>
              <w:rPr>
                <w:sz w:val="1"/>
                <w:szCs w:val="1"/>
                <w:color w:val="auto"/>
              </w:rPr>
            </w:pPr>
          </w:p>
        </w:tc>
      </w:tr>
      <w:tr>
        <w:trPr>
          <w:trHeight w:val="173"/>
        </w:trPr>
        <w:tc>
          <w:tcPr>
            <w:tcW w:w="2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 Affiliates</w:t>
            </w:r>
          </w:p>
        </w:tc>
        <w:tc>
          <w:tcPr>
            <w:tcW w:w="120" w:type="dxa"/>
            <w:vAlign w:val="bottom"/>
          </w:tcPr>
          <w:p>
            <w:pPr>
              <w:spacing w:after="0"/>
              <w:rPr>
                <w:sz w:val="15"/>
                <w:szCs w:val="15"/>
                <w:color w:val="auto"/>
              </w:rPr>
            </w:pPr>
          </w:p>
        </w:tc>
        <w:tc>
          <w:tcPr>
            <w:tcW w:w="940" w:type="dxa"/>
            <w:vAlign w:val="bottom"/>
            <w:gridSpan w:val="2"/>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Affiliates</w:t>
            </w:r>
          </w:p>
        </w:tc>
        <w:tc>
          <w:tcPr>
            <w:tcW w:w="8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40" w:type="dxa"/>
            <w:vAlign w:val="bottom"/>
          </w:tcPr>
          <w:p>
            <w:pPr>
              <w:spacing w:after="0"/>
              <w:rPr>
                <w:sz w:val="15"/>
                <w:szCs w:val="15"/>
                <w:color w:val="auto"/>
              </w:rPr>
            </w:pPr>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5"/>
                <w:szCs w:val="15"/>
                <w:color w:val="auto"/>
              </w:rPr>
            </w:pP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56"/>
        </w:trPr>
        <w:tc>
          <w:tcPr>
            <w:tcW w:w="200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Non-Controlled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Country Fresh Holding</w:t>
            </w:r>
          </w:p>
        </w:tc>
        <w:tc>
          <w:tcPr>
            <w:tcW w:w="100" w:type="dxa"/>
            <w:vAlign w:val="bottom"/>
            <w:vMerge w:val="restart"/>
          </w:tcPr>
          <w:p>
            <w:pPr>
              <w:spacing w:after="0"/>
              <w:rPr>
                <w:sz w:val="12"/>
                <w:szCs w:val="12"/>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11,086,834</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943,919</w:t>
            </w:r>
          </w:p>
        </w:tc>
        <w:tc>
          <w:tcPr>
            <w:tcW w:w="2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(4,674,611)</w:t>
            </w:r>
          </w:p>
        </w:tc>
        <w:tc>
          <w:tcPr>
            <w:tcW w:w="140" w:type="dxa"/>
            <w:vAlign w:val="bottom"/>
            <w:vMerge w:val="restart"/>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7,356,142</w:t>
            </w:r>
          </w:p>
        </w:tc>
        <w:tc>
          <w:tcPr>
            <w:tcW w:w="3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96,462</w:t>
            </w:r>
          </w:p>
        </w:tc>
        <w:tc>
          <w:tcPr>
            <w:tcW w:w="220" w:type="dxa"/>
            <w:vAlign w:val="bottom"/>
          </w:tcPr>
          <w:p>
            <w:pPr>
              <w:spacing w:after="0"/>
              <w:rPr>
                <w:sz w:val="12"/>
                <w:szCs w:val="12"/>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20,307</w:t>
            </w:r>
          </w:p>
        </w:tc>
        <w:tc>
          <w:tcPr>
            <w:tcW w:w="36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Company Inc.</w:t>
            </w:r>
          </w:p>
        </w:tc>
        <w:tc>
          <w:tcPr>
            <w:tcW w:w="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CECFF"/>
          </w:tcPr>
          <w:p>
            <w:pPr>
              <w:spacing w:after="0" w:line="153" w:lineRule="exact"/>
              <w:rPr>
                <w:sz w:val="20"/>
                <w:szCs w:val="20"/>
                <w:color w:val="auto"/>
              </w:rPr>
            </w:pPr>
            <w:r>
              <w:rPr>
                <w:rFonts w:ascii="Times New Roman" w:cs="Times New Roman" w:eastAsia="Times New Roman" w:hAnsi="Times New Roman"/>
                <w:sz w:val="14"/>
                <w:szCs w:val="14"/>
                <w:color w:val="auto"/>
              </w:rPr>
              <w:t>Total Non-Controlled</w:t>
            </w:r>
          </w:p>
        </w:tc>
        <w:tc>
          <w:tcPr>
            <w:tcW w:w="10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00" w:type="dxa"/>
            <w:vAlign w:val="bottom"/>
            <w:vMerge w:val="continue"/>
            <w:shd w:val="clear" w:color="auto" w:fill="CCECFF"/>
          </w:tcPr>
          <w:p>
            <w:pPr>
              <w:spacing w:after="0"/>
              <w:rPr>
                <w:sz w:val="11"/>
                <w:szCs w:val="11"/>
                <w:color w:val="auto"/>
              </w:rPr>
            </w:pPr>
          </w:p>
        </w:tc>
        <w:tc>
          <w:tcPr>
            <w:tcW w:w="100" w:type="dxa"/>
            <w:vAlign w:val="bottom"/>
            <w:vMerge w:val="restart"/>
            <w:shd w:val="clear" w:color="auto" w:fill="CCECFF"/>
          </w:tcPr>
          <w:p>
            <w:pPr>
              <w:spacing w:after="0"/>
              <w:rPr>
                <w:sz w:val="11"/>
                <w:szCs w:val="11"/>
                <w:color w:val="auto"/>
              </w:rPr>
            </w:pPr>
          </w:p>
        </w:tc>
        <w:tc>
          <w:tcPr>
            <w:tcW w:w="12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11,086,834</w:t>
            </w:r>
          </w:p>
        </w:tc>
        <w:tc>
          <w:tcPr>
            <w:tcW w:w="30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943,919</w:t>
            </w:r>
          </w:p>
        </w:tc>
        <w:tc>
          <w:tcPr>
            <w:tcW w:w="220" w:type="dxa"/>
            <w:vAlign w:val="bottom"/>
            <w:shd w:val="clear" w:color="auto" w:fill="CCECFF"/>
          </w:tcPr>
          <w:p>
            <w:pPr>
              <w:spacing w:after="0"/>
              <w:rPr>
                <w:sz w:val="11"/>
                <w:szCs w:val="11"/>
                <w:color w:val="auto"/>
              </w:rPr>
            </w:pPr>
          </w:p>
        </w:tc>
        <w:tc>
          <w:tcPr>
            <w:tcW w:w="1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CEC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(4,674,611)</w:t>
            </w:r>
          </w:p>
        </w:tc>
        <w:tc>
          <w:tcPr>
            <w:tcW w:w="140" w:type="dxa"/>
            <w:vAlign w:val="bottom"/>
            <w:vMerge w:val="restart"/>
            <w:shd w:val="clear" w:color="auto" w:fill="CCECFF"/>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7,356,142</w:t>
            </w:r>
          </w:p>
        </w:tc>
        <w:tc>
          <w:tcPr>
            <w:tcW w:w="380" w:type="dxa"/>
            <w:vAlign w:val="bottom"/>
            <w:gridSpan w:val="2"/>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96,462</w:t>
            </w:r>
          </w:p>
        </w:tc>
        <w:tc>
          <w:tcPr>
            <w:tcW w:w="220" w:type="dxa"/>
            <w:vAlign w:val="bottom"/>
            <w:shd w:val="clear" w:color="auto" w:fill="CCECFF"/>
          </w:tcPr>
          <w:p>
            <w:pPr>
              <w:spacing w:after="0"/>
              <w:rPr>
                <w:sz w:val="11"/>
                <w:szCs w:val="11"/>
                <w:color w:val="auto"/>
              </w:rPr>
            </w:pPr>
          </w:p>
        </w:tc>
        <w:tc>
          <w:tcPr>
            <w:tcW w:w="16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20,307</w:t>
            </w:r>
          </w:p>
        </w:tc>
        <w:tc>
          <w:tcPr>
            <w:tcW w:w="360" w:type="dxa"/>
            <w:vAlign w:val="bottom"/>
            <w:gridSpan w:val="2"/>
            <w:vMerge w:val="restart"/>
            <w:shd w:val="clear" w:color="auto" w:fill="CCEC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C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Affiliates</w:t>
            </w:r>
          </w:p>
        </w:tc>
        <w:tc>
          <w:tcPr>
            <w:tcW w:w="100" w:type="dxa"/>
            <w:vAlign w:val="bottom"/>
            <w:vMerge w:val="continue"/>
            <w:shd w:val="clear" w:color="auto" w:fill="CCECFF"/>
          </w:tcPr>
          <w:p>
            <w:pPr>
              <w:spacing w:after="0"/>
              <w:rPr>
                <w:sz w:val="14"/>
                <w:szCs w:val="14"/>
                <w:color w:val="auto"/>
              </w:rPr>
            </w:pPr>
          </w:p>
        </w:tc>
        <w:tc>
          <w:tcPr>
            <w:tcW w:w="120" w:type="dxa"/>
            <w:vAlign w:val="bottom"/>
            <w:vMerge w:val="continue"/>
            <w:shd w:val="clear" w:color="auto" w:fill="CCECFF"/>
          </w:tcPr>
          <w:p>
            <w:pPr>
              <w:spacing w:after="0"/>
              <w:rPr>
                <w:sz w:val="14"/>
                <w:szCs w:val="14"/>
                <w:color w:val="auto"/>
              </w:rPr>
            </w:pPr>
          </w:p>
        </w:tc>
        <w:tc>
          <w:tcPr>
            <w:tcW w:w="800" w:type="dxa"/>
            <w:vAlign w:val="bottom"/>
            <w:vMerge w:val="continue"/>
            <w:shd w:val="clear" w:color="auto" w:fill="CCECFF"/>
          </w:tcPr>
          <w:p>
            <w:pPr>
              <w:spacing w:after="0"/>
              <w:rPr>
                <w:sz w:val="14"/>
                <w:szCs w:val="14"/>
                <w:color w:val="auto"/>
              </w:rPr>
            </w:pPr>
          </w:p>
        </w:tc>
        <w:tc>
          <w:tcPr>
            <w:tcW w:w="300" w:type="dxa"/>
            <w:vAlign w:val="bottom"/>
            <w:gridSpan w:val="2"/>
            <w:vMerge w:val="continue"/>
            <w:shd w:val="clear" w:color="auto" w:fill="CCECFF"/>
          </w:tcPr>
          <w:p>
            <w:pPr>
              <w:spacing w:after="0"/>
              <w:rPr>
                <w:sz w:val="14"/>
                <w:szCs w:val="14"/>
                <w:color w:val="auto"/>
              </w:rPr>
            </w:pPr>
          </w:p>
        </w:tc>
        <w:tc>
          <w:tcPr>
            <w:tcW w:w="840" w:type="dxa"/>
            <w:vAlign w:val="bottom"/>
            <w:vMerge w:val="continue"/>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vMerge w:val="continue"/>
            <w:shd w:val="clear" w:color="auto" w:fill="CCECFF"/>
          </w:tcPr>
          <w:p>
            <w:pPr>
              <w:spacing w:after="0"/>
              <w:rPr>
                <w:sz w:val="14"/>
                <w:szCs w:val="14"/>
                <w:color w:val="auto"/>
              </w:rPr>
            </w:pPr>
          </w:p>
        </w:tc>
        <w:tc>
          <w:tcPr>
            <w:tcW w:w="940" w:type="dxa"/>
            <w:vAlign w:val="bottom"/>
            <w:gridSpan w:val="2"/>
            <w:vMerge w:val="continue"/>
            <w:shd w:val="clear" w:color="auto" w:fill="CCECFF"/>
          </w:tcPr>
          <w:p>
            <w:pPr>
              <w:spacing w:after="0"/>
              <w:rPr>
                <w:sz w:val="14"/>
                <w:szCs w:val="14"/>
                <w:color w:val="auto"/>
              </w:rPr>
            </w:pPr>
          </w:p>
        </w:tc>
        <w:tc>
          <w:tcPr>
            <w:tcW w:w="180" w:type="dxa"/>
            <w:vAlign w:val="bottom"/>
            <w:gridSpan w:val="2"/>
            <w:vMerge w:val="continue"/>
            <w:shd w:val="clear" w:color="auto" w:fill="CCECFF"/>
          </w:tcPr>
          <w:p>
            <w:pPr>
              <w:spacing w:after="0"/>
              <w:rPr>
                <w:sz w:val="14"/>
                <w:szCs w:val="14"/>
                <w:color w:val="auto"/>
              </w:rPr>
            </w:pPr>
          </w:p>
        </w:tc>
        <w:tc>
          <w:tcPr>
            <w:tcW w:w="1060" w:type="dxa"/>
            <w:vAlign w:val="bottom"/>
            <w:gridSpan w:val="2"/>
            <w:vMerge w:val="continue"/>
            <w:shd w:val="clear" w:color="auto" w:fill="CCECFF"/>
          </w:tcPr>
          <w:p>
            <w:pPr>
              <w:spacing w:after="0"/>
              <w:rPr>
                <w:sz w:val="14"/>
                <w:szCs w:val="14"/>
                <w:color w:val="auto"/>
              </w:rPr>
            </w:pPr>
          </w:p>
        </w:tc>
        <w:tc>
          <w:tcPr>
            <w:tcW w:w="140" w:type="dxa"/>
            <w:vAlign w:val="bottom"/>
            <w:vMerge w:val="continue"/>
            <w:shd w:val="clear" w:color="auto" w:fill="CCECFF"/>
          </w:tcPr>
          <w:p>
            <w:pPr>
              <w:spacing w:after="0"/>
              <w:rPr>
                <w:sz w:val="14"/>
                <w:szCs w:val="14"/>
                <w:color w:val="auto"/>
              </w:rPr>
            </w:pPr>
          </w:p>
        </w:tc>
        <w:tc>
          <w:tcPr>
            <w:tcW w:w="780" w:type="dxa"/>
            <w:vAlign w:val="bottom"/>
            <w:vMerge w:val="continue"/>
            <w:shd w:val="clear" w:color="auto" w:fill="CCECFF"/>
          </w:tcPr>
          <w:p>
            <w:pPr>
              <w:spacing w:after="0"/>
              <w:rPr>
                <w:sz w:val="14"/>
                <w:szCs w:val="14"/>
                <w:color w:val="auto"/>
              </w:rPr>
            </w:pPr>
          </w:p>
        </w:tc>
        <w:tc>
          <w:tcPr>
            <w:tcW w:w="380" w:type="dxa"/>
            <w:vAlign w:val="bottom"/>
            <w:gridSpan w:val="2"/>
            <w:vMerge w:val="continue"/>
            <w:shd w:val="clear" w:color="auto" w:fill="CCECFF"/>
          </w:tcPr>
          <w:p>
            <w:pPr>
              <w:spacing w:after="0"/>
              <w:rPr>
                <w:sz w:val="14"/>
                <w:szCs w:val="14"/>
                <w:color w:val="auto"/>
              </w:rPr>
            </w:pPr>
          </w:p>
        </w:tc>
        <w:tc>
          <w:tcPr>
            <w:tcW w:w="780" w:type="dxa"/>
            <w:vAlign w:val="bottom"/>
            <w:vMerge w:val="continue"/>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vMerge w:val="continue"/>
            <w:shd w:val="clear" w:color="auto" w:fill="CCECFF"/>
          </w:tcPr>
          <w:p>
            <w:pPr>
              <w:spacing w:after="0"/>
              <w:rPr>
                <w:sz w:val="14"/>
                <w:szCs w:val="14"/>
                <w:color w:val="auto"/>
              </w:rPr>
            </w:pPr>
          </w:p>
        </w:tc>
        <w:tc>
          <w:tcPr>
            <w:tcW w:w="820" w:type="dxa"/>
            <w:vAlign w:val="bottom"/>
            <w:vMerge w:val="continue"/>
            <w:shd w:val="clear" w:color="auto" w:fill="CCECFF"/>
          </w:tcPr>
          <w:p>
            <w:pPr>
              <w:spacing w:after="0"/>
              <w:rPr>
                <w:sz w:val="14"/>
                <w:szCs w:val="14"/>
                <w:color w:val="auto"/>
              </w:rPr>
            </w:pPr>
          </w:p>
        </w:tc>
        <w:tc>
          <w:tcPr>
            <w:tcW w:w="360" w:type="dxa"/>
            <w:vAlign w:val="bottom"/>
            <w:gridSpan w:val="2"/>
            <w:vMerge w:val="continue"/>
            <w:shd w:val="clear" w:color="auto" w:fill="CCECFF"/>
          </w:tcPr>
          <w:p>
            <w:pPr>
              <w:spacing w:after="0"/>
              <w:rPr>
                <w:sz w:val="14"/>
                <w:szCs w:val="14"/>
                <w:color w:val="auto"/>
              </w:rPr>
            </w:pPr>
          </w:p>
        </w:tc>
        <w:tc>
          <w:tcPr>
            <w:tcW w:w="920" w:type="dxa"/>
            <w:vAlign w:val="bottom"/>
            <w:gridSpan w:val="2"/>
            <w:vMerge w:val="continue"/>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b w:val="1"/>
                <w:bCs w:val="1"/>
                <w:color w:val="auto"/>
              </w:rPr>
              <w:t>Controlled Affiliates</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Marketplace Events, LLC </w:t>
            </w:r>
            <w:r>
              <w:rPr>
                <w:rFonts w:ascii="Times New Roman" w:cs="Times New Roman" w:eastAsia="Times New Roman" w:hAnsi="Times New Roman"/>
                <w:sz w:val="12"/>
                <w:szCs w:val="12"/>
                <w:b w:val="1"/>
                <w:bCs w:val="1"/>
                <w:color w:val="auto"/>
              </w:rPr>
              <w:t>(1)</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16,155,762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5,058,260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(1,052,048)</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2,415,646</w:t>
            </w:r>
          </w:p>
        </w:tc>
        <w:tc>
          <w:tcPr>
            <w:tcW w:w="220" w:type="dxa"/>
            <w:vAlign w:val="bottom"/>
          </w:tcPr>
          <w:p>
            <w:pPr>
              <w:spacing w:after="0"/>
              <w:rPr>
                <w:sz w:val="14"/>
                <w:szCs w:val="14"/>
                <w:color w:val="auto"/>
              </w:rPr>
            </w:pPr>
          </w:p>
        </w:tc>
        <w:tc>
          <w:tcPr>
            <w:tcW w:w="140" w:type="dxa"/>
            <w:vAlign w:val="bottom"/>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22,577,620</w:t>
            </w:r>
          </w:p>
        </w:tc>
        <w:tc>
          <w:tcPr>
            <w:tcW w:w="3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28,596</w:t>
            </w:r>
          </w:p>
        </w:tc>
        <w:tc>
          <w:tcPr>
            <w:tcW w:w="2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195,630</w:t>
            </w:r>
          </w:p>
        </w:tc>
        <w:tc>
          <w:tcPr>
            <w:tcW w:w="3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(1,052,048)</w:t>
            </w:r>
          </w:p>
        </w:tc>
        <w:tc>
          <w:tcPr>
            <w:tcW w:w="0" w:type="dxa"/>
            <w:vAlign w:val="bottom"/>
          </w:tcPr>
          <w:p>
            <w:pPr>
              <w:spacing w:after="0"/>
              <w:rPr>
                <w:sz w:val="1"/>
                <w:szCs w:val="1"/>
                <w:color w:val="auto"/>
              </w:rPr>
            </w:pPr>
          </w:p>
        </w:tc>
      </w:tr>
      <w:tr>
        <w:trPr>
          <w:trHeight w:val="162"/>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PennantPark Senior Secured</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4"/>
                <w:szCs w:val="14"/>
                <w:color w:val="auto"/>
              </w:rPr>
              <w:t>Loan Fund I LLC *</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165,289,324</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1,575,000.0</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2,511,731</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169,376,055</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2,634,280</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1,575,000</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20" w:type="dxa"/>
            <w:vAlign w:val="bottom"/>
            <w:gridSpan w:val="2"/>
            <w:shd w:val="clear" w:color="auto" w:fill="CCEC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CCECFF"/>
            </w:tcBorders>
          </w:tcPr>
          <w:p>
            <w:pPr>
              <w:spacing w:after="0" w:line="155" w:lineRule="exact"/>
              <w:rPr>
                <w:sz w:val="20"/>
                <w:szCs w:val="20"/>
                <w:color w:val="auto"/>
              </w:rPr>
            </w:pPr>
            <w:r>
              <w:rPr>
                <w:rFonts w:ascii="Times New Roman" w:cs="Times New Roman" w:eastAsia="Times New Roman" w:hAnsi="Times New Roman"/>
                <w:sz w:val="14"/>
                <w:szCs w:val="14"/>
                <w:color w:val="auto"/>
              </w:rPr>
              <w:t>Total Controlled Affiliates</w:t>
            </w:r>
          </w:p>
        </w:tc>
        <w:tc>
          <w:tcPr>
            <w:tcW w:w="100" w:type="dxa"/>
            <w:vAlign w:val="bottom"/>
            <w:tcBorders>
              <w:bottom w:val="single" w:sz="8" w:color="CCECFF"/>
            </w:tcBorders>
          </w:tcPr>
          <w:p>
            <w:pPr>
              <w:spacing w:after="0"/>
              <w:rPr>
                <w:sz w:val="17"/>
                <w:szCs w:val="17"/>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181,445,086</w:t>
            </w:r>
          </w:p>
        </w:tc>
        <w:tc>
          <w:tcPr>
            <w:tcW w:w="220" w:type="dxa"/>
            <w:vAlign w:val="bottom"/>
            <w:tcBorders>
              <w:bottom w:val="single" w:sz="8" w:color="CCEC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6,633,260</w:t>
            </w:r>
          </w:p>
        </w:tc>
        <w:tc>
          <w:tcPr>
            <w:tcW w:w="220" w:type="dxa"/>
            <w:vAlign w:val="bottom"/>
            <w:tcBorders>
              <w:bottom w:val="single" w:sz="8" w:color="CCEC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(1,052,048</w:t>
            </w:r>
          </w:p>
        </w:tc>
        <w:tc>
          <w:tcPr>
            <w:tcW w:w="120" w:type="dxa"/>
            <w:vAlign w:val="bottom"/>
            <w:tcBorders>
              <w:bottom w:val="single" w:sz="8" w:color="CCEC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C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4,927,377</w:t>
            </w:r>
          </w:p>
        </w:tc>
        <w:tc>
          <w:tcPr>
            <w:tcW w:w="220" w:type="dxa"/>
            <w:vAlign w:val="bottom"/>
            <w:tcBorders>
              <w:bottom w:val="single" w:sz="8" w:color="CCECFF"/>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191,953,675</w:t>
            </w:r>
          </w:p>
        </w:tc>
        <w:tc>
          <w:tcPr>
            <w:tcW w:w="220" w:type="dxa"/>
            <w:vAlign w:val="bottom"/>
            <w:tcBorders>
              <w:bottom w:val="single" w:sz="8" w:color="CCEC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2,662,876</w:t>
            </w:r>
          </w:p>
        </w:tc>
        <w:tc>
          <w:tcPr>
            <w:tcW w:w="220" w:type="dxa"/>
            <w:vAlign w:val="bottom"/>
            <w:tcBorders>
              <w:bottom w:val="single" w:sz="8" w:color="CCECFF"/>
            </w:tcBorders>
          </w:tcPr>
          <w:p>
            <w:pPr>
              <w:spacing w:after="0"/>
              <w:rPr>
                <w:sz w:val="17"/>
                <w:szCs w:val="17"/>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1,770,630</w:t>
            </w:r>
          </w:p>
        </w:tc>
        <w:tc>
          <w:tcPr>
            <w:tcW w:w="220" w:type="dxa"/>
            <w:vAlign w:val="bottom"/>
            <w:tcBorders>
              <w:bottom w:val="single" w:sz="8" w:color="CCECFF"/>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(1,052,048</w:t>
            </w:r>
          </w:p>
        </w:tc>
        <w:tc>
          <w:tcPr>
            <w:tcW w:w="100" w:type="dxa"/>
            <w:vAlign w:val="bottom"/>
            <w:tcBorders>
              <w:bottom w:val="single" w:sz="8" w:color="CCEC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18"/>
        </w:trPr>
        <w:tc>
          <w:tcPr>
            <w:tcW w:w="2000" w:type="dxa"/>
            <w:vAlign w:val="bottom"/>
            <w:shd w:val="clear" w:color="auto" w:fill="CCEC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Total Controlled and Non-</w:t>
            </w:r>
          </w:p>
        </w:tc>
        <w:tc>
          <w:tcPr>
            <w:tcW w:w="220" w:type="dxa"/>
            <w:vAlign w:val="bottom"/>
            <w:gridSpan w:val="2"/>
            <w:vMerge w:val="restart"/>
            <w:shd w:val="clear" w:color="auto" w:fill="CCEC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192,531,920</w:t>
            </w:r>
          </w:p>
        </w:tc>
        <w:tc>
          <w:tcPr>
            <w:tcW w:w="30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7,577,179</w:t>
            </w:r>
          </w:p>
        </w:tc>
        <w:tc>
          <w:tcPr>
            <w:tcW w:w="220" w:type="dxa"/>
            <w:vAlign w:val="bottom"/>
            <w:shd w:val="clear" w:color="auto" w:fill="CCECFF"/>
          </w:tcPr>
          <w:p>
            <w:pPr>
              <w:spacing w:after="0"/>
              <w:rPr>
                <w:sz w:val="10"/>
                <w:szCs w:val="10"/>
                <w:color w:val="auto"/>
              </w:rPr>
            </w:pPr>
          </w:p>
        </w:tc>
        <w:tc>
          <w:tcPr>
            <w:tcW w:w="1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CECFF"/>
          </w:tcPr>
          <w:p>
            <w:pPr>
              <w:jc w:val="right"/>
              <w:ind w:right="39"/>
              <w:spacing w:after="0"/>
              <w:rPr>
                <w:sz w:val="20"/>
                <w:szCs w:val="20"/>
                <w:color w:val="auto"/>
              </w:rPr>
            </w:pPr>
            <w:r>
              <w:rPr>
                <w:rFonts w:ascii="Times New Roman" w:cs="Times New Roman" w:eastAsia="Times New Roman" w:hAnsi="Times New Roman"/>
                <w:sz w:val="14"/>
                <w:szCs w:val="14"/>
                <w:color w:val="auto"/>
              </w:rPr>
              <w:t>(1,052,048)</w:t>
            </w:r>
          </w:p>
        </w:tc>
        <w:tc>
          <w:tcPr>
            <w:tcW w:w="180" w:type="dxa"/>
            <w:vAlign w:val="bottom"/>
            <w:gridSpan w:val="2"/>
            <w:vMerge w:val="restart"/>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252,766</w:t>
            </w:r>
          </w:p>
        </w:tc>
        <w:tc>
          <w:tcPr>
            <w:tcW w:w="220" w:type="dxa"/>
            <w:vAlign w:val="bottom"/>
            <w:shd w:val="clear" w:color="auto" w:fill="CCECFF"/>
          </w:tcPr>
          <w:p>
            <w:pPr>
              <w:spacing w:after="0"/>
              <w:rPr>
                <w:sz w:val="10"/>
                <w:szCs w:val="10"/>
                <w:color w:val="auto"/>
              </w:rPr>
            </w:pPr>
          </w:p>
        </w:tc>
        <w:tc>
          <w:tcPr>
            <w:tcW w:w="140" w:type="dxa"/>
            <w:vAlign w:val="bottom"/>
            <w:vMerge w:val="restart"/>
            <w:shd w:val="clear" w:color="auto" w:fill="CCECFF"/>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199,309,817</w:t>
            </w:r>
          </w:p>
        </w:tc>
        <w:tc>
          <w:tcPr>
            <w:tcW w:w="380" w:type="dxa"/>
            <w:vAlign w:val="bottom"/>
            <w:gridSpan w:val="2"/>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2,759,338</w:t>
            </w:r>
          </w:p>
        </w:tc>
        <w:tc>
          <w:tcPr>
            <w:tcW w:w="220" w:type="dxa"/>
            <w:vAlign w:val="bottom"/>
            <w:shd w:val="clear" w:color="auto" w:fill="CCECFF"/>
          </w:tcPr>
          <w:p>
            <w:pPr>
              <w:spacing w:after="0"/>
              <w:rPr>
                <w:sz w:val="10"/>
                <w:szCs w:val="10"/>
                <w:color w:val="auto"/>
              </w:rPr>
            </w:pPr>
          </w:p>
        </w:tc>
        <w:tc>
          <w:tcPr>
            <w:tcW w:w="16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1,790,937</w:t>
            </w:r>
          </w:p>
        </w:tc>
        <w:tc>
          <w:tcPr>
            <w:tcW w:w="360" w:type="dxa"/>
            <w:vAlign w:val="bottom"/>
            <w:gridSpan w:val="2"/>
            <w:vMerge w:val="restart"/>
            <w:shd w:val="clear" w:color="auto" w:fill="CCEC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CFF"/>
          </w:tcPr>
          <w:p>
            <w:pPr>
              <w:jc w:val="right"/>
              <w:ind w:right="19"/>
              <w:spacing w:after="0"/>
              <w:rPr>
                <w:sz w:val="20"/>
                <w:szCs w:val="20"/>
                <w:color w:val="auto"/>
              </w:rPr>
            </w:pPr>
            <w:r>
              <w:rPr>
                <w:rFonts w:ascii="Times New Roman" w:cs="Times New Roman" w:eastAsia="Times New Roman" w:hAnsi="Times New Roman"/>
                <w:sz w:val="14"/>
                <w:szCs w:val="14"/>
                <w:color w:val="auto"/>
              </w:rPr>
              <w:t>(1,052,048)</w:t>
            </w:r>
          </w:p>
        </w:tc>
        <w:tc>
          <w:tcPr>
            <w:tcW w:w="0" w:type="dxa"/>
            <w:vAlign w:val="bottom"/>
          </w:tcPr>
          <w:p>
            <w:pPr>
              <w:spacing w:after="0"/>
              <w:rPr>
                <w:sz w:val="1"/>
                <w:szCs w:val="1"/>
                <w:color w:val="auto"/>
              </w:rPr>
            </w:pPr>
          </w:p>
        </w:tc>
      </w:tr>
      <w:tr>
        <w:trPr>
          <w:trHeight w:val="173"/>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b w:val="1"/>
                <w:bCs w:val="1"/>
                <w:color w:val="auto"/>
              </w:rPr>
              <w:t>Controlled Affiliates</w:t>
            </w:r>
          </w:p>
        </w:tc>
        <w:tc>
          <w:tcPr>
            <w:tcW w:w="220" w:type="dxa"/>
            <w:vAlign w:val="bottom"/>
            <w:gridSpan w:val="2"/>
            <w:vMerge w:val="continue"/>
            <w:shd w:val="clear" w:color="auto" w:fill="CCECFF"/>
          </w:tcPr>
          <w:p>
            <w:pPr>
              <w:spacing w:after="0"/>
              <w:rPr>
                <w:sz w:val="15"/>
                <w:szCs w:val="15"/>
                <w:color w:val="auto"/>
              </w:rPr>
            </w:pPr>
          </w:p>
        </w:tc>
        <w:tc>
          <w:tcPr>
            <w:tcW w:w="800" w:type="dxa"/>
            <w:vAlign w:val="bottom"/>
            <w:vMerge w:val="continue"/>
            <w:shd w:val="clear" w:color="auto" w:fill="CCECFF"/>
          </w:tcPr>
          <w:p>
            <w:pPr>
              <w:spacing w:after="0"/>
              <w:rPr>
                <w:sz w:val="15"/>
                <w:szCs w:val="15"/>
                <w:color w:val="auto"/>
              </w:rPr>
            </w:pPr>
          </w:p>
        </w:tc>
        <w:tc>
          <w:tcPr>
            <w:tcW w:w="300" w:type="dxa"/>
            <w:vAlign w:val="bottom"/>
            <w:gridSpan w:val="2"/>
            <w:vMerge w:val="continue"/>
            <w:shd w:val="clear" w:color="auto" w:fill="CCECFF"/>
          </w:tcPr>
          <w:p>
            <w:pPr>
              <w:spacing w:after="0"/>
              <w:rPr>
                <w:sz w:val="15"/>
                <w:szCs w:val="15"/>
                <w:color w:val="auto"/>
              </w:rPr>
            </w:pPr>
          </w:p>
        </w:tc>
        <w:tc>
          <w:tcPr>
            <w:tcW w:w="840" w:type="dxa"/>
            <w:vAlign w:val="bottom"/>
            <w:vMerge w:val="continue"/>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vMerge w:val="continue"/>
            <w:shd w:val="clear" w:color="auto" w:fill="CCECFF"/>
          </w:tcPr>
          <w:p>
            <w:pPr>
              <w:spacing w:after="0"/>
              <w:rPr>
                <w:sz w:val="15"/>
                <w:szCs w:val="15"/>
                <w:color w:val="auto"/>
              </w:rPr>
            </w:pPr>
          </w:p>
        </w:tc>
        <w:tc>
          <w:tcPr>
            <w:tcW w:w="940" w:type="dxa"/>
            <w:vAlign w:val="bottom"/>
            <w:gridSpan w:val="2"/>
            <w:vMerge w:val="continue"/>
            <w:shd w:val="clear" w:color="auto" w:fill="CCECFF"/>
          </w:tcPr>
          <w:p>
            <w:pPr>
              <w:spacing w:after="0"/>
              <w:rPr>
                <w:sz w:val="15"/>
                <w:szCs w:val="15"/>
                <w:color w:val="auto"/>
              </w:rPr>
            </w:pPr>
          </w:p>
        </w:tc>
        <w:tc>
          <w:tcPr>
            <w:tcW w:w="180" w:type="dxa"/>
            <w:vAlign w:val="bottom"/>
            <w:gridSpan w:val="2"/>
            <w:vMerge w:val="continue"/>
            <w:shd w:val="clear" w:color="auto" w:fill="CCECFF"/>
          </w:tcPr>
          <w:p>
            <w:pPr>
              <w:spacing w:after="0"/>
              <w:rPr>
                <w:sz w:val="15"/>
                <w:szCs w:val="15"/>
                <w:color w:val="auto"/>
              </w:rPr>
            </w:pPr>
          </w:p>
        </w:tc>
        <w:tc>
          <w:tcPr>
            <w:tcW w:w="840" w:type="dxa"/>
            <w:vAlign w:val="bottom"/>
            <w:vMerge w:val="continue"/>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0" w:type="dxa"/>
            <w:vAlign w:val="bottom"/>
            <w:vMerge w:val="continue"/>
            <w:shd w:val="clear" w:color="auto" w:fill="CCECFF"/>
          </w:tcPr>
          <w:p>
            <w:pPr>
              <w:spacing w:after="0"/>
              <w:rPr>
                <w:sz w:val="15"/>
                <w:szCs w:val="15"/>
                <w:color w:val="auto"/>
              </w:rPr>
            </w:pPr>
          </w:p>
        </w:tc>
        <w:tc>
          <w:tcPr>
            <w:tcW w:w="780" w:type="dxa"/>
            <w:vAlign w:val="bottom"/>
            <w:vMerge w:val="continue"/>
            <w:shd w:val="clear" w:color="auto" w:fill="CCECFF"/>
          </w:tcPr>
          <w:p>
            <w:pPr>
              <w:spacing w:after="0"/>
              <w:rPr>
                <w:sz w:val="15"/>
                <w:szCs w:val="15"/>
                <w:color w:val="auto"/>
              </w:rPr>
            </w:pPr>
          </w:p>
        </w:tc>
        <w:tc>
          <w:tcPr>
            <w:tcW w:w="380" w:type="dxa"/>
            <w:vAlign w:val="bottom"/>
            <w:gridSpan w:val="2"/>
            <w:vMerge w:val="continue"/>
            <w:shd w:val="clear" w:color="auto" w:fill="CCECFF"/>
          </w:tcPr>
          <w:p>
            <w:pPr>
              <w:spacing w:after="0"/>
              <w:rPr>
                <w:sz w:val="15"/>
                <w:szCs w:val="15"/>
                <w:color w:val="auto"/>
              </w:rPr>
            </w:pPr>
          </w:p>
        </w:tc>
        <w:tc>
          <w:tcPr>
            <w:tcW w:w="780" w:type="dxa"/>
            <w:vAlign w:val="bottom"/>
            <w:vMerge w:val="continue"/>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60" w:type="dxa"/>
            <w:vAlign w:val="bottom"/>
            <w:vMerge w:val="continue"/>
            <w:shd w:val="clear" w:color="auto" w:fill="CCECFF"/>
          </w:tcPr>
          <w:p>
            <w:pPr>
              <w:spacing w:after="0"/>
              <w:rPr>
                <w:sz w:val="15"/>
                <w:szCs w:val="15"/>
                <w:color w:val="auto"/>
              </w:rPr>
            </w:pPr>
          </w:p>
        </w:tc>
        <w:tc>
          <w:tcPr>
            <w:tcW w:w="820" w:type="dxa"/>
            <w:vAlign w:val="bottom"/>
            <w:vMerge w:val="continue"/>
            <w:shd w:val="clear" w:color="auto" w:fill="CCECFF"/>
          </w:tcPr>
          <w:p>
            <w:pPr>
              <w:spacing w:after="0"/>
              <w:rPr>
                <w:sz w:val="15"/>
                <w:szCs w:val="15"/>
                <w:color w:val="auto"/>
              </w:rPr>
            </w:pPr>
          </w:p>
        </w:tc>
        <w:tc>
          <w:tcPr>
            <w:tcW w:w="360" w:type="dxa"/>
            <w:vAlign w:val="bottom"/>
            <w:gridSpan w:val="2"/>
            <w:vMerge w:val="continue"/>
            <w:shd w:val="clear" w:color="auto" w:fill="CCECFF"/>
          </w:tcPr>
          <w:p>
            <w:pPr>
              <w:spacing w:after="0"/>
              <w:rPr>
                <w:sz w:val="15"/>
                <w:szCs w:val="15"/>
                <w:color w:val="auto"/>
              </w:rPr>
            </w:pPr>
          </w:p>
        </w:tc>
        <w:tc>
          <w:tcPr>
            <w:tcW w:w="920" w:type="dxa"/>
            <w:vAlign w:val="bottom"/>
            <w:gridSpan w:val="2"/>
            <w:vMerge w:val="continue"/>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5" w:lineRule="exact"/>
        <w:rPr>
          <w:sz w:val="20"/>
          <w:szCs w:val="20"/>
          <w:color w:val="auto"/>
        </w:rPr>
      </w:pPr>
    </w:p>
    <w:p>
      <w:pPr>
        <w:ind w:left="380" w:hanging="372"/>
        <w:spacing w:after="0" w:line="243" w:lineRule="auto"/>
        <w:tabs>
          <w:tab w:leader="none" w:pos="380" w:val="left"/>
        </w:tabs>
        <w:numPr>
          <w:ilvl w:val="0"/>
          <w:numId w:val="1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We and Kemper are the members of PSSL, a joint venture formed as a Delaware limited liability company that is not consolidated by us for financial reporting purposes. The members of PSSL make investments in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21"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Marketplace Events, LLC became a controlled affiliate during the quarter ended December 31, 2020.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CHANGE IN NET ASSETS FROM OPERATIONS PER COMMON SHARE</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following information sets forth the computation of basic and diluted per share net increase in net assets resulting from operations:</w:t>
      </w:r>
    </w:p>
    <w:p>
      <w:pPr>
        <w:spacing w:after="0" w:line="21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7620</wp:posOffset>
            </wp:positionV>
            <wp:extent cx="23571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ind w:left="8120"/>
        <w:spacing w:after="0"/>
        <w:tabs>
          <w:tab w:leader="none" w:pos="1010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960" w:type="dxa"/>
            <w:vAlign w:val="bottom"/>
            <w:shd w:val="clear" w:color="auto" w:fill="CCECFF"/>
          </w:tcPr>
          <w:p>
            <w:pPr>
              <w:spacing w:after="0" w:line="20" w:lineRule="exact"/>
              <w:rPr>
                <w:sz w:val="1"/>
                <w:szCs w:val="1"/>
                <w:color w:val="auto"/>
              </w:rPr>
            </w:pPr>
          </w:p>
        </w:tc>
        <w:tc>
          <w:tcPr>
            <w:tcW w:w="1460" w:type="dxa"/>
            <w:vAlign w:val="bottom"/>
            <w:shd w:val="clear" w:color="auto" w:fill="CCEC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35"/>
        </w:trPr>
        <w:tc>
          <w:tcPr>
            <w:tcW w:w="596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14"/>
                <w:szCs w:val="14"/>
                <w:color w:val="auto"/>
              </w:rPr>
              <w:t>Numerator for net increase in net assets resulting from operations</w:t>
            </w:r>
          </w:p>
        </w:tc>
        <w:tc>
          <w:tcPr>
            <w:tcW w:w="2020" w:type="dxa"/>
            <w:vAlign w:val="bottom"/>
            <w:gridSpan w:val="2"/>
            <w:shd w:val="clear" w:color="auto" w:fill="CCECFF"/>
          </w:tcPr>
          <w:p>
            <w:pPr>
              <w:jc w:val="right"/>
              <w:ind w:right="48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4"/>
                <w:szCs w:val="14"/>
                <w:color w:val="auto"/>
              </w:rPr>
              <w:t>26,130,588</w:t>
            </w:r>
          </w:p>
        </w:tc>
        <w:tc>
          <w:tcPr>
            <w:tcW w:w="860" w:type="dxa"/>
            <w:vAlign w:val="bottom"/>
            <w:gridSpan w:val="2"/>
            <w:shd w:val="clear" w:color="auto" w:fill="CCECFF"/>
          </w:tcPr>
          <w:p>
            <w:pPr>
              <w:jc w:val="right"/>
              <w:ind w:right="50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4"/>
                <w:szCs w:val="14"/>
                <w:color w:val="auto"/>
              </w:rPr>
              <w:t>9,972,894</w:t>
            </w:r>
          </w:p>
        </w:tc>
        <w:tc>
          <w:tcPr>
            <w:tcW w:w="100" w:type="dxa"/>
            <w:vAlign w:val="bottom"/>
            <w:shd w:val="clear" w:color="auto" w:fill="CCECFF"/>
          </w:tcPr>
          <w:p>
            <w:pPr>
              <w:spacing w:after="0"/>
              <w:rPr>
                <w:sz w:val="11"/>
                <w:szCs w:val="11"/>
                <w:color w:val="auto"/>
              </w:rPr>
            </w:pPr>
          </w:p>
        </w:tc>
      </w:tr>
      <w:tr>
        <w:trPr>
          <w:trHeight w:val="162"/>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Denominator for basic and diluted weighted average shares</w:t>
            </w: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38,772,074</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38,772,074</w:t>
            </w:r>
          </w:p>
        </w:tc>
        <w:tc>
          <w:tcPr>
            <w:tcW w:w="100" w:type="dxa"/>
            <w:vAlign w:val="bottom"/>
          </w:tcPr>
          <w:p>
            <w:pPr>
              <w:spacing w:after="0"/>
              <w:rPr>
                <w:sz w:val="14"/>
                <w:szCs w:val="14"/>
                <w:color w:val="auto"/>
              </w:rPr>
            </w:pPr>
          </w:p>
        </w:tc>
      </w:tr>
      <w:tr>
        <w:trPr>
          <w:trHeight w:val="162"/>
        </w:trPr>
        <w:tc>
          <w:tcPr>
            <w:tcW w:w="59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Basic and diluted net increase in net assets per share resulting from operations</w:t>
            </w:r>
          </w:p>
        </w:tc>
        <w:tc>
          <w:tcPr>
            <w:tcW w:w="2020" w:type="dxa"/>
            <w:vAlign w:val="bottom"/>
            <w:gridSpan w:val="2"/>
            <w:shd w:val="clear" w:color="auto" w:fill="CCEC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860" w:type="dxa"/>
            <w:vAlign w:val="bottom"/>
            <w:gridSpan w:val="2"/>
            <w:shd w:val="clear" w:color="auto" w:fill="CCEC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00" w:type="dxa"/>
            <w:vAlign w:val="bottom"/>
            <w:shd w:val="clear" w:color="auto" w:fill="CCECFF"/>
          </w:tcPr>
          <w:p>
            <w:pPr>
              <w:spacing w:after="0"/>
              <w:rPr>
                <w:sz w:val="14"/>
                <w:szCs w:val="14"/>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CASH AND CASH EQUIVALENTS</w:t>
      </w:r>
    </w:p>
    <w:p>
      <w:pPr>
        <w:spacing w:after="0" w:line="138" w:lineRule="exact"/>
        <w:rPr>
          <w:sz w:val="20"/>
          <w:szCs w:val="20"/>
          <w:color w:val="auto"/>
        </w:rPr>
      </w:pPr>
    </w:p>
    <w:p>
      <w:pPr>
        <w:ind w:right="100" w:firstLine="438"/>
        <w:spacing w:after="0" w:line="228" w:lineRule="auto"/>
        <w:rPr>
          <w:sz w:val="20"/>
          <w:szCs w:val="20"/>
          <w:color w:val="auto"/>
        </w:rPr>
      </w:pPr>
      <w:r>
        <w:rPr>
          <w:rFonts w:ascii="Times New Roman" w:cs="Times New Roman" w:eastAsia="Times New Roman" w:hAnsi="Times New Roman"/>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2020 and September 30, 2020, cash and cash equivalents consisted of money market funds in the amounts of $28.5 million and $57.5 million at fair value, respectively.</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9. FINANCIAL HIGHLIGHTS</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77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Below are the financial highlights: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56"/>
        </w:trPr>
        <w:tc>
          <w:tcPr>
            <w:tcW w:w="770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0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Net asset value, beginning of period</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200" w:type="dxa"/>
            <w:vAlign w:val="bottom"/>
          </w:tcPr>
          <w:p>
            <w:pPr>
              <w:spacing w:after="0"/>
              <w:rPr>
                <w:sz w:val="14"/>
                <w:szCs w:val="14"/>
                <w:color w:val="auto"/>
              </w:rPr>
            </w:pPr>
          </w:p>
        </w:tc>
        <w:tc>
          <w:tcPr>
            <w:tcW w:w="440" w:type="dxa"/>
            <w:vAlign w:val="bottom"/>
            <w:gridSpan w:val="2"/>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Net investment income </w:t>
            </w:r>
            <w:r>
              <w:rPr>
                <w:rFonts w:ascii="Times New Roman" w:cs="Times New Roman" w:eastAsia="Times New Roman" w:hAnsi="Times New Roman"/>
                <w:sz w:val="12"/>
                <w:szCs w:val="12"/>
                <w:color w:val="auto"/>
              </w:rPr>
              <w:t>(1)</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change in realized and unrealized gain (loss) </w:t>
            </w:r>
            <w:r>
              <w:rPr>
                <w:rFonts w:ascii="Times New Roman" w:cs="Times New Roman" w:eastAsia="Times New Roman" w:hAnsi="Times New Roman"/>
                <w:sz w:val="12"/>
                <w:szCs w:val="12"/>
                <w:color w:val="auto"/>
              </w:rPr>
              <w:t>(1)</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56"/>
        </w:trPr>
        <w:tc>
          <w:tcPr>
            <w:tcW w:w="770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 xml:space="preserve">Net increase in net assets resulting from operations </w:t>
            </w:r>
            <w:r>
              <w:rPr>
                <w:rFonts w:ascii="Times New Roman" w:cs="Times New Roman" w:eastAsia="Times New Roman" w:hAnsi="Times New Roman"/>
                <w:sz w:val="12"/>
                <w:szCs w:val="12"/>
                <w:color w:val="auto"/>
              </w:rPr>
              <w:t>(1)</w:t>
            </w:r>
          </w:p>
        </w:tc>
        <w:tc>
          <w:tcPr>
            <w:tcW w:w="34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0.67</w:t>
            </w: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0.26</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Distributions to stockholders </w:t>
            </w:r>
            <w:r>
              <w:rPr>
                <w:rFonts w:ascii="Times New Roman" w:cs="Times New Roman" w:eastAsia="Times New Roman" w:hAnsi="Times New Roman"/>
                <w:sz w:val="12"/>
                <w:szCs w:val="12"/>
                <w:color w:val="auto"/>
              </w:rPr>
              <w:t>(1), (2)</w:t>
            </w:r>
          </w:p>
        </w:tc>
        <w:tc>
          <w:tcPr>
            <w:tcW w:w="3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(0.29)</w:t>
            </w:r>
          </w:p>
        </w:tc>
        <w:tc>
          <w:tcPr>
            <w:tcW w:w="0" w:type="dxa"/>
            <w:vAlign w:val="bottom"/>
          </w:tcPr>
          <w:p>
            <w:pPr>
              <w:spacing w:after="0"/>
              <w:rPr>
                <w:sz w:val="1"/>
                <w:szCs w:val="1"/>
                <w:color w:val="auto"/>
              </w:rPr>
            </w:pPr>
          </w:p>
        </w:tc>
      </w:tr>
      <w:tr>
        <w:trPr>
          <w:trHeight w:val="156"/>
        </w:trPr>
        <w:tc>
          <w:tcPr>
            <w:tcW w:w="770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Net asset value, end of period</w:t>
            </w:r>
          </w:p>
        </w:tc>
        <w:tc>
          <w:tcPr>
            <w:tcW w:w="340" w:type="dxa"/>
            <w:vAlign w:val="bottom"/>
            <w:tcBorders>
              <w:top w:val="single" w:sz="8" w:color="auto"/>
              <w:bottom w:val="single" w:sz="8" w:color="auto"/>
            </w:tcBorders>
            <w:shd w:val="clear" w:color="auto" w:fill="CCEC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12.70</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12.95</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 share market value, end of period</w:t>
            </w: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00" w:type="dxa"/>
            <w:vAlign w:val="bottom"/>
            <w:tcBorders>
              <w:bottom w:val="single" w:sz="8" w:color="CCECFF"/>
            </w:tcBorders>
            <w:vMerge w:val="continue"/>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10.53</w:t>
            </w:r>
          </w:p>
        </w:tc>
        <w:tc>
          <w:tcPr>
            <w:tcW w:w="200" w:type="dxa"/>
            <w:vAlign w:val="bottom"/>
            <w:tcBorders>
              <w:bottom w:val="single" w:sz="8" w:color="CCECFF"/>
            </w:tcBorders>
          </w:tcPr>
          <w:p>
            <w:pPr>
              <w:spacing w:after="0"/>
              <w:rPr>
                <w:sz w:val="15"/>
                <w:szCs w:val="15"/>
                <w:color w:val="auto"/>
              </w:rPr>
            </w:pPr>
          </w:p>
        </w:tc>
        <w:tc>
          <w:tcPr>
            <w:tcW w:w="100" w:type="dxa"/>
            <w:vAlign w:val="bottom"/>
            <w:tcBorders>
              <w:bottom w:val="single" w:sz="8" w:color="CCEC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12.18</w:t>
            </w:r>
          </w:p>
        </w:tc>
        <w:tc>
          <w:tcPr>
            <w:tcW w:w="14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00" w:type="dxa"/>
            <w:vAlign w:val="bottom"/>
            <w:shd w:val="clear" w:color="auto" w:fill="CCECFF"/>
          </w:tcPr>
          <w:p>
            <w:pPr>
              <w:spacing w:after="0" w:line="143" w:lineRule="exact"/>
              <w:rPr>
                <w:sz w:val="20"/>
                <w:szCs w:val="20"/>
                <w:color w:val="auto"/>
              </w:rPr>
            </w:pPr>
            <w:r>
              <w:rPr>
                <w:rFonts w:ascii="Times New Roman" w:cs="Times New Roman" w:eastAsia="Times New Roman" w:hAnsi="Times New Roman"/>
                <w:sz w:val="14"/>
                <w:szCs w:val="14"/>
                <w:color w:val="auto"/>
              </w:rPr>
              <w:t xml:space="preserve">Total return* </w:t>
            </w:r>
            <w:r>
              <w:rPr>
                <w:rFonts w:ascii="Times New Roman" w:cs="Times New Roman" w:eastAsia="Times New Roman" w:hAnsi="Times New Roman"/>
                <w:sz w:val="12"/>
                <w:szCs w:val="12"/>
                <w:color w:val="auto"/>
              </w:rPr>
              <w:t>(3)</w:t>
            </w:r>
          </w:p>
        </w:tc>
        <w:tc>
          <w:tcPr>
            <w:tcW w:w="340" w:type="dxa"/>
            <w:vAlign w:val="bottom"/>
            <w:shd w:val="clear" w:color="auto" w:fill="CCECFF"/>
          </w:tcPr>
          <w:p>
            <w:pPr>
              <w:spacing w:after="0"/>
              <w:rPr>
                <w:sz w:val="12"/>
                <w:szCs w:val="12"/>
                <w:color w:val="auto"/>
              </w:rPr>
            </w:pPr>
          </w:p>
        </w:tc>
        <w:tc>
          <w:tcPr>
            <w:tcW w:w="1420" w:type="dxa"/>
            <w:vAlign w:val="bottom"/>
            <w:gridSpan w:val="2"/>
            <w:shd w:val="clear" w:color="auto" w:fill="CCECFF"/>
          </w:tcPr>
          <w:p>
            <w:pPr>
              <w:jc w:val="right"/>
              <w:ind w:right="80"/>
              <w:spacing w:after="0" w:line="143" w:lineRule="exact"/>
              <w:rPr>
                <w:sz w:val="20"/>
                <w:szCs w:val="20"/>
                <w:color w:val="auto"/>
              </w:rPr>
            </w:pPr>
            <w:r>
              <w:rPr>
                <w:rFonts w:ascii="Times New Roman" w:cs="Times New Roman" w:eastAsia="Times New Roman" w:hAnsi="Times New Roman"/>
                <w:sz w:val="14"/>
                <w:szCs w:val="14"/>
                <w:color w:val="auto"/>
              </w:rPr>
              <w:t>28.51%</w:t>
            </w: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340" w:type="dxa"/>
            <w:vAlign w:val="bottom"/>
            <w:gridSpan w:val="2"/>
            <w:shd w:val="clear" w:color="auto" w:fill="CCECFF"/>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7.56%</w:t>
            </w:r>
          </w:p>
        </w:tc>
        <w:tc>
          <w:tcPr>
            <w:tcW w:w="0" w:type="dxa"/>
            <w:vAlign w:val="bottom"/>
          </w:tcPr>
          <w:p>
            <w:pPr>
              <w:spacing w:after="0"/>
              <w:rPr>
                <w:sz w:val="1"/>
                <w:szCs w:val="1"/>
                <w:color w:val="auto"/>
              </w:rPr>
            </w:pPr>
          </w:p>
        </w:tc>
      </w:tr>
      <w:tr>
        <w:trPr>
          <w:trHeight w:val="202"/>
        </w:trPr>
        <w:tc>
          <w:tcPr>
            <w:tcW w:w="770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38,772,074</w:t>
            </w:r>
          </w:p>
        </w:tc>
        <w:tc>
          <w:tcPr>
            <w:tcW w:w="20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38,772,074</w:t>
            </w:r>
          </w:p>
        </w:tc>
        <w:tc>
          <w:tcPr>
            <w:tcW w:w="14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00" w:type="dxa"/>
            <w:vAlign w:val="bottom"/>
            <w:shd w:val="clear" w:color="auto" w:fill="CCEC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Ratios** / Supplemental Data:</w:t>
            </w:r>
          </w:p>
        </w:tc>
        <w:tc>
          <w:tcPr>
            <w:tcW w:w="34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Ratio of operating expenses to average net assets </w:t>
            </w:r>
            <w:r>
              <w:rPr>
                <w:rFonts w:ascii="Times New Roman" w:cs="Times New Roman" w:eastAsia="Times New Roman" w:hAnsi="Times New Roman"/>
                <w:sz w:val="12"/>
                <w:szCs w:val="12"/>
                <w:color w:val="auto"/>
              </w:rPr>
              <w:t>(4)</w:t>
            </w:r>
          </w:p>
        </w:tc>
        <w:tc>
          <w:tcPr>
            <w:tcW w:w="34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62"/>
        </w:trPr>
        <w:tc>
          <w:tcPr>
            <w:tcW w:w="77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Ratio of debt related expenses to average net assets </w:t>
            </w:r>
            <w:r>
              <w:rPr>
                <w:rFonts w:ascii="Times New Roman" w:cs="Times New Roman" w:eastAsia="Times New Roman" w:hAnsi="Times New Roman"/>
                <w:sz w:val="12"/>
                <w:szCs w:val="12"/>
                <w:color w:val="auto"/>
              </w:rPr>
              <w:t>(5)</w:t>
            </w:r>
          </w:p>
        </w:tc>
        <w:tc>
          <w:tcPr>
            <w:tcW w:w="3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Ratio of total expenses to average net assets </w:t>
            </w:r>
            <w:r>
              <w:rPr>
                <w:rFonts w:ascii="Times New Roman" w:cs="Times New Roman" w:eastAsia="Times New Roman" w:hAnsi="Times New Roman"/>
                <w:sz w:val="12"/>
                <w:szCs w:val="12"/>
                <w:color w:val="auto"/>
              </w:rPr>
              <w:t>(5)</w:t>
            </w: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8.81%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10.79%</w:t>
            </w:r>
          </w:p>
        </w:tc>
        <w:tc>
          <w:tcPr>
            <w:tcW w:w="0" w:type="dxa"/>
            <w:vAlign w:val="bottom"/>
          </w:tcPr>
          <w:p>
            <w:pPr>
              <w:spacing w:after="0"/>
              <w:rPr>
                <w:sz w:val="1"/>
                <w:szCs w:val="1"/>
                <w:color w:val="auto"/>
              </w:rPr>
            </w:pPr>
          </w:p>
        </w:tc>
      </w:tr>
      <w:tr>
        <w:trPr>
          <w:trHeight w:val="162"/>
        </w:trPr>
        <w:tc>
          <w:tcPr>
            <w:tcW w:w="77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Ratio of net investment income to average net assets </w:t>
            </w:r>
            <w:r>
              <w:rPr>
                <w:rFonts w:ascii="Times New Roman" w:cs="Times New Roman" w:eastAsia="Times New Roman" w:hAnsi="Times New Roman"/>
                <w:sz w:val="12"/>
                <w:szCs w:val="12"/>
                <w:color w:val="auto"/>
              </w:rPr>
              <w:t>(5)</w:t>
            </w:r>
          </w:p>
        </w:tc>
        <w:tc>
          <w:tcPr>
            <w:tcW w:w="3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162"/>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Net assets at end of period</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492,350,939</w:t>
            </w:r>
          </w:p>
        </w:tc>
        <w:tc>
          <w:tcPr>
            <w:tcW w:w="200" w:type="dxa"/>
            <w:vAlign w:val="bottom"/>
          </w:tcPr>
          <w:p>
            <w:pPr>
              <w:spacing w:after="0"/>
              <w:rPr>
                <w:sz w:val="14"/>
                <w:szCs w:val="14"/>
                <w:color w:val="auto"/>
              </w:rPr>
            </w:pPr>
          </w:p>
        </w:tc>
        <w:tc>
          <w:tcPr>
            <w:tcW w:w="440" w:type="dxa"/>
            <w:vAlign w:val="bottom"/>
            <w:gridSpan w:val="2"/>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501,980,364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0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Weighted average debt outstanding</w:t>
            </w:r>
          </w:p>
        </w:tc>
        <w:tc>
          <w:tcPr>
            <w:tcW w:w="340" w:type="dxa"/>
            <w:vAlign w:val="bottom"/>
            <w:tcBorders>
              <w:top w:val="single" w:sz="8" w:color="auto"/>
              <w:bottom w:val="single" w:sz="8" w:color="auto"/>
            </w:tcBorders>
            <w:shd w:val="clear" w:color="auto" w:fill="CCEC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649,905,940</w:t>
            </w: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647,164,200</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 xml:space="preserve">Weighted average debt per share </w:t>
            </w:r>
            <w:r>
              <w:rPr>
                <w:rFonts w:ascii="Times New Roman" w:cs="Times New Roman" w:eastAsia="Times New Roman" w:hAnsi="Times New Roman"/>
                <w:sz w:val="12"/>
                <w:szCs w:val="12"/>
                <w:color w:val="auto"/>
              </w:rPr>
              <w:t>(1)</w:t>
            </w:r>
          </w:p>
        </w:tc>
        <w:tc>
          <w:tcPr>
            <w:tcW w:w="34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16.76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16.69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Asset coverage per unit </w:t>
            </w:r>
            <w:r>
              <w:rPr>
                <w:rFonts w:ascii="Times New Roman" w:cs="Times New Roman" w:eastAsia="Times New Roman" w:hAnsi="Times New Roman"/>
                <w:sz w:val="12"/>
                <w:szCs w:val="12"/>
                <w:color w:val="auto"/>
              </w:rPr>
              <w:t>(6)</w:t>
            </w:r>
          </w:p>
        </w:tc>
        <w:tc>
          <w:tcPr>
            <w:tcW w:w="340" w:type="dxa"/>
            <w:vAlign w:val="bottom"/>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200" w:type="dxa"/>
            <w:vAlign w:val="bottom"/>
            <w:shd w:val="clear" w:color="auto" w:fill="CCECFF"/>
          </w:tcPr>
          <w:p>
            <w:pPr>
              <w:spacing w:after="0"/>
              <w:rPr>
                <w:sz w:val="14"/>
                <w:szCs w:val="14"/>
                <w:color w:val="auto"/>
              </w:rPr>
            </w:pPr>
          </w:p>
        </w:tc>
        <w:tc>
          <w:tcPr>
            <w:tcW w:w="440" w:type="dxa"/>
            <w:vAlign w:val="bottom"/>
            <w:gridSpan w:val="2"/>
            <w:shd w:val="clear" w:color="auto" w:fill="CCECFF"/>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Portfolio turnover ratio</w:t>
            </w:r>
          </w:p>
        </w:tc>
        <w:tc>
          <w:tcPr>
            <w:tcW w:w="340" w:type="dxa"/>
            <w:vAlign w:val="bottom"/>
          </w:tcPr>
          <w:p>
            <w:pPr>
              <w:spacing w:after="0"/>
              <w:rPr>
                <w:sz w:val="16"/>
                <w:szCs w:val="16"/>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51.44%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Not annualized for periods less than one year.</w:t>
      </w:r>
    </w:p>
    <w:p>
      <w:pPr>
        <w:spacing w:after="0" w:line="7" w:lineRule="exact"/>
        <w:rPr>
          <w:rFonts w:ascii="Times New Roman" w:cs="Times New Roman" w:eastAsia="Times New Roman" w:hAnsi="Times New Roman"/>
          <w:sz w:val="11"/>
          <w:szCs w:val="11"/>
          <w:b w:val="1"/>
          <w:bCs w:val="1"/>
          <w:color w:val="auto"/>
        </w:rPr>
      </w:pPr>
    </w:p>
    <w:p>
      <w:pPr>
        <w:spacing w:after="0"/>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0"/>
          <w:szCs w:val="10"/>
          <w:color w:val="auto"/>
        </w:rPr>
        <w:t>Annualized for periods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8599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380" w:hanging="372"/>
        <w:spacing w:after="0" w:line="231" w:lineRule="auto"/>
        <w:tabs>
          <w:tab w:leader="none" w:pos="380" w:val="left"/>
        </w:tabs>
        <w:numPr>
          <w:ilvl w:val="0"/>
          <w:numId w:val="18"/>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Based on the weighted average shares outstanding for the respective periods.</w:t>
      </w:r>
    </w:p>
    <w:p>
      <w:pPr>
        <w:ind w:left="380" w:hanging="372"/>
        <w:spacing w:after="0" w:line="230" w:lineRule="auto"/>
        <w:tabs>
          <w:tab w:leader="none" w:pos="380" w:val="left"/>
        </w:tabs>
        <w:numPr>
          <w:ilvl w:val="0"/>
          <w:numId w:val="18"/>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The tax status of distributions is calculated in accordance with income tax regulations, which may differ from amounts determined under GAAP, and reported on Form 1099-DIV each calendar year.</w:t>
      </w:r>
    </w:p>
    <w:p>
      <w:pPr>
        <w:ind w:left="380" w:hanging="372"/>
        <w:spacing w:after="0" w:line="230" w:lineRule="auto"/>
        <w:tabs>
          <w:tab w:leader="none" w:pos="380" w:val="left"/>
        </w:tabs>
        <w:numPr>
          <w:ilvl w:val="0"/>
          <w:numId w:val="18"/>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Based on the change in market price per share during the periods and assumes distributions, if any, are reinvested.</w:t>
      </w:r>
    </w:p>
    <w:p>
      <w:pPr>
        <w:ind w:left="380" w:hanging="372"/>
        <w:spacing w:after="0" w:line="230" w:lineRule="auto"/>
        <w:tabs>
          <w:tab w:leader="none" w:pos="380" w:val="left"/>
        </w:tabs>
        <w:numPr>
          <w:ilvl w:val="0"/>
          <w:numId w:val="18"/>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Excludes debt related costs.</w:t>
      </w:r>
    </w:p>
    <w:p>
      <w:pPr>
        <w:ind w:left="380" w:hanging="372"/>
        <w:spacing w:after="0" w:line="230" w:lineRule="auto"/>
        <w:tabs>
          <w:tab w:leader="none" w:pos="380" w:val="left"/>
        </w:tabs>
        <w:numPr>
          <w:ilvl w:val="0"/>
          <w:numId w:val="18"/>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Includes interest and expenses on debt (annualized) as well as Credit Facility amendment and debt issuance costs, if any, (not annualized).</w:t>
      </w:r>
    </w:p>
    <w:p>
      <w:pPr>
        <w:ind w:left="380" w:right="380" w:hanging="372"/>
        <w:spacing w:after="0" w:line="236" w:lineRule="auto"/>
        <w:tabs>
          <w:tab w:leader="none" w:pos="380" w:val="left"/>
        </w:tabs>
        <w:numPr>
          <w:ilvl w:val="0"/>
          <w:numId w:val="18"/>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DEBT</w:t>
      </w:r>
    </w:p>
    <w:p>
      <w:pPr>
        <w:spacing w:after="0" w:line="138" w:lineRule="exact"/>
        <w:rPr>
          <w:sz w:val="20"/>
          <w:szCs w:val="20"/>
          <w:color w:val="auto"/>
        </w:rPr>
      </w:pPr>
    </w:p>
    <w:p>
      <w:pPr>
        <w:jc w:val="both"/>
        <w:ind w:right="20" w:firstLine="438"/>
        <w:spacing w:after="0" w:line="241" w:lineRule="auto"/>
        <w:rPr>
          <w:sz w:val="20"/>
          <w:szCs w:val="20"/>
          <w:color w:val="auto"/>
        </w:rPr>
      </w:pPr>
      <w:r>
        <w:rPr>
          <w:rFonts w:ascii="Times New Roman" w:cs="Times New Roman" w:eastAsia="Times New Roman" w:hAnsi="Times New Roman"/>
          <w:sz w:val="14"/>
          <w:szCs w:val="14"/>
          <w:color w:val="auto"/>
        </w:rPr>
        <w:t>The annualized weighted average cost of debt for the three months ended December 31, 2020 and 2019, inclusive of the fee on the undrawn commitment on the Credit Facility, was 3.3% and 4.5%, respectively. As of December 31, 2020, in accordance with the 1940 Act, with certain limited exceptions, we are only allowed to borrow amounts such that we are in compliance with a 150% asset coverage ratio requirement after such borrowing.</w:t>
      </w:r>
    </w:p>
    <w:p>
      <w:pPr>
        <w:spacing w:after="0" w:line="109" w:lineRule="exact"/>
        <w:rPr>
          <w:sz w:val="20"/>
          <w:szCs w:val="20"/>
          <w:color w:val="auto"/>
        </w:rPr>
      </w:pPr>
    </w:p>
    <w:p>
      <w:pPr>
        <w:ind w:right="120" w:firstLine="438"/>
        <w:spacing w:after="0" w:line="236" w:lineRule="auto"/>
        <w:rPr>
          <w:sz w:val="20"/>
          <w:szCs w:val="20"/>
          <w:color w:val="auto"/>
        </w:rPr>
      </w:pPr>
      <w:r>
        <w:rPr>
          <w:rFonts w:ascii="Times New Roman" w:cs="Times New Roman" w:eastAsia="Times New Roman" w:hAnsi="Times New Roman"/>
          <w:sz w:val="14"/>
          <w:szCs w:val="14"/>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December 31, 2020 and September 30, 2020, our asset coverage ratio, as computed in accordance with the 1940 Act, was 179% and 168%, respectively.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Facility</w:t>
      </w:r>
    </w:p>
    <w:p>
      <w:pPr>
        <w:spacing w:after="0" w:line="140" w:lineRule="exact"/>
        <w:rPr>
          <w:sz w:val="20"/>
          <w:szCs w:val="20"/>
          <w:color w:val="auto"/>
        </w:rPr>
      </w:pPr>
    </w:p>
    <w:p>
      <w:pPr>
        <w:ind w:right="20" w:firstLine="438"/>
        <w:spacing w:after="0" w:line="231" w:lineRule="auto"/>
        <w:rPr>
          <w:sz w:val="20"/>
          <w:szCs w:val="20"/>
          <w:color w:val="auto"/>
        </w:rPr>
      </w:pPr>
      <w:r>
        <w:rPr>
          <w:rFonts w:ascii="Times New Roman" w:cs="Times New Roman" w:eastAsia="Times New Roman" w:hAnsi="Times New Roman"/>
          <w:sz w:val="14"/>
          <w:szCs w:val="14"/>
          <w:color w:val="auto"/>
        </w:rPr>
        <w:t>Funding I’s multi-currency Credit Facility with affiliates of Truist Bank (formerly SunTrust Bank), or the Lenders, was $520 million as of December 31, 2020, subject to satisfaction of certain conditions and regulatory restrictions that the 1940 Act imposes on us as a BDC, has an interest rate spread above LIBOR (or an alternative risk-free floating interest rate index) of 200 basis points, a maturity date of October 2023 and a revolving period that ends in October 2021. As of December 31, 2020 and September 30, 2020, Funding I borrowed $256.9 million and $308.6 million under the Credit Facility, respectively. The Credit Facility had a weighted average interest rate of 2.2% and 2.2%, exclusive of the fee on undrawn commitments as of December 31, 2020 and September 30, 2020, respectively. As of December 31, 2020 and September 30, 2020, we had $263.1 million and $211.4 million of unused borrowing capacity under the Credit Facility, respectively, subject to leverage and borrowing base restrictions.</w:t>
      </w:r>
    </w:p>
    <w:p>
      <w:pPr>
        <w:spacing w:after="0" w:line="110"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During the revolving period, the Credit Facility bears interest at LIBOR (or an alternative risk-free floating interest rate index) plus 200 basis points and, after the revolving period, the rate sets to LIBOR (or an alternative risk-free floating interest rate index)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9" w:lineRule="exact"/>
        <w:rPr>
          <w:sz w:val="20"/>
          <w:szCs w:val="20"/>
          <w:color w:val="auto"/>
        </w:rPr>
      </w:pPr>
    </w:p>
    <w:p>
      <w:pPr>
        <w:ind w:right="40" w:firstLine="438"/>
        <w:spacing w:after="0" w:line="236" w:lineRule="auto"/>
        <w:rPr>
          <w:sz w:val="20"/>
          <w:szCs w:val="20"/>
          <w:color w:val="auto"/>
        </w:rPr>
      </w:pPr>
      <w:r>
        <w:rPr>
          <w:rFonts w:ascii="Times New Roman" w:cs="Times New Roman" w:eastAsia="Times New Roman" w:hAnsi="Times New Roman"/>
          <w:sz w:val="14"/>
          <w:szCs w:val="14"/>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December 31, 2020, we were in compliance with the covenants relating to the Credit Facility.</w:t>
      </w:r>
    </w:p>
    <w:p>
      <w:pPr>
        <w:spacing w:after="0" w:line="109" w:lineRule="exact"/>
        <w:rPr>
          <w:sz w:val="20"/>
          <w:szCs w:val="20"/>
          <w:color w:val="auto"/>
        </w:rPr>
      </w:pPr>
    </w:p>
    <w:p>
      <w:pPr>
        <w:ind w:right="360" w:firstLine="438"/>
        <w:spacing w:after="0" w:line="261" w:lineRule="auto"/>
        <w:rPr>
          <w:sz w:val="20"/>
          <w:szCs w:val="20"/>
          <w:color w:val="auto"/>
        </w:rPr>
      </w:pPr>
      <w:r>
        <w:rPr>
          <w:rFonts w:ascii="Times New Roman" w:cs="Times New Roman" w:eastAsia="Times New Roman" w:hAnsi="Times New Roman"/>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95" w:lineRule="exact"/>
        <w:rPr>
          <w:sz w:val="20"/>
          <w:szCs w:val="20"/>
          <w:color w:val="auto"/>
        </w:rPr>
      </w:pPr>
    </w:p>
    <w:p>
      <w:pPr>
        <w:ind w:right="180" w:firstLine="438"/>
        <w:spacing w:after="0" w:line="241" w:lineRule="auto"/>
        <w:rPr>
          <w:sz w:val="20"/>
          <w:szCs w:val="20"/>
          <w:color w:val="auto"/>
        </w:rPr>
      </w:pPr>
      <w:r>
        <w:rPr>
          <w:rFonts w:ascii="Times New Roman" w:cs="Times New Roman" w:eastAsia="Times New Roman" w:hAnsi="Times New Roman"/>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We cannot assure you that</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ind w:right="-19"/>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6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there will be sufficient funds available to make any distributions to us or that such distributions will meet our expectations from Funding I. The Investment Adviser has irrevocably directed that any management fee owed with respect to such services is to be paid to us so long as the Investment Adviser remains the collateral manager.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Notes</w:t>
      </w:r>
    </w:p>
    <w:p>
      <w:pPr>
        <w:spacing w:after="0" w:line="140" w:lineRule="exact"/>
        <w:rPr>
          <w:sz w:val="20"/>
          <w:szCs w:val="20"/>
          <w:color w:val="auto"/>
        </w:rPr>
      </w:pPr>
    </w:p>
    <w:p>
      <w:pPr>
        <w:ind w:right="60" w:firstLine="438"/>
        <w:spacing w:after="0" w:line="261" w:lineRule="auto"/>
        <w:rPr>
          <w:sz w:val="20"/>
          <w:szCs w:val="20"/>
          <w:color w:val="auto"/>
        </w:rPr>
      </w:pPr>
      <w:r>
        <w:rPr>
          <w:rFonts w:ascii="Times New Roman" w:cs="Times New Roman" w:eastAsia="Times New Roman" w:hAnsi="Times New Roman"/>
          <w:sz w:val="14"/>
          <w:szCs w:val="14"/>
          <w:color w:val="auto"/>
        </w:rPr>
        <w:t>In November 2017, we issued $138.6 million of our 2023 Notes pursuant to a deed of trust between the Company and Mishmeret Trust Company, Ltd., as trustee, of which $117.8 million and $138.6 million was outstanding as of December 31, 2020 and September 30, 2020, respectively.</w:t>
      </w:r>
    </w:p>
    <w:p>
      <w:pPr>
        <w:spacing w:after="0" w:line="95" w:lineRule="exact"/>
        <w:rPr>
          <w:sz w:val="20"/>
          <w:szCs w:val="20"/>
          <w:color w:val="auto"/>
        </w:rPr>
      </w:pPr>
    </w:p>
    <w:p>
      <w:pPr>
        <w:jc w:val="both"/>
        <w:ind w:right="260" w:firstLine="438"/>
        <w:spacing w:after="0" w:line="241" w:lineRule="auto"/>
        <w:rPr>
          <w:sz w:val="20"/>
          <w:szCs w:val="20"/>
          <w:color w:val="auto"/>
        </w:rPr>
      </w:pPr>
      <w:r>
        <w:rPr>
          <w:rFonts w:ascii="Times New Roman" w:cs="Times New Roman" w:eastAsia="Times New Roman" w:hAnsi="Times New Roman"/>
          <w:sz w:val="14"/>
          <w:szCs w:val="14"/>
          <w:color w:val="auto"/>
        </w:rPr>
        <w:t>The 2023 Notes pay interest at a rate of 4.3% per year. Interest on the 2023 Notes is payable semi-annually in arrears on June 15 and December 15 of each year, commencing June 15, 2018. The principal on the 2023 Notes is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9" w:lineRule="exact"/>
        <w:rPr>
          <w:sz w:val="20"/>
          <w:szCs w:val="20"/>
          <w:color w:val="auto"/>
        </w:rPr>
      </w:pPr>
    </w:p>
    <w:p>
      <w:pPr>
        <w:ind w:right="100" w:firstLine="438"/>
        <w:spacing w:after="0" w:line="236" w:lineRule="auto"/>
        <w:rPr>
          <w:sz w:val="20"/>
          <w:szCs w:val="20"/>
          <w:color w:val="auto"/>
        </w:rPr>
      </w:pPr>
      <w:r>
        <w:rPr>
          <w:rFonts w:ascii="Times New Roman" w:cs="Times New Roman" w:eastAsia="Times New Roman" w:hAnsi="Times New Roman"/>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the post-effective amendment to our registration statement filed on December 13, 2017 for more information. The 2023 Notes are rated ilA- by S&amp;P Global Ratings Maalot Ltd. and are listed on the TASE. In connection with this offering, we have dual listed our common stock on the TASE.</w:t>
      </w:r>
    </w:p>
    <w:p>
      <w:pPr>
        <w:spacing w:after="0" w:line="109" w:lineRule="exact"/>
        <w:rPr>
          <w:sz w:val="20"/>
          <w:szCs w:val="20"/>
          <w:color w:val="auto"/>
        </w:rPr>
      </w:pPr>
    </w:p>
    <w:p>
      <w:pPr>
        <w:ind w:right="240" w:firstLine="438"/>
        <w:spacing w:after="0" w:line="261" w:lineRule="auto"/>
        <w:rPr>
          <w:sz w:val="20"/>
          <w:szCs w:val="20"/>
          <w:color w:val="auto"/>
        </w:rPr>
      </w:pPr>
      <w:r>
        <w:rPr>
          <w:rFonts w:ascii="Times New Roman" w:cs="Times New Roman" w:eastAsia="Times New Roman" w:hAnsi="Times New Roman"/>
          <w:sz w:val="14"/>
          <w:szCs w:val="14"/>
          <w:color w:val="auto"/>
        </w:rPr>
        <w:t>The 2023 Notes have not been and will not be registered under the Securities Act of 1933, as amended, or the Securities Act, and may not be offered or sold in the United States absent registration under the Securities Act or in transactions exempt from, or not subject to, such registration requirements.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2031 Asset-Backed Debt</w:t>
      </w:r>
    </w:p>
    <w:p>
      <w:pPr>
        <w:spacing w:after="0" w:line="140" w:lineRule="exact"/>
        <w:rPr>
          <w:sz w:val="20"/>
          <w:szCs w:val="20"/>
          <w:color w:val="auto"/>
        </w:rPr>
      </w:pPr>
    </w:p>
    <w:p>
      <w:pPr>
        <w:ind w:right="120" w:firstLine="438"/>
        <w:spacing w:after="0" w:line="157" w:lineRule="exact"/>
        <w:rPr>
          <w:sz w:val="20"/>
          <w:szCs w:val="20"/>
          <w:color w:val="auto"/>
        </w:rPr>
      </w:pPr>
      <w:r>
        <w:rPr>
          <w:rFonts w:ascii="Times New Roman" w:cs="Times New Roman" w:eastAsia="Times New Roman" w:hAnsi="Times New Roman"/>
          <w:sz w:val="14"/>
          <w:szCs w:val="14"/>
          <w:color w:val="auto"/>
        </w:rPr>
        <w:t>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Notes due 2031, which bear interest at the three-month LIBOR plus 1.80%, (ii) $15.0 million Class A-2 Senior Secured Fixed Rate Notes due 2031, which bear interest at 3.66%, (iii) $14.0 million Class B-1 Senior Secured Floating Rate Notes due 2031, which bear interest at the three-month LIBOR plus 2.90%, (iv) $16.0 million Class B-2 Senior Secured Fixed Rate Notes due 2031, which bear interest at 4.266%, (v) $19.0 million Class C</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Secured Deferrable Floating Rate Notes due 2031, which bear interest at the three-month LIBOR plus 4.00%, (vi) $8.0 million Class C-2 Secured Deferrable Fixed Rate Notes due 2031, which bear interest at 5.379%, and (vii) $18.0 million Class D Secured Deferrable Floating Rate Notes due 2031, which bear interest at the three-month LIBOR plus 4.75% and (B) the borrowing of $77.5 million Class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Senior Secured Floating Rate Loans due 2031, which bear interest at the three-month LIBOR plus 1.80%,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ends on October 15, 2023 and the 2031 Asset-Backed Debt is scheduled to mature on October 15, 2031.</w:t>
      </w:r>
    </w:p>
    <w:p>
      <w:pPr>
        <w:spacing w:after="0" w:line="109"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109" w:lineRule="exact"/>
        <w:rPr>
          <w:sz w:val="20"/>
          <w:szCs w:val="20"/>
          <w:color w:val="auto"/>
        </w:rPr>
      </w:pPr>
    </w:p>
    <w:p>
      <w:pPr>
        <w:ind w:right="100" w:firstLine="438"/>
        <w:spacing w:after="0" w:line="236" w:lineRule="auto"/>
        <w:rPr>
          <w:sz w:val="20"/>
          <w:szCs w:val="20"/>
          <w:color w:val="auto"/>
        </w:rPr>
      </w:pPr>
      <w:r>
        <w:rPr>
          <w:rFonts w:ascii="Times New Roman" w:cs="Times New Roman" w:eastAsia="Times New Roman" w:hAnsi="Times New Roman"/>
          <w:sz w:val="14"/>
          <w:szCs w:val="14"/>
          <w:color w:val="auto"/>
        </w:rPr>
        <w:t>The 2031 Asset-Backed Debt is included in the Consolidated Statement of Assets and Liabilities as debt of the Company and the Class D Secured Deferrable Floating Rate Notes and the Preferred Shares of the Securitization Issuer were eliminated in consolidation. As of both December 31, 2020 and September 30, 2020, the Company had $228.0 million of 2031 Asset-Backed Debt outstanding with a weighted average interest rate of 2.7%. As of December 31, 2020 and September 30, 2020, the unamortized fees on the 2031 Asset-Backed Debt were $3.0 million and $3.1, respectively.</w:t>
      </w:r>
    </w:p>
    <w:p>
      <w:pPr>
        <w:spacing w:after="0" w:line="109" w:lineRule="exact"/>
        <w:rPr>
          <w:sz w:val="20"/>
          <w:szCs w:val="20"/>
          <w:color w:val="auto"/>
        </w:rPr>
      </w:pPr>
    </w:p>
    <w:p>
      <w:pPr>
        <w:ind w:right="400" w:firstLine="438"/>
        <w:spacing w:after="0" w:line="261" w:lineRule="auto"/>
        <w:rPr>
          <w:sz w:val="20"/>
          <w:szCs w:val="20"/>
          <w:color w:val="auto"/>
        </w:rPr>
      </w:pPr>
      <w:r>
        <w:rPr>
          <w:rFonts w:ascii="Times New Roman" w:cs="Times New Roman" w:eastAsia="Times New Roman" w:hAnsi="Times New Roman"/>
          <w:sz w:val="14"/>
          <w:szCs w:val="14"/>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COMMITMENTS AND CONTINGENCIES</w:t>
      </w:r>
    </w:p>
    <w:p>
      <w:pPr>
        <w:spacing w:after="0" w:line="138" w:lineRule="exact"/>
        <w:rPr>
          <w:sz w:val="20"/>
          <w:szCs w:val="20"/>
          <w:color w:val="auto"/>
        </w:rPr>
      </w:pPr>
    </w:p>
    <w:p>
      <w:pPr>
        <w:ind w:right="80" w:firstLine="438"/>
        <w:spacing w:after="0"/>
        <w:rPr>
          <w:sz w:val="20"/>
          <w:szCs w:val="20"/>
          <w:color w:val="auto"/>
        </w:rPr>
      </w:pPr>
      <w:r>
        <w:rPr>
          <w:rFonts w:ascii="Times New Roman" w:cs="Times New Roman" w:eastAsia="Times New Roman" w:hAnsi="Times New Roman"/>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December 31, 2020 and September 30, 2020, we had $93.0 million and $73.3 million, respectively, in commitments to fund investments. Additionally, as described in Note 4, the Company had unfunded commitments of up to $20.6 million and $22.1 million to PSSL as of December 31, 2020 and September 30, 2020, respectively, that may be contributed primarily for the purpose of funding new investments approved by the PSSL board of directors or investment committee.</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ind w:right="-19"/>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SUBSEQUENT EVENTS</w:t>
      </w:r>
    </w:p>
    <w:p>
      <w:pPr>
        <w:spacing w:after="0" w:line="138" w:lineRule="exact"/>
        <w:rPr>
          <w:sz w:val="20"/>
          <w:szCs w:val="20"/>
          <w:color w:val="auto"/>
        </w:rPr>
      </w:pPr>
    </w:p>
    <w:p>
      <w:pPr>
        <w:ind w:firstLine="438"/>
        <w:spacing w:after="0" w:line="228" w:lineRule="auto"/>
        <w:rPr>
          <w:sz w:val="20"/>
          <w:szCs w:val="20"/>
          <w:color w:val="auto"/>
        </w:rPr>
      </w:pPr>
      <w:r>
        <w:rPr>
          <w:rFonts w:ascii="Times New Roman" w:cs="Times New Roman" w:eastAsia="Times New Roman" w:hAnsi="Times New Roman"/>
          <w:sz w:val="14"/>
          <w:szCs w:val="14"/>
          <w:color w:val="auto"/>
        </w:rPr>
        <w:t>On January 27, 2021, PSSL, through its wholly-owned and consolidated subsidiary, PennantPark CLO II, Ltd., closed a three-year reinvestment period, eleven-year final maturity $300.7 million debt securitization in the form of a collateralized loan obligation consisting of the following classes of notes: Class A-1 Notes, Class A-1 Loans, Class A-2 Notes, Class B-1 Notes, Class B-2 Notes, Class C Notes, Class D Notes, Class E Notes and Subordinated Notes, or the Debt. PSSL will retain all of the Class E Notes and Subordinated Notes through a consolidated subsidiary. The reinvestment period for the term debt securitization ends in January 2024 and the Debt is scheduled to mature in January 2032. The term debt securitization is expected to be approximately 95% funded at close. The proceeds from the Debt were used to repay a portion of the PSSL Credit Facility, as well as repay the $50.0 million senior secured promissory note issued by PSSL. Additionally, in conjunction with the closing of this transaction, PSSL’s $325.0 million senior secured revolving credit facility with Capital One, N.A. was terminated and replaced with a new $125.0 million senior secured revolving credit facility provided by Ally Bank. The Ally Bank credit facility has an interest rate spread above LIBOR (or an alternative risk-free floating interest rate index) of 260 basis points, a LIBOR floor of 25 basis points, a maturity date of January 26, 2026 and a revolving period that ends on January 26, 2024.</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Effective January 19, 2021, we reduced the size of the Credit Facility from $520 million to $400 million in order to reduce the cost of the unused facility fees.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1" w:name="page32"/>
    <w:bookmarkEnd w:id="31"/>
    <w:p>
      <w:pPr>
        <w:ind w:left="38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 of PennantPark Floating Rate Capital Ltd. and its Subsidiaries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Review of Interim Financial Statements</w:t>
      </w:r>
    </w:p>
    <w:p>
      <w:pPr>
        <w:spacing w:after="0" w:line="138" w:lineRule="exact"/>
        <w:rPr>
          <w:sz w:val="20"/>
          <w:szCs w:val="20"/>
          <w:color w:val="auto"/>
        </w:rPr>
      </w:pPr>
    </w:p>
    <w:p>
      <w:pPr>
        <w:ind w:right="220" w:firstLine="438"/>
        <w:spacing w:after="0" w:line="233" w:lineRule="auto"/>
        <w:rPr>
          <w:sz w:val="20"/>
          <w:szCs w:val="20"/>
          <w:color w:val="auto"/>
        </w:rPr>
      </w:pPr>
      <w:r>
        <w:rPr>
          <w:rFonts w:ascii="Times New Roman" w:cs="Times New Roman" w:eastAsia="Times New Roman" w:hAnsi="Times New Roman"/>
          <w:sz w:val="14"/>
          <w:szCs w:val="14"/>
          <w:color w:val="auto"/>
        </w:rPr>
        <w:t>We have reviewed the accompanying consolidated statement of assets and liabilities of PennantPark Floating Rate Capital Ltd. and its Subsidiaries (collectively referred to as the “Company”), including the consolidated schedule of investments, as of December 31, 2020, and the related consolidated statements of operations, changes in net assets, and cash flows for the three-month periods ended December 31, 2020 and 2019, and the related notes to the consolidated financial statements (collectively, the interim financial information or financial statements). Based on our reviews, we are not aware of any material modifications that should be made to the accompanying interim financial information for them to be in conformity with accounting principles generally accepted in the United States of America.</w:t>
      </w:r>
    </w:p>
    <w:p>
      <w:pPr>
        <w:spacing w:after="0" w:line="110" w:lineRule="exact"/>
        <w:rPr>
          <w:sz w:val="20"/>
          <w:szCs w:val="20"/>
          <w:color w:val="auto"/>
        </w:rPr>
      </w:pPr>
    </w:p>
    <w:p>
      <w:pPr>
        <w:ind w:right="80" w:firstLine="438"/>
        <w:spacing w:after="0" w:line="233" w:lineRule="auto"/>
        <w:rPr>
          <w:sz w:val="20"/>
          <w:szCs w:val="20"/>
          <w:color w:val="auto"/>
        </w:rPr>
      </w:pPr>
      <w:r>
        <w:rPr>
          <w:rFonts w:ascii="Times New Roman" w:cs="Times New Roman" w:eastAsia="Times New Roman" w:hAnsi="Times New Roman"/>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2020, and the related consolidated statements of operations, changes in net assets, and cash flows for the year then ended (not presented herein); and in our report dated November 18, 2020, we expressed an unqualified opinion on those consolidated financial statements. In our opinion, the information set forth in the accompanying consolidated statement of assets and liabilities as of September 30, 2020, is fairly stated, in all material respects, in relation to the consolidated statement of assets and liabilities from which it has been derived.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Review Results</w:t>
      </w:r>
    </w:p>
    <w:p>
      <w:pPr>
        <w:spacing w:after="0" w:line="138"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9, 2021</w:t>
      </w: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3" w:right="359" w:bottom="1440" w:gutter="0" w:footer="0" w:header="0"/>
        </w:sectPr>
      </w:pPr>
    </w:p>
    <w:bookmarkStart w:id="32" w:name="page33"/>
    <w:bookmarkEnd w:id="32"/>
    <w:p>
      <w:pPr>
        <w:ind w:right="3020"/>
        <w:spacing w:after="0" w:line="444" w:lineRule="auto"/>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FORWARD-LOOKING STATEMENTS</w:t>
      </w:r>
    </w:p>
    <w:p>
      <w:pPr>
        <w:ind w:right="80" w:firstLine="438"/>
        <w:spacing w:after="0" w:line="236" w:lineRule="auto"/>
        <w:rPr>
          <w:sz w:val="20"/>
          <w:szCs w:val="20"/>
          <w:color w:val="auto"/>
        </w:rPr>
      </w:pPr>
      <w:r>
        <w:rPr>
          <w:rFonts w:ascii="Times New Roman" w:cs="Times New Roman" w:eastAsia="Times New Roman" w:hAnsi="Times New Roman"/>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09" w:lineRule="exact"/>
        <w:rPr>
          <w:sz w:val="20"/>
          <w:szCs w:val="20"/>
          <w:color w:val="auto"/>
        </w:rPr>
      </w:pPr>
    </w:p>
    <w:p>
      <w:pPr>
        <w:ind w:left="800" w:hanging="360"/>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prospective portfolio companies, including as a result of the current pandemic caused by COVID-19;</w:t>
      </w:r>
    </w:p>
    <w:p>
      <w:pPr>
        <w:spacing w:after="0" w:line="203" w:lineRule="exact"/>
        <w:rPr>
          <w:rFonts w:ascii="Times New Roman" w:cs="Times New Roman" w:eastAsia="Times New Roman" w:hAnsi="Times New Roman"/>
          <w:sz w:val="14"/>
          <w:szCs w:val="14"/>
          <w:color w:val="auto"/>
        </w:rPr>
      </w:pPr>
    </w:p>
    <w:p>
      <w:pPr>
        <w:ind w:left="800" w:right="60" w:hanging="360"/>
        <w:spacing w:after="0" w:line="261" w:lineRule="auto"/>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95"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effectively manage our business due to the significant disruptions caused by the current COVID-19 pandemic;</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investments that we expect to make;</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fluctuations in interest rates and foreign exchange rates on our business and our portfolio companies;</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our investments in portfolio companies, particularly those having no liquid trading market;</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prospective portfolio companies to achieve their objectives;</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financings and investments and ability to fund capital commitments to PSSL;</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prospective portfolio companies;</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price and volume fluctuations in the stock market;</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Adviser to locate suitable investments for us and to monitor and administer our investments;</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future legislation and regulation on our business and our portfolio companies; and</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United Kingdom’s withdrawal from the European Union (commonly known as “Brexit”) and other world economic and political issues.</w:t>
      </w:r>
    </w:p>
    <w:p>
      <w:pPr>
        <w:spacing w:after="0" w:line="204" w:lineRule="exact"/>
        <w:rPr>
          <w:sz w:val="20"/>
          <w:szCs w:val="20"/>
          <w:color w:val="auto"/>
        </w:rPr>
      </w:pPr>
    </w:p>
    <w:p>
      <w:pPr>
        <w:ind w:right="120" w:firstLine="438"/>
        <w:spacing w:after="0" w:line="241" w:lineRule="auto"/>
        <w:rPr>
          <w:sz w:val="20"/>
          <w:szCs w:val="20"/>
          <w:color w:val="auto"/>
        </w:rPr>
      </w:pPr>
      <w:r>
        <w:rPr>
          <w:rFonts w:ascii="Times New Roman" w:cs="Times New Roman" w:eastAsia="Times New Roman" w:hAnsi="Times New Roman"/>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09" w:lineRule="exact"/>
        <w:rPr>
          <w:sz w:val="20"/>
          <w:szCs w:val="20"/>
          <w:color w:val="auto"/>
        </w:rPr>
      </w:pPr>
    </w:p>
    <w:p>
      <w:pPr>
        <w:jc w:val="both"/>
        <w:ind w:right="20" w:firstLine="438"/>
        <w:spacing w:after="0" w:line="236"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09" w:lineRule="exact"/>
        <w:rPr>
          <w:sz w:val="20"/>
          <w:szCs w:val="20"/>
          <w:color w:val="auto"/>
        </w:rPr>
      </w:pPr>
    </w:p>
    <w:p>
      <w:pPr>
        <w:ind w:right="60" w:firstLine="438"/>
        <w:spacing w:after="0" w:line="236" w:lineRule="auto"/>
        <w:rPr>
          <w:sz w:val="20"/>
          <w:szCs w:val="20"/>
          <w:color w:val="auto"/>
        </w:rPr>
      </w:pPr>
      <w:r>
        <w:rPr>
          <w:rFonts w:ascii="Times New Roman" w:cs="Times New Roman" w:eastAsia="Times New Roman" w:hAnsi="Times New Roman"/>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09" w:lineRule="exact"/>
        <w:rPr>
          <w:sz w:val="20"/>
          <w:szCs w:val="20"/>
          <w:color w:val="auto"/>
        </w:rPr>
      </w:pPr>
    </w:p>
    <w:p>
      <w:pPr>
        <w:ind w:right="500" w:firstLine="438"/>
        <w:spacing w:after="0" w:line="261" w:lineRule="auto"/>
        <w:rPr>
          <w:sz w:val="20"/>
          <w:szCs w:val="20"/>
          <w:color w:val="auto"/>
        </w:rPr>
      </w:pPr>
      <w:r>
        <w:rPr>
          <w:rFonts w:ascii="Times New Roman" w:cs="Times New Roman" w:eastAsia="Times New Roman" w:hAnsi="Times New Roman"/>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95" w:lineRule="exact"/>
        <w:rPr>
          <w:sz w:val="20"/>
          <w:szCs w:val="20"/>
          <w:color w:val="auto"/>
        </w:rPr>
      </w:pPr>
    </w:p>
    <w:p>
      <w:pPr>
        <w:ind w:right="540" w:firstLine="438"/>
        <w:spacing w:after="0" w:line="261" w:lineRule="auto"/>
        <w:rPr>
          <w:sz w:val="20"/>
          <w:szCs w:val="20"/>
          <w:color w:val="auto"/>
        </w:rPr>
      </w:pPr>
      <w:r>
        <w:rPr>
          <w:rFonts w:ascii="Times New Roman" w:cs="Times New Roman" w:eastAsia="Times New Roman" w:hAnsi="Times New Roman"/>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40" w:lineRule="exact"/>
        <w:rPr>
          <w:sz w:val="20"/>
          <w:szCs w:val="20"/>
          <w:color w:val="auto"/>
        </w:rPr>
      </w:pPr>
    </w:p>
    <w:p>
      <w:pPr>
        <w:ind w:right="40" w:firstLine="438"/>
        <w:spacing w:after="0" w:line="261" w:lineRule="auto"/>
        <w:rPr>
          <w:sz w:val="20"/>
          <w:szCs w:val="20"/>
          <w:color w:val="auto"/>
        </w:rPr>
      </w:pPr>
      <w:r>
        <w:rPr>
          <w:rFonts w:ascii="Times New Roman" w:cs="Times New Roman" w:eastAsia="Times New Roman" w:hAnsi="Times New Roman"/>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95" w:lineRule="exact"/>
        <w:rPr>
          <w:sz w:val="20"/>
          <w:szCs w:val="20"/>
          <w:color w:val="auto"/>
        </w:rPr>
      </w:pPr>
    </w:p>
    <w:p>
      <w:pPr>
        <w:ind w:firstLine="438"/>
        <w:spacing w:after="0" w:line="229" w:lineRule="auto"/>
        <w:rPr>
          <w:sz w:val="20"/>
          <w:szCs w:val="20"/>
          <w:color w:val="auto"/>
        </w:rPr>
      </w:pPr>
      <w:r>
        <w:rPr>
          <w:rFonts w:ascii="Times New Roman" w:cs="Times New Roman" w:eastAsia="Times New Roman" w:hAnsi="Times New Roman"/>
          <w:sz w:val="14"/>
          <w:szCs w:val="14"/>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63" w:right="379" w:bottom="1440" w:gutter="0" w:footer="0" w:header="0"/>
        </w:sectPr>
      </w:pPr>
    </w:p>
    <w:bookmarkStart w:id="33" w:name="page34"/>
    <w:bookmarkEnd w:id="33"/>
    <w:p>
      <w:pPr>
        <w:ind w:right="180" w:firstLine="438"/>
        <w:spacing w:after="0" w:line="236" w:lineRule="auto"/>
        <w:rPr>
          <w:sz w:val="20"/>
          <w:szCs w:val="20"/>
          <w:color w:val="auto"/>
        </w:rPr>
      </w:pPr>
      <w:r>
        <w:rPr>
          <w:rFonts w:ascii="Times New Roman" w:cs="Times New Roman" w:eastAsia="Times New Roman" w:hAnsi="Times New Roman"/>
          <w:sz w:val="14"/>
          <w:szCs w:val="14"/>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09" w:lineRule="exact"/>
        <w:rPr>
          <w:sz w:val="20"/>
          <w:szCs w:val="20"/>
          <w:color w:val="auto"/>
        </w:rPr>
      </w:pPr>
    </w:p>
    <w:p>
      <w:pPr>
        <w:ind w:right="200" w:firstLine="438"/>
        <w:spacing w:after="0" w:line="241" w:lineRule="auto"/>
        <w:rPr>
          <w:sz w:val="20"/>
          <w:szCs w:val="20"/>
          <w:color w:val="auto"/>
        </w:rPr>
      </w:pPr>
      <w:r>
        <w:rPr>
          <w:rFonts w:ascii="Times New Roman" w:cs="Times New Roman" w:eastAsia="Times New Roman" w:hAnsi="Times New Roman"/>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Structure of PennantPark Floating Rate Capital Ltd.</w:t>
      </w:r>
    </w:p>
    <w:p>
      <w:pPr>
        <w:spacing w:after="0" w:line="140" w:lineRule="exact"/>
        <w:rPr>
          <w:sz w:val="20"/>
          <w:szCs w:val="20"/>
          <w:color w:val="auto"/>
        </w:rPr>
      </w:pPr>
    </w:p>
    <w:p>
      <w:pPr>
        <w:ind w:right="140" w:firstLine="438"/>
        <w:spacing w:after="0" w:line="261" w:lineRule="auto"/>
        <w:rPr>
          <w:sz w:val="20"/>
          <w:szCs w:val="20"/>
          <w:color w:val="auto"/>
        </w:rPr>
      </w:pPr>
      <w:r>
        <w:rPr>
          <w:rFonts w:ascii="Times New Roman" w:cs="Times New Roman" w:eastAsia="Times New Roman" w:hAnsi="Times New Roman"/>
          <w:sz w:val="14"/>
          <w:szCs w:val="14"/>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95" w:lineRule="exact"/>
        <w:rPr>
          <w:sz w:val="20"/>
          <w:szCs w:val="20"/>
          <w:color w:val="auto"/>
        </w:rPr>
      </w:pPr>
    </w:p>
    <w:p>
      <w:pPr>
        <w:ind w:right="220" w:firstLine="438"/>
        <w:spacing w:after="0" w:line="231" w:lineRule="auto"/>
        <w:rPr>
          <w:sz w:val="20"/>
          <w:szCs w:val="20"/>
          <w:color w:val="auto"/>
        </w:rPr>
      </w:pPr>
      <w:r>
        <w:rPr>
          <w:rFonts w:ascii="Times New Roman" w:cs="Times New Roman" w:eastAsia="Times New Roman" w:hAnsi="Times New Roman"/>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COVID-19 Developments</w:t>
      </w:r>
    </w:p>
    <w:p>
      <w:pPr>
        <w:spacing w:after="0" w:line="140" w:lineRule="exact"/>
        <w:rPr>
          <w:sz w:val="20"/>
          <w:szCs w:val="20"/>
          <w:color w:val="auto"/>
        </w:rPr>
      </w:pPr>
    </w:p>
    <w:p>
      <w:pPr>
        <w:ind w:firstLine="438"/>
        <w:spacing w:after="0" w:line="228" w:lineRule="auto"/>
        <w:rPr>
          <w:sz w:val="20"/>
          <w:szCs w:val="20"/>
          <w:color w:val="auto"/>
        </w:rPr>
      </w:pPr>
      <w:r>
        <w:rPr>
          <w:rFonts w:ascii="Times New Roman" w:cs="Times New Roman" w:eastAsia="Times New Roman" w:hAnsi="Times New Roman"/>
          <w:sz w:val="14"/>
          <w:szCs w:val="14"/>
          <w:color w:val="auto"/>
        </w:rPr>
        <w:t>COVID-19 was first detected in December 2019 in the city of Wuhan in China and has since been identified as a global pandemic by the World Health Organization. In response, governmental authorities of affected jurisdictions, including those in the United States, have imposed travel restrictions and required the temporary closures of many corporate offices, retail stores, manufacturing facilities, factories and other common places of public congregation. These restrictions and “stay-at-home” orders have essentially resulted in the shutdown of all non-essential businesses for a period of time, as defined by each governmental authority imposing the respective orders. The economic impact resulting from such restrictions has adversely affected the business operations of some, if not all, of our portfolio companies, as well as our own operations and the operations of our Adviser. While some jurisdictions have either lifted or started to ease certain restrictions on businesses, a resurgence of COVID-19, including the emergence of a more contagious strain of COVID-19, has resulted in additional closures. We cannot predict with any level of certainty the magnitude of the ongoing impact to our business operations or the business operations of our portfolio companies due to the business and supply-chain disruptions caused by the COVID-19 pandemic and the resulting governmental responses. However, we expect such adverse effects to continue for the duration of the pandemic, and potentially for some time thereafter.</w:t>
      </w:r>
    </w:p>
    <w:p>
      <w:pPr>
        <w:spacing w:after="0" w:line="113" w:lineRule="exact"/>
        <w:rPr>
          <w:sz w:val="20"/>
          <w:szCs w:val="20"/>
          <w:color w:val="auto"/>
        </w:rPr>
      </w:pPr>
    </w:p>
    <w:p>
      <w:pPr>
        <w:ind w:right="120" w:firstLine="438"/>
        <w:spacing w:after="0" w:line="236" w:lineRule="auto"/>
        <w:rPr>
          <w:sz w:val="20"/>
          <w:szCs w:val="20"/>
          <w:color w:val="auto"/>
        </w:rPr>
      </w:pPr>
      <w:r>
        <w:rPr>
          <w:rFonts w:ascii="Times New Roman" w:cs="Times New Roman" w:eastAsia="Times New Roman" w:hAnsi="Times New Roman"/>
          <w:sz w:val="14"/>
          <w:szCs w:val="14"/>
          <w:color w:val="auto"/>
        </w:rPr>
        <w:t>Due to the nature of these governmental restrictions and their potentially long-lasting duration, some portfolio companies, especially those in vulnerable industries such as retail, food and beverage and travel, have experienced significant financial distress and may default on their financial obligations to us and their other capital providers. Moreover, certain of our portfolio companies that remain subject to prolonged and severe financial distress, have substantially curtailed their operations, deferred capital expenditures, furloughed or laid off workers and/or terminated relationships with their service providers. These developments will likely continue to impact the value of our investments in such portfolio companies.</w:t>
      </w:r>
    </w:p>
    <w:p>
      <w:pPr>
        <w:spacing w:after="0" w:line="109" w:lineRule="exact"/>
        <w:rPr>
          <w:sz w:val="20"/>
          <w:szCs w:val="20"/>
          <w:color w:val="auto"/>
        </w:rPr>
      </w:pPr>
    </w:p>
    <w:p>
      <w:pPr>
        <w:ind w:right="20" w:firstLine="438"/>
        <w:spacing w:after="0" w:line="236" w:lineRule="auto"/>
        <w:rPr>
          <w:sz w:val="20"/>
          <w:szCs w:val="20"/>
          <w:color w:val="auto"/>
        </w:rPr>
      </w:pPr>
      <w:r>
        <w:rPr>
          <w:rFonts w:ascii="Times New Roman" w:cs="Times New Roman" w:eastAsia="Times New Roman" w:hAnsi="Times New Roman"/>
          <w:sz w:val="14"/>
          <w:szCs w:val="14"/>
          <w:color w:val="auto"/>
        </w:rPr>
        <w:t>The COVID-19 pandemic will likely continue to have an adverse impact on the global economy and result in a period, however long, of global economic slowdown. Particularly, COVID-19 presents material uncertainty and risk with respect to our future performance and financial results as well as the future performance and financial results of our portfolio companies. While we are unable to predict the ultimate adverse effect of COVID-19 on our results of operation, we have identified certain factors that are likely to affect market, economic and geopolitical conditions, and thereby may adversely affect our business, including:</w:t>
      </w:r>
    </w:p>
    <w:p>
      <w:pPr>
        <w:spacing w:after="0" w:line="109" w:lineRule="exact"/>
        <w:rPr>
          <w:sz w:val="20"/>
          <w:szCs w:val="20"/>
          <w:color w:val="auto"/>
        </w:rPr>
      </w:pPr>
    </w:p>
    <w:p>
      <w:pPr>
        <w:ind w:left="800" w:hanging="360"/>
        <w:spacing w:after="0"/>
        <w:tabs>
          <w:tab w:leader="none" w:pos="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and global economic slowdowns;</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including LIBOR;</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availability of credit, both in the United States and internationally;</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supply-chains and price volatility;</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existing laws and regulations, or the imposition of new laws and regulations; and</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regarding future governmental and regulatory policies.</w:t>
      </w:r>
    </w:p>
    <w:p>
      <w:pPr>
        <w:spacing w:after="0" w:line="204" w:lineRule="exact"/>
        <w:rPr>
          <w:sz w:val="20"/>
          <w:szCs w:val="20"/>
          <w:color w:val="auto"/>
        </w:rPr>
      </w:pPr>
    </w:p>
    <w:p>
      <w:pPr>
        <w:ind w:right="60" w:firstLine="438"/>
        <w:spacing w:after="0" w:line="250" w:lineRule="auto"/>
        <w:rPr>
          <w:sz w:val="20"/>
          <w:szCs w:val="20"/>
          <w:color w:val="auto"/>
        </w:rPr>
      </w:pPr>
      <w:r>
        <w:rPr>
          <w:rFonts w:ascii="Times New Roman" w:cs="Times New Roman" w:eastAsia="Times New Roman" w:hAnsi="Times New Roman"/>
          <w:sz w:val="13"/>
          <w:szCs w:val="13"/>
          <w:color w:val="auto"/>
        </w:rPr>
        <w:t>The business disruption and financial harm resulting from COVID-19 experienced by our portfolio companies are likely to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If such cash flows cannot be sustained, we may be required to reduce the amount of our future distributions to stockholders. As of December 31, 2020, we had two portfolio companies on non-accrual status, and the continuing impact of the COVID-19 pandemic may result in additional portfolio investments being placed on non-accrual status in the future.</w:t>
      </w:r>
    </w:p>
    <w:p>
      <w:pPr>
        <w:spacing w:after="0" w:line="105"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Additionally, as of December 31, 2020 and September 30, 2020, our asset coverage ratio, as computed in accordance with the 1940 Act, was 179% and 168%, respectively. Our Credit Facility includes standard covenants and events of default provisions. If we fail to make the required payments or breach the covenants therein, it could result in a default under the Credit Facility. Failure to cure such default or obtain a waiver from the appropriate party would result in an event of default, and the lenders may accelerate the repayment of our indebtedness under the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110" w:lineRule="exact"/>
        <w:rPr>
          <w:sz w:val="20"/>
          <w:szCs w:val="20"/>
          <w:color w:val="auto"/>
        </w:rPr>
      </w:pPr>
    </w:p>
    <w:p>
      <w:pPr>
        <w:ind w:right="20" w:firstLine="438"/>
        <w:spacing w:after="0" w:line="231" w:lineRule="auto"/>
        <w:rPr>
          <w:sz w:val="20"/>
          <w:szCs w:val="20"/>
          <w:color w:val="auto"/>
        </w:rPr>
      </w:pPr>
      <w:r>
        <w:rPr>
          <w:rFonts w:ascii="Times New Roman" w:cs="Times New Roman" w:eastAsia="Times New Roman" w:hAnsi="Times New Roman"/>
          <w:sz w:val="14"/>
          <w:szCs w:val="14"/>
          <w:color w:val="auto"/>
        </w:rPr>
        <w:t>We are also subject to financial risks, including changes in market interest rates. As of December 31, 2020, our debt portfolio consisted of 98%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Credit Facility currently bears interest at LIBOR (or an alternative risk-free floating interest rate index) plus 200 basis points and, after the revolving period ends in October 2021, the rate will reset to LIBOR (or an alternative risk-free floating interest rate index) plus 425 basis points. In connection with the COVID-19 pandemic, the U.S. Federal Reserve and other central banks have reduced interest rates, which has caused LIBOR to decrease. Due to such rates, our gross investment</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4" w:name="page35"/>
    <w:bookmarkEnd w:id="34"/>
    <w:p>
      <w:pPr>
        <w:jc w:val="both"/>
        <w:ind w:right="360"/>
        <w:spacing w:after="0" w:line="241" w:lineRule="auto"/>
        <w:rPr>
          <w:sz w:val="20"/>
          <w:szCs w:val="20"/>
          <w:color w:val="auto"/>
        </w:rPr>
      </w:pPr>
      <w:r>
        <w:rPr>
          <w:rFonts w:ascii="Times New Roman" w:cs="Times New Roman" w:eastAsia="Times New Roman" w:hAnsi="Times New Roman"/>
          <w:sz w:val="14"/>
          <w:szCs w:val="14"/>
          <w:color w:val="auto"/>
        </w:rPr>
        <w:t>income has decreased, which could result in a decrease in our net investment income if such decreases in LIBOR are not offset by, among other things, a corresponding increase in the spread over LIBOR that we earn on such loans or a decrease in the interest rate of our floating interest rate liabilities tied to LIBOR. See “Item 3. Quantitative and Qualitative Disclosures About Market Risk” below.</w:t>
      </w:r>
    </w:p>
    <w:p>
      <w:pPr>
        <w:spacing w:after="0" w:line="109" w:lineRule="exact"/>
        <w:rPr>
          <w:sz w:val="20"/>
          <w:szCs w:val="20"/>
          <w:color w:val="auto"/>
        </w:rPr>
      </w:pPr>
    </w:p>
    <w:p>
      <w:pPr>
        <w:ind w:right="120" w:firstLine="496"/>
        <w:spacing w:after="0" w:line="236" w:lineRule="auto"/>
        <w:rPr>
          <w:sz w:val="20"/>
          <w:szCs w:val="20"/>
          <w:color w:val="auto"/>
        </w:rPr>
      </w:pPr>
      <w:r>
        <w:rPr>
          <w:rFonts w:ascii="Times New Roman" w:cs="Times New Roman" w:eastAsia="Times New Roman" w:hAnsi="Times New Roman"/>
          <w:sz w:val="14"/>
          <w:szCs w:val="14"/>
          <w:color w:val="auto"/>
        </w:rPr>
        <w:t>In addition, we activated our business continuity planning strategy. Our priority has been to safeguard the health of our employees and to ensure continuity of business operations on behalf of our investors. As a result of the execution of our business continuity planning strategy, nearly all of our employees are working remotely. Our systems and infrastructure have continued to support our business operations. We implemented a heightened level of communication across senior management, our investment team and our board of directors, and we have proactively engaged with our vendors on a regular basis to ensure they continue to meet our criteria for business continuity.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40" w:lineRule="exact"/>
        <w:rPr>
          <w:sz w:val="20"/>
          <w:szCs w:val="20"/>
          <w:color w:val="auto"/>
        </w:rPr>
      </w:pPr>
    </w:p>
    <w:p>
      <w:pPr>
        <w:ind w:right="100" w:firstLine="438"/>
        <w:spacing w:after="0" w:line="227" w:lineRule="auto"/>
        <w:rPr>
          <w:sz w:val="20"/>
          <w:szCs w:val="20"/>
          <w:color w:val="auto"/>
        </w:rPr>
      </w:pPr>
      <w:r>
        <w:rPr>
          <w:rFonts w:ascii="Times New Roman" w:cs="Times New Roman" w:eastAsia="Times New Roman" w:hAnsi="Times New Roman"/>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40"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09" w:lineRule="exact"/>
        <w:rPr>
          <w:sz w:val="20"/>
          <w:szCs w:val="20"/>
          <w:color w:val="auto"/>
        </w:rPr>
      </w:pPr>
    </w:p>
    <w:p>
      <w:pPr>
        <w:ind w:left="800" w:hanging="360"/>
        <w:spacing w:after="0"/>
        <w:tabs>
          <w:tab w:leader="none" w:pos="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calculating our net asset value, including the cost of any third-party valuation services;</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effecting sales and repurchases of shares of our common stock and other securities;</w:t>
      </w:r>
    </w:p>
    <w:p>
      <w:pPr>
        <w:spacing w:after="0" w:line="203" w:lineRule="exact"/>
        <w:rPr>
          <w:rFonts w:ascii="Times New Roman" w:cs="Times New Roman" w:eastAsia="Times New Roman" w:hAnsi="Times New Roman"/>
          <w:sz w:val="14"/>
          <w:szCs w:val="14"/>
          <w:color w:val="auto"/>
        </w:rPr>
      </w:pPr>
    </w:p>
    <w:p>
      <w:pPr>
        <w:ind w:left="800" w:right="220" w:hanging="360"/>
        <w:spacing w:after="0" w:line="261" w:lineRule="auto"/>
        <w:tabs>
          <w:tab w:leader="none" w:pos="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95"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by the Investment Adviser in performing due diligence and reviews of investments;</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agent and custodial fees;</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marketing efforts;</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registration fees and any exchange listing fees;</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local and foreign taxes;</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directors’ fees and expenses;</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brokerage commissions;</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bond, directors and officers, errors and omissions liability insurance and other insurance premiums;</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costs such as printing, mailing, long distance telephone and staff;</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independent audits and outside legal costs;</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our reporting and compliance obligations under the 1940 Act and applicable federal and state securities laws; and</w:t>
      </w:r>
    </w:p>
    <w:p>
      <w:pPr>
        <w:spacing w:after="0" w:line="203" w:lineRule="exact"/>
        <w:rPr>
          <w:rFonts w:ascii="Times New Roman" w:cs="Times New Roman" w:eastAsia="Times New Roman" w:hAnsi="Times New Roman"/>
          <w:sz w:val="14"/>
          <w:szCs w:val="14"/>
          <w:color w:val="auto"/>
        </w:rPr>
      </w:pPr>
    </w:p>
    <w:p>
      <w:pPr>
        <w:jc w:val="both"/>
        <w:ind w:left="800" w:right="180" w:hanging="360"/>
        <w:spacing w:after="0" w:line="241" w:lineRule="auto"/>
        <w:tabs>
          <w:tab w:leader="none" w:pos="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5" w:name="page36"/>
    <w:bookmarkEnd w:id="35"/>
    <w:p>
      <w:pPr>
        <w:ind w:right="20" w:firstLine="438"/>
        <w:spacing w:after="0" w:line="261" w:lineRule="auto"/>
        <w:rPr>
          <w:sz w:val="20"/>
          <w:szCs w:val="20"/>
          <w:color w:val="auto"/>
        </w:rPr>
      </w:pPr>
      <w:r>
        <w:rPr>
          <w:rFonts w:ascii="Times New Roman" w:cs="Times New Roman" w:eastAsia="Times New Roman" w:hAnsi="Times New Roman"/>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PORTFOLIO AND INVESTMENT ACTIVITY</w:t>
      </w:r>
    </w:p>
    <w:p>
      <w:pPr>
        <w:spacing w:after="0" w:line="138" w:lineRule="exact"/>
        <w:rPr>
          <w:sz w:val="20"/>
          <w:szCs w:val="20"/>
          <w:color w:val="auto"/>
        </w:rPr>
      </w:pPr>
    </w:p>
    <w:p>
      <w:pPr>
        <w:ind w:firstLine="438"/>
        <w:spacing w:after="0" w:line="231" w:lineRule="auto"/>
        <w:rPr>
          <w:sz w:val="20"/>
          <w:szCs w:val="20"/>
          <w:color w:val="auto"/>
        </w:rPr>
      </w:pPr>
      <w:r>
        <w:rPr>
          <w:rFonts w:ascii="Times New Roman" w:cs="Times New Roman" w:eastAsia="Times New Roman" w:hAnsi="Times New Roman"/>
          <w:sz w:val="14"/>
          <w:szCs w:val="14"/>
          <w:color w:val="auto"/>
        </w:rPr>
        <w:t>As of December 31, 2020, our portfolio totaled $1,067.3 million, which consisted of $931.2 million of first lien secured debt (including $126.5 million in PSSL), $25.6 million of second lien secured debt and $110.5 million of preferred and common equity (including $42.9 million in PSSL). Our debt portfolio consisted of 98% variable-rate investments. As of December 31, 2020, we had two portfolio companies on non-accrual, representing 2.3% and 1.9% of our overall portfolio on a cost and fair value basis, respectively. Overall, the portfolio had net unrealized depreciation of $7.1 million. Our overall portfolio consisted of 100 companies with an average investment size of $10.7 million, had a weighted average yield on debt investments of 7.5%, and was invested 87% in first lien secured debt (including 12% invested in PSSL), 3% in second lien secured debt and 10% in preferred and common equity (including 4% in PSSL). As of December 31, 2020, 97% of the investments held by PSSL were first lien secured debt.</w:t>
      </w:r>
    </w:p>
    <w:p>
      <w:pPr>
        <w:spacing w:after="0" w:line="96" w:lineRule="exact"/>
        <w:rPr>
          <w:sz w:val="20"/>
          <w:szCs w:val="20"/>
          <w:color w:val="auto"/>
        </w:rPr>
      </w:pPr>
    </w:p>
    <w:p>
      <w:pPr>
        <w:ind w:right="20" w:firstLine="438"/>
        <w:spacing w:after="0" w:line="231" w:lineRule="auto"/>
        <w:rPr>
          <w:sz w:val="20"/>
          <w:szCs w:val="20"/>
          <w:color w:val="auto"/>
        </w:rPr>
      </w:pPr>
      <w:r>
        <w:rPr>
          <w:rFonts w:ascii="Times New Roman" w:cs="Times New Roman" w:eastAsia="Times New Roman" w:hAnsi="Times New Roman"/>
          <w:sz w:val="14"/>
          <w:szCs w:val="14"/>
          <w:color w:val="auto"/>
        </w:rPr>
        <w:t>As of September 30, 2020, our portfolio totaled $1,086.9 million, which consisted of $968.6 million of first lien secured debt (including $125.4 million in PSSL), $29.9 million of second lien secured debt and $88.4 million of preferred and common equity (including $39.9 million in PSSL). Our debt portfolio consisted of 99% variable-rate investments. As of September 30, 2020, we had three portfolio companies on non-accrual, representing 2.1% and 1.8% of our overall portfolio on a cost and fair value basis, respectively. Overall, the portfolio had net unrealized depreciation of $29.9 million. Our overall portfolio consisted of 102 companies with an average investment size of $10.7 million, had a weighted average yield on debt investments of 7.3%, and was invested 89% in first lien secured debt (including 12% in PSSL), 3% in second lien secured debt and 8% in preferred and common equity (including 4% in PSSL). As of September 30, 2020, 97% of the investments held by PSSL were first lien secured debt.</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For the three months ended December 31, 2020, we invested $67.0 million in five new and 17 existing portfolio companies with a weighted average yield on debt investments of 7.6%.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and repayments of investments for the three months ended December 31, 2020 totaled $109.6 million.</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For the three months ended December 31, 2019, we invested $239.4 million in 10 new and 31 existing portfolio companies with a weighted average yield on debt investments of 8.2%.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and repayments of investments for the three months ended December 31, 2019 totaled $143.7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Secured Loan Fund I LLC</w:t>
      </w:r>
    </w:p>
    <w:p>
      <w:pPr>
        <w:spacing w:after="0" w:line="138" w:lineRule="exact"/>
        <w:rPr>
          <w:sz w:val="20"/>
          <w:szCs w:val="20"/>
          <w:color w:val="auto"/>
        </w:rPr>
      </w:pPr>
    </w:p>
    <w:p>
      <w:pPr>
        <w:jc w:val="both"/>
        <w:ind w:right="120" w:firstLine="438"/>
        <w:spacing w:after="0" w:line="241" w:lineRule="auto"/>
        <w:rPr>
          <w:sz w:val="20"/>
          <w:szCs w:val="20"/>
          <w:color w:val="auto"/>
        </w:rPr>
      </w:pPr>
      <w:r>
        <w:rPr>
          <w:rFonts w:ascii="Times New Roman" w:cs="Times New Roman" w:eastAsia="Times New Roman" w:hAnsi="Times New Roman"/>
          <w:sz w:val="14"/>
          <w:szCs w:val="14"/>
          <w:color w:val="auto"/>
        </w:rPr>
        <w:t>As of December 31, 2020, PSSL’s portfolio totaled $382.2 million, consisted of 42 companies with an average investment size of $9.1 million and had a weighted average yield on debt investments of 7.0%. As of September 30, 2020, PSSL’s portfolio totaled $393.0 million, consisted of 45 companies with an average investment size of $8.7 million and had a weighted average yield on debt investments of 6.8%.</w:t>
      </w:r>
    </w:p>
    <w:p>
      <w:pPr>
        <w:spacing w:after="0" w:line="109" w:lineRule="exact"/>
        <w:rPr>
          <w:sz w:val="20"/>
          <w:szCs w:val="20"/>
          <w:color w:val="auto"/>
        </w:rPr>
      </w:pPr>
    </w:p>
    <w:p>
      <w:pPr>
        <w:ind w:right="60" w:firstLine="438"/>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2020, PSSL invested $15.4 million (none of which was purchased from the Company) in zero new and five existing portfolio companies with a weighted average yield on debt investments of 7.8%. PSSL’s sales and repayments of investments for the three months ended December 31, 2020 totaled $30.6 million.</w:t>
      </w:r>
    </w:p>
    <w:p>
      <w:pPr>
        <w:spacing w:after="0" w:line="95" w:lineRule="exact"/>
        <w:rPr>
          <w:sz w:val="20"/>
          <w:szCs w:val="20"/>
          <w:color w:val="auto"/>
        </w:rPr>
      </w:pPr>
    </w:p>
    <w:p>
      <w:pPr>
        <w:ind w:right="520" w:firstLine="438"/>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2019, PSSL invested $69.1 million (of which $68.9 million was purchased from the Company) in eight new and one existing portfolio companies with a weighted average yield on debt investments of 7.5%. PSSL’s sales and repayments of investments for the three months ended December 31, 2019 totaled $66.4 million.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138" w:lineRule="exact"/>
        <w:rPr>
          <w:sz w:val="20"/>
          <w:szCs w:val="20"/>
          <w:color w:val="auto"/>
        </w:rPr>
      </w:pPr>
    </w:p>
    <w:p>
      <w:pPr>
        <w:ind w:firstLine="438"/>
        <w:spacing w:after="0" w:line="229"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and the global outbreak of COVID-19.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Valuations</w:t>
      </w:r>
    </w:p>
    <w:p>
      <w:pPr>
        <w:spacing w:after="0" w:line="140" w:lineRule="exact"/>
        <w:rPr>
          <w:sz w:val="20"/>
          <w:szCs w:val="20"/>
          <w:color w:val="auto"/>
        </w:rPr>
      </w:pPr>
    </w:p>
    <w:p>
      <w:pPr>
        <w:ind w:firstLine="438"/>
        <w:spacing w:after="0" w:line="229"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3" w:lineRule="exact"/>
        <w:rPr>
          <w:sz w:val="20"/>
          <w:szCs w:val="20"/>
          <w:color w:val="auto"/>
        </w:rPr>
      </w:pPr>
    </w:p>
    <w:p>
      <w:pPr>
        <w:ind w:right="360" w:firstLine="438"/>
        <w:spacing w:after="0" w:line="261"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5" w:lineRule="exact"/>
        <w:rPr>
          <w:sz w:val="20"/>
          <w:szCs w:val="20"/>
          <w:color w:val="auto"/>
        </w:rPr>
      </w:pPr>
    </w:p>
    <w:p>
      <w:pPr>
        <w:ind w:left="800" w:right="120" w:hanging="360"/>
        <w:spacing w:after="0" w:line="261" w:lineRule="auto"/>
        <w:tabs>
          <w:tab w:leader="none" w:pos="8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95"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our Investment Adviser;</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36" w:name="page37"/>
    <w:bookmarkEnd w:id="36"/>
    <w:p>
      <w:pPr>
        <w:jc w:val="both"/>
        <w:ind w:left="800" w:right="180" w:hanging="360"/>
        <w:spacing w:after="0" w:line="241" w:lineRule="auto"/>
        <w:tabs>
          <w:tab w:leader="none" w:pos="8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9" w:lineRule="exact"/>
        <w:rPr>
          <w:rFonts w:ascii="Times New Roman" w:cs="Times New Roman" w:eastAsia="Times New Roman" w:hAnsi="Times New Roman"/>
          <w:sz w:val="14"/>
          <w:szCs w:val="14"/>
          <w:color w:val="auto"/>
        </w:rPr>
      </w:pPr>
    </w:p>
    <w:p>
      <w:pPr>
        <w:ind w:left="800" w:right="60" w:hanging="360"/>
        <w:spacing w:after="0" w:line="241" w:lineRule="auto"/>
        <w:tabs>
          <w:tab w:leader="none" w:pos="8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09" w:lineRule="exact"/>
        <w:rPr>
          <w:rFonts w:ascii="Times New Roman" w:cs="Times New Roman" w:eastAsia="Times New Roman" w:hAnsi="Times New Roman"/>
          <w:sz w:val="14"/>
          <w:szCs w:val="14"/>
          <w:color w:val="auto"/>
        </w:rPr>
      </w:pPr>
    </w:p>
    <w:p>
      <w:pPr>
        <w:ind w:left="800" w:right="200" w:hanging="360"/>
        <w:spacing w:after="0" w:line="261" w:lineRule="auto"/>
        <w:tabs>
          <w:tab w:leader="none" w:pos="8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5" w:lineRule="exact"/>
        <w:rPr>
          <w:sz w:val="20"/>
          <w:szCs w:val="20"/>
          <w:color w:val="auto"/>
        </w:rPr>
      </w:pPr>
    </w:p>
    <w:p>
      <w:pPr>
        <w:ind w:right="40" w:firstLine="438"/>
        <w:spacing w:after="0" w:line="236"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9"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136"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260" w:right="20" w:hanging="809"/>
        <w:spacing w:after="0" w:line="261" w:lineRule="auto"/>
        <w:tabs>
          <w:tab w:leader="none" w:pos="124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95"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09" w:lineRule="exact"/>
        <w:rPr>
          <w:sz w:val="20"/>
          <w:szCs w:val="20"/>
          <w:color w:val="auto"/>
        </w:rPr>
      </w:pPr>
    </w:p>
    <w:p>
      <w:pPr>
        <w:ind w:right="260" w:firstLine="438"/>
        <w:spacing w:after="0" w:line="24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2023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09" w:lineRule="exact"/>
        <w:rPr>
          <w:sz w:val="20"/>
          <w:szCs w:val="20"/>
          <w:color w:val="auto"/>
        </w:rPr>
      </w:pPr>
    </w:p>
    <w:p>
      <w:pPr>
        <w:ind w:right="40" w:firstLine="438"/>
        <w:spacing w:after="0" w:line="228" w:lineRule="auto"/>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during the three months ended December 31, 2020 and 2019.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2031 Asset-Backed Debt.</w:t>
      </w:r>
    </w:p>
    <w:p>
      <w:pPr>
        <w:spacing w:after="0" w:line="113" w:lineRule="exact"/>
        <w:rPr>
          <w:sz w:val="20"/>
          <w:szCs w:val="20"/>
          <w:color w:val="auto"/>
        </w:rPr>
      </w:pPr>
    </w:p>
    <w:p>
      <w:pPr>
        <w:ind w:right="320" w:firstLine="438"/>
        <w:spacing w:after="0" w:line="236" w:lineRule="auto"/>
        <w:rPr>
          <w:sz w:val="20"/>
          <w:szCs w:val="20"/>
          <w:color w:val="auto"/>
        </w:rPr>
      </w:pPr>
      <w:r>
        <w:rPr>
          <w:rFonts w:ascii="Times New Roman" w:cs="Times New Roman" w:eastAsia="Times New Roman" w:hAnsi="Times New Roman"/>
          <w:sz w:val="14"/>
          <w:szCs w:val="14"/>
          <w:color w:val="auto"/>
        </w:rPr>
        <w:t>For the three months ended December 31, 2020 and 2019, the Credit Facility and the 2023 Notes had a net change in unrealized (appreciation) depreciation of ($4.0) million and $1.4 million, respectively. As of December 31, 2020 and September 30, 2020, the net unrealized depreciation on the Credit Facility and the 2023 Notes totaled $14.8 million and $18.8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0" w:lineRule="exact"/>
        <w:rPr>
          <w:sz w:val="20"/>
          <w:szCs w:val="20"/>
          <w:color w:val="auto"/>
        </w:rPr>
      </w:pPr>
    </w:p>
    <w:p>
      <w:pPr>
        <w:ind w:right="40" w:firstLine="438"/>
        <w:spacing w:after="0" w:line="229"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 and Net Change in Unrealized Appreciation or Depreciation</w:t>
      </w:r>
    </w:p>
    <w:p>
      <w:pPr>
        <w:spacing w:after="0" w:line="140" w:lineRule="exact"/>
        <w:rPr>
          <w:sz w:val="20"/>
          <w:szCs w:val="20"/>
          <w:color w:val="auto"/>
        </w:rPr>
      </w:pPr>
    </w:p>
    <w:p>
      <w:pPr>
        <w:ind w:right="40" w:firstLine="438"/>
        <w:spacing w:after="0" w:line="236" w:lineRule="auto"/>
        <w:rPr>
          <w:sz w:val="20"/>
          <w:szCs w:val="20"/>
          <w:color w:val="auto"/>
        </w:rPr>
      </w:pPr>
      <w:r>
        <w:rPr>
          <w:rFonts w:ascii="Times New Roman" w:cs="Times New Roman" w:eastAsia="Times New Roman" w:hAnsi="Times New Roman"/>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Facility and the 2023 Notes during the reporting period, including any reversal of previously recorded unrealized appreciation or depreciation, when gains or losses are realized.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800" w:hanging="360"/>
        <w:spacing w:after="0"/>
        <w:tabs>
          <w:tab w:leader="none" w:pos="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203" w:lineRule="exact"/>
        <w:rPr>
          <w:rFonts w:ascii="Times New Roman" w:cs="Times New Roman" w:eastAsia="Times New Roman" w:hAnsi="Times New Roman"/>
          <w:sz w:val="14"/>
          <w:szCs w:val="14"/>
          <w:color w:val="auto"/>
        </w:rPr>
      </w:pPr>
    </w:p>
    <w:p>
      <w:pPr>
        <w:ind w:left="800" w:hanging="360"/>
        <w:spacing w:after="0"/>
        <w:tabs>
          <w:tab w:leader="none" w:pos="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204" w:lineRule="exact"/>
        <w:rPr>
          <w:sz w:val="20"/>
          <w:szCs w:val="20"/>
          <w:color w:val="auto"/>
        </w:rPr>
      </w:pPr>
    </w:p>
    <w:p>
      <w:pPr>
        <w:jc w:val="both"/>
        <w:ind w:right="40" w:firstLine="438"/>
        <w:spacing w:after="0" w:line="24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PIK Interest</w:t>
      </w:r>
    </w:p>
    <w:p>
      <w:pPr>
        <w:spacing w:after="0" w:line="140" w:lineRule="exact"/>
        <w:rPr>
          <w:sz w:val="20"/>
          <w:szCs w:val="20"/>
          <w:color w:val="auto"/>
        </w:rPr>
      </w:pPr>
    </w:p>
    <w:p>
      <w:pPr>
        <w:jc w:val="both"/>
        <w:ind w:right="140" w:firstLine="438"/>
        <w:spacing w:after="0" w:line="241" w:lineRule="auto"/>
        <w:rPr>
          <w:sz w:val="20"/>
          <w:szCs w:val="20"/>
          <w:color w:val="auto"/>
        </w:rPr>
      </w:pPr>
      <w:r>
        <w:rPr>
          <w:rFonts w:ascii="Times New Roman" w:cs="Times New Roman" w:eastAsia="Times New Roman" w:hAnsi="Times New Roman"/>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Income Taxes</w:t>
      </w:r>
    </w:p>
    <w:p>
      <w:pPr>
        <w:spacing w:after="0" w:line="140"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9" w:lineRule="exact"/>
        <w:rPr>
          <w:sz w:val="20"/>
          <w:szCs w:val="20"/>
          <w:color w:val="auto"/>
        </w:rPr>
      </w:pPr>
    </w:p>
    <w:p>
      <w:pPr>
        <w:ind w:firstLine="438"/>
        <w:spacing w:after="0" w:line="229"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U.S.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3" w:lineRule="exact"/>
        <w:rPr>
          <w:sz w:val="20"/>
          <w:szCs w:val="20"/>
          <w:color w:val="auto"/>
        </w:rPr>
      </w:pPr>
    </w:p>
    <w:p>
      <w:pPr>
        <w:ind w:right="80" w:firstLine="438"/>
        <w:spacing w:after="0" w:line="241" w:lineRule="auto"/>
        <w:rPr>
          <w:sz w:val="20"/>
          <w:szCs w:val="20"/>
          <w:color w:val="auto"/>
        </w:rPr>
      </w:pPr>
      <w:r>
        <w:rPr>
          <w:rFonts w:ascii="Times New Roman" w:cs="Times New Roman" w:eastAsia="Times New Roman" w:hAnsi="Times New Roman"/>
          <w:sz w:val="14"/>
          <w:szCs w:val="14"/>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9" w:lineRule="exact"/>
        <w:rPr>
          <w:sz w:val="20"/>
          <w:szCs w:val="20"/>
          <w:color w:val="auto"/>
        </w:rPr>
      </w:pPr>
    </w:p>
    <w:p>
      <w:pPr>
        <w:ind w:right="40" w:firstLine="438"/>
        <w:spacing w:after="0" w:line="261" w:lineRule="auto"/>
        <w:rPr>
          <w:sz w:val="20"/>
          <w:szCs w:val="20"/>
          <w:color w:val="auto"/>
        </w:rPr>
      </w:pPr>
      <w:r>
        <w:rPr>
          <w:rFonts w:ascii="Times New Roman" w:cs="Times New Roman" w:eastAsia="Times New Roman" w:hAnsi="Times New Roman"/>
          <w:sz w:val="14"/>
          <w:szCs w:val="14"/>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Set forth below are the results of operations for the three months ended December 31, 2020 and 2019.</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Income</w:t>
      </w:r>
    </w:p>
    <w:p>
      <w:pPr>
        <w:spacing w:after="0" w:line="140" w:lineRule="exact"/>
        <w:rPr>
          <w:sz w:val="20"/>
          <w:szCs w:val="20"/>
          <w:color w:val="auto"/>
        </w:rPr>
      </w:pPr>
    </w:p>
    <w:p>
      <w:pPr>
        <w:ind w:right="80" w:firstLine="438"/>
        <w:spacing w:after="0" w:line="241" w:lineRule="auto"/>
        <w:rPr>
          <w:sz w:val="20"/>
          <w:szCs w:val="20"/>
          <w:color w:val="auto"/>
        </w:rPr>
      </w:pPr>
      <w:r>
        <w:rPr>
          <w:rFonts w:ascii="Times New Roman" w:cs="Times New Roman" w:eastAsia="Times New Roman" w:hAnsi="Times New Roman"/>
          <w:sz w:val="14"/>
          <w:szCs w:val="14"/>
          <w:color w:val="auto"/>
        </w:rPr>
        <w:t>Investment income for the three months ended December 31, 2020 was $20.7 million, which was attributable to $18.7 million from first lien secured debt and $2.0 million from other investments. This compares to investment income for the three months ended December 31, 2019 of $24.6 million, which was attributable to $22.4 million from first lien secured debt and $2.2 million from other investments. The decrease in investment income compared to the same period in the prior year was primarily due to a decrease in LIBOR.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40" w:lineRule="exact"/>
        <w:rPr>
          <w:sz w:val="20"/>
          <w:szCs w:val="20"/>
          <w:color w:val="auto"/>
        </w:rPr>
      </w:pPr>
    </w:p>
    <w:p>
      <w:pPr>
        <w:ind w:right="60" w:firstLine="438"/>
        <w:spacing w:after="0" w:line="233" w:lineRule="auto"/>
        <w:rPr>
          <w:sz w:val="20"/>
          <w:szCs w:val="20"/>
          <w:color w:val="auto"/>
        </w:rPr>
      </w:pPr>
      <w:r>
        <w:rPr>
          <w:rFonts w:ascii="Times New Roman" w:cs="Times New Roman" w:eastAsia="Times New Roman" w:hAnsi="Times New Roman"/>
          <w:sz w:val="14"/>
          <w:szCs w:val="14"/>
          <w:color w:val="auto"/>
        </w:rPr>
        <w:t>Expenses for the three months ended December 31, 2020 totaled $10.6 million. Base management fee for the same period totaled $2.7 million, incentive fee totaled $1.8 million, debt related interest and expenses totaled $5.3 million, general and administrative expenses totaled $0.7 million, and provision for taxes totaled $0.1 million. This compares to expenses for the three months ended December 31, 2019, which totaled $13.5 million. Base management fee for the same period totaled $2.8 million, incentive fee totaled $2.3 million, debt related interest and expenses totaled $7.3 million, general and administrative expenses totaled $1.0 million, and provision for taxes totaled $0.1 million. The decrease in expenses for the three months ended December 31, 2020 compared to the same period in the prior year was primarily due to a decrease in debt related interest and expenses.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Income</w:t>
      </w:r>
    </w:p>
    <w:p>
      <w:pPr>
        <w:spacing w:after="0" w:line="140" w:lineRule="exact"/>
        <w:rPr>
          <w:sz w:val="20"/>
          <w:szCs w:val="20"/>
          <w:color w:val="auto"/>
        </w:rPr>
      </w:pPr>
    </w:p>
    <w:p>
      <w:pPr>
        <w:jc w:val="both"/>
        <w:ind w:right="100" w:firstLine="438"/>
        <w:spacing w:after="0" w:line="241" w:lineRule="auto"/>
        <w:rPr>
          <w:sz w:val="20"/>
          <w:szCs w:val="20"/>
          <w:color w:val="auto"/>
        </w:rPr>
      </w:pPr>
      <w:r>
        <w:rPr>
          <w:rFonts w:ascii="Times New Roman" w:cs="Times New Roman" w:eastAsia="Times New Roman" w:hAnsi="Times New Roman"/>
          <w:sz w:val="14"/>
          <w:szCs w:val="14"/>
          <w:color w:val="auto"/>
        </w:rPr>
        <w:t>Net investment income totaled $10.1 million, or $0.26 per share, for the three months ended December 31, 2020. Net investment income totaled $11.1 million, or $0.29 per share, for the three months ended December 31, 2019. The change in net investment income compared to the same period in the prior year was primarily due to lower investment income, partially offset by a reduction in expenses in the current period.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w:t>
      </w:r>
    </w:p>
    <w:p>
      <w:pPr>
        <w:spacing w:after="0" w:line="140" w:lineRule="exact"/>
        <w:rPr>
          <w:sz w:val="20"/>
          <w:szCs w:val="20"/>
          <w:color w:val="auto"/>
        </w:rPr>
      </w:pPr>
    </w:p>
    <w:p>
      <w:pPr>
        <w:jc w:val="both"/>
        <w:ind w:right="60" w:firstLine="438"/>
        <w:spacing w:after="0" w:line="241" w:lineRule="auto"/>
        <w:rPr>
          <w:sz w:val="20"/>
          <w:szCs w:val="20"/>
          <w:color w:val="auto"/>
        </w:rPr>
      </w:pPr>
      <w:r>
        <w:rPr>
          <w:rFonts w:ascii="Times New Roman" w:cs="Times New Roman" w:eastAsia="Times New Roman" w:hAnsi="Times New Roman"/>
          <w:sz w:val="14"/>
          <w:szCs w:val="14"/>
          <w:color w:val="auto"/>
        </w:rPr>
        <w:t>Sales and repayments of investments for the three months ended December 31, 2020 totaled $109.6 million and net realized losses totaled $2.8 million. Sales and repayments of investments for the three months ended December 31, 2019 totaled $143.7 million and net realized gains totaled $1.0 million. The change in realized gains/losses was primarily due to changes in the market conditions of our investments and the values at which they were realized.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Unrealized Appreciation or Depreciation on Investments, the Credit Facility and the 2023 Notes</w:t>
      </w:r>
    </w:p>
    <w:p>
      <w:pPr>
        <w:spacing w:after="0" w:line="140"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For the three months ended December 31, 2020, we reported net change in unrealized appreciation on investments of $22.8 million. For the three months ended December 31, 2019, we reported net change in unrealized depreciation on investments of $3.5 million. As of December 31, 2020 and September 30, 2020, our net unrealized depreciation on investments totaled $7.1 million and $29.9 million, respectively. The net change in unrealized appreciation on our investments compared to the same period in the prior year was primarily due to unrealized gains in our equity co-investment program, including ITC Rumba, LLC (Cano Health, LLC), as well as the financial performance of certain portfolio companies primarily driven by the market disruption caused by the COVID-19 pandemic and the uncertainty surrounding its continued adverse economic impact, as discussed above under “COVID-19 Developments.”</w:t>
      </w:r>
    </w:p>
    <w:p>
      <w:pPr>
        <w:spacing w:after="0" w:line="110" w:lineRule="exact"/>
        <w:rPr>
          <w:sz w:val="20"/>
          <w:szCs w:val="20"/>
          <w:color w:val="auto"/>
        </w:rPr>
      </w:pPr>
    </w:p>
    <w:p>
      <w:pPr>
        <w:ind w:right="40" w:firstLine="438"/>
        <w:spacing w:after="0" w:line="241" w:lineRule="auto"/>
        <w:rPr>
          <w:sz w:val="20"/>
          <w:szCs w:val="20"/>
          <w:color w:val="auto"/>
        </w:rPr>
      </w:pPr>
      <w:r>
        <w:rPr>
          <w:rFonts w:ascii="Times New Roman" w:cs="Times New Roman" w:eastAsia="Times New Roman" w:hAnsi="Times New Roman"/>
          <w:sz w:val="14"/>
          <w:szCs w:val="14"/>
          <w:color w:val="auto"/>
        </w:rPr>
        <w:t>For the three months ended December 31, 2020 and 2019, the Credit Facility and the 2023 Notes had a net change in unrealized (appreciation) depreciation of ($4.0) million and $1.4 million, respectively. As of December 31, 2020 and September 30, 2020, the net unrealized depreciation on the Credit Facility and the 2023 Notes totaled $14.8 million and $18.8 million, respectively. The net change in net unrealized (appreciation) depreciation compared to the same period in the prior year was primarily due to changes in the capital markets.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Change in Net Assets Resulting from Operations</w:t>
      </w:r>
    </w:p>
    <w:p>
      <w:pPr>
        <w:spacing w:after="0" w:line="140" w:lineRule="exact"/>
        <w:rPr>
          <w:sz w:val="20"/>
          <w:szCs w:val="20"/>
          <w:color w:val="auto"/>
        </w:rPr>
      </w:pPr>
    </w:p>
    <w:p>
      <w:pPr>
        <w:ind w:right="40" w:firstLine="438"/>
        <w:spacing w:after="0" w:line="259" w:lineRule="auto"/>
        <w:rPr>
          <w:sz w:val="20"/>
          <w:szCs w:val="20"/>
          <w:color w:val="auto"/>
        </w:rPr>
      </w:pPr>
      <w:r>
        <w:rPr>
          <w:rFonts w:ascii="Times New Roman" w:cs="Times New Roman" w:eastAsia="Times New Roman" w:hAnsi="Times New Roman"/>
          <w:sz w:val="13"/>
          <w:szCs w:val="13"/>
          <w:color w:val="auto"/>
        </w:rPr>
        <w:t>Net change in net assets resulting from operations totaled $26.1 million, or $0.67 per share, for the three months ended December 31, 2020. This compares to a net change in net assets resulting from operations of $10.0 million, or $0.26 per share, for the three months ended December 31, 2019. The increase in net assets from operations compared to the same period in the prior year was primarily due to unrealized gains in our equity co-investment program, including ITC Rumba, LLC (Cano Health, LLC), as well as the financial performance of certain portfolio companies primarily driven by the market disruption caused by the COVID-19 pandemic and the uncertainty surrounding its continued adverse economic impact, as discussed above under “COVID-19 Developments.”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December 31, 2020, in accordance with the 1940 Act, with certain limited exceptions, we are only allowed to borrow amounts such that we are in compliance with a 150% asset coverage ratio requirement after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borrowing. This “Liquidity and Capital Resources” section should be read in conjunction with the “COVID-19 Developments” section above.</w:t>
      </w:r>
    </w:p>
    <w:p>
      <w:pPr>
        <w:spacing w:after="0" w:line="163" w:lineRule="exact"/>
        <w:rPr>
          <w:sz w:val="20"/>
          <w:szCs w:val="20"/>
          <w:color w:val="auto"/>
        </w:rPr>
      </w:pPr>
    </w:p>
    <w:p>
      <w:pPr>
        <w:ind w:right="120" w:firstLine="438"/>
        <w:spacing w:after="0" w:line="236" w:lineRule="auto"/>
        <w:rPr>
          <w:sz w:val="20"/>
          <w:szCs w:val="20"/>
          <w:color w:val="auto"/>
        </w:rPr>
      </w:pPr>
      <w:r>
        <w:rPr>
          <w:rFonts w:ascii="Times New Roman" w:cs="Times New Roman" w:eastAsia="Times New Roman" w:hAnsi="Times New Roman"/>
          <w:sz w:val="14"/>
          <w:szCs w:val="14"/>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December 31, 2020 and September 30, 2020, our asset coverage ratio, as computed in accordance with the 1940 Act, was 179% and 168%, respectively.</w:t>
      </w:r>
    </w:p>
    <w:p>
      <w:pPr>
        <w:spacing w:after="0" w:line="109" w:lineRule="exact"/>
        <w:rPr>
          <w:sz w:val="20"/>
          <w:szCs w:val="20"/>
          <w:color w:val="auto"/>
        </w:rPr>
      </w:pPr>
    </w:p>
    <w:p>
      <w:pPr>
        <w:ind w:right="200" w:firstLine="438"/>
        <w:spacing w:after="0" w:line="241" w:lineRule="auto"/>
        <w:rPr>
          <w:sz w:val="20"/>
          <w:szCs w:val="20"/>
          <w:color w:val="auto"/>
        </w:rPr>
      </w:pPr>
      <w:r>
        <w:rPr>
          <w:rFonts w:ascii="Times New Roman" w:cs="Times New Roman" w:eastAsia="Times New Roman" w:hAnsi="Times New Roman"/>
          <w:sz w:val="14"/>
          <w:szCs w:val="14"/>
          <w:color w:val="auto"/>
        </w:rPr>
        <w:t>The annualized weighted average cost of debt for the three months ended December 31, 2020 and 2019, inclusive of the fee on the undrawn commitment on the Credit Facility, amendment costs and debt issuance costs, was 3.3% and 4.5%, respectively. As of December 31, 2020 and September 30, 2020, we had $263.1 million and $211.4 million of unused borrowing capacity under the Credit Facility, respectively, subject to leverage and borrowing base restrictions.</w:t>
      </w:r>
    </w:p>
    <w:p>
      <w:pPr>
        <w:spacing w:after="0" w:line="109" w:lineRule="exact"/>
        <w:rPr>
          <w:sz w:val="20"/>
          <w:szCs w:val="20"/>
          <w:color w:val="auto"/>
        </w:rPr>
      </w:pPr>
    </w:p>
    <w:p>
      <w:pPr>
        <w:ind w:right="40" w:firstLine="438"/>
        <w:spacing w:after="0" w:line="236" w:lineRule="auto"/>
        <w:rPr>
          <w:sz w:val="20"/>
          <w:szCs w:val="20"/>
          <w:color w:val="auto"/>
        </w:rPr>
      </w:pPr>
      <w:r>
        <w:rPr>
          <w:rFonts w:ascii="Times New Roman" w:cs="Times New Roman" w:eastAsia="Times New Roman" w:hAnsi="Times New Roman"/>
          <w:sz w:val="14"/>
          <w:szCs w:val="14"/>
          <w:color w:val="auto"/>
        </w:rPr>
        <w:t>Funding I’s multi-currency Credit Facility with the Lenders was $520 million as of December 31, 2020, subject to satisfaction of certain conditions and regulatory restrictions that the 1940 Act imposes on us as a BDC, has an interest rate spread above LIBOR (or an alternative risk-free floating interest rate index) of 200 basis points, a maturity date of October 2023 and a revolving period that ends in October 2021. As of December 31, 2020 and September 30, 2020, Funding I borrowed $256.9 million and $308.6 million under the Credit Facility, respectively. The Credit Facility had a weighted average interest rate of 2.2% and 2.2%, exclusive of the fee on undrawn commitments as of December 31, 2020 and September 30, 2020, respectively.</w:t>
      </w:r>
    </w:p>
    <w:p>
      <w:pPr>
        <w:spacing w:after="0" w:line="109"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During the revolving period, the Credit Facility bears interest at LIBOR (or an alternative risk-free floating interest rate index) plus 200 basis points and, after the revolving period, the rate sets to LIBOR (or an alternative risk-free floating interest rate index)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9" w:lineRule="exact"/>
        <w:rPr>
          <w:sz w:val="20"/>
          <w:szCs w:val="20"/>
          <w:color w:val="auto"/>
        </w:rPr>
      </w:pPr>
    </w:p>
    <w:p>
      <w:pPr>
        <w:ind w:right="40" w:firstLine="438"/>
        <w:spacing w:after="0" w:line="236" w:lineRule="auto"/>
        <w:rPr>
          <w:sz w:val="20"/>
          <w:szCs w:val="20"/>
          <w:color w:val="auto"/>
        </w:rPr>
      </w:pPr>
      <w:r>
        <w:rPr>
          <w:rFonts w:ascii="Times New Roman" w:cs="Times New Roman" w:eastAsia="Times New Roman" w:hAnsi="Times New Roman"/>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December 31, 2020, we were in compliance with the covenants relating to the Credit Facility.</w:t>
      </w:r>
    </w:p>
    <w:p>
      <w:pPr>
        <w:spacing w:after="0" w:line="109" w:lineRule="exact"/>
        <w:rPr>
          <w:sz w:val="20"/>
          <w:szCs w:val="20"/>
          <w:color w:val="auto"/>
        </w:rPr>
      </w:pPr>
    </w:p>
    <w:p>
      <w:pPr>
        <w:ind w:right="360" w:firstLine="438"/>
        <w:spacing w:after="0" w:line="261" w:lineRule="auto"/>
        <w:rPr>
          <w:sz w:val="20"/>
          <w:szCs w:val="20"/>
          <w:color w:val="auto"/>
        </w:rPr>
      </w:pPr>
      <w:r>
        <w:rPr>
          <w:rFonts w:ascii="Times New Roman" w:cs="Times New Roman" w:eastAsia="Times New Roman" w:hAnsi="Times New Roman"/>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95" w:lineRule="exact"/>
        <w:rPr>
          <w:sz w:val="20"/>
          <w:szCs w:val="20"/>
          <w:color w:val="auto"/>
        </w:rPr>
      </w:pPr>
    </w:p>
    <w:p>
      <w:pPr>
        <w:ind w:right="20" w:firstLine="438"/>
        <w:spacing w:after="0" w:line="233" w:lineRule="auto"/>
        <w:rPr>
          <w:sz w:val="20"/>
          <w:szCs w:val="20"/>
          <w:color w:val="auto"/>
        </w:rPr>
      </w:pPr>
      <w:r>
        <w:rPr>
          <w:rFonts w:ascii="Times New Roman" w:cs="Times New Roman" w:eastAsia="Times New Roman" w:hAnsi="Times New Roman"/>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any management fee owed with respect to such services is to be paid to us so long as the Investment Adviser remains the collateral manager.</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39" w:name="page40"/>
    <w:bookmarkEnd w:id="39"/>
    <w:p>
      <w:pPr>
        <w:ind w:right="60" w:firstLine="438"/>
        <w:spacing w:after="0" w:line="261" w:lineRule="auto"/>
        <w:rPr>
          <w:sz w:val="20"/>
          <w:szCs w:val="20"/>
          <w:color w:val="auto"/>
        </w:rPr>
      </w:pPr>
      <w:r>
        <w:rPr>
          <w:rFonts w:ascii="Times New Roman" w:cs="Times New Roman" w:eastAsia="Times New Roman" w:hAnsi="Times New Roman"/>
          <w:sz w:val="14"/>
          <w:szCs w:val="14"/>
          <w:color w:val="auto"/>
        </w:rPr>
        <w:t>In November 2017, we issued $138.6 million of our 2023 Notes pursuant to a deed of trust between the Company and Mishmeret Trust Company, Ltd., as trustee, of which $117.8 million and $138.6 million was outstanding as of December 31, 2020 and September 30, 2020, respectively.</w:t>
      </w:r>
    </w:p>
    <w:p>
      <w:pPr>
        <w:spacing w:after="0" w:line="95" w:lineRule="exact"/>
        <w:rPr>
          <w:sz w:val="20"/>
          <w:szCs w:val="20"/>
          <w:color w:val="auto"/>
        </w:rPr>
      </w:pPr>
    </w:p>
    <w:p>
      <w:pPr>
        <w:jc w:val="both"/>
        <w:ind w:right="260" w:firstLine="438"/>
        <w:spacing w:after="0" w:line="241" w:lineRule="auto"/>
        <w:rPr>
          <w:sz w:val="20"/>
          <w:szCs w:val="20"/>
          <w:color w:val="auto"/>
        </w:rPr>
      </w:pPr>
      <w:r>
        <w:rPr>
          <w:rFonts w:ascii="Times New Roman" w:cs="Times New Roman" w:eastAsia="Times New Roman" w:hAnsi="Times New Roman"/>
          <w:sz w:val="14"/>
          <w:szCs w:val="14"/>
          <w:color w:val="auto"/>
        </w:rPr>
        <w:t>The 2023 Notes pay interest at a rate of 4.3% per year. Interest on the 2023 Notes is payable semi-annually in arrears on June 15 and December 15 of each year, commencing June 15, 2018. The principal on the 2023 Notes is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9" w:lineRule="exact"/>
        <w:rPr>
          <w:sz w:val="20"/>
          <w:szCs w:val="20"/>
          <w:color w:val="auto"/>
        </w:rPr>
      </w:pPr>
    </w:p>
    <w:p>
      <w:pPr>
        <w:ind w:right="100" w:firstLine="438"/>
        <w:spacing w:after="0" w:line="236" w:lineRule="auto"/>
        <w:rPr>
          <w:sz w:val="20"/>
          <w:szCs w:val="20"/>
          <w:color w:val="auto"/>
        </w:rPr>
      </w:pPr>
      <w:r>
        <w:rPr>
          <w:rFonts w:ascii="Times New Roman" w:cs="Times New Roman" w:eastAsia="Times New Roman" w:hAnsi="Times New Roman"/>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the post-effective amendment to our registration statement filed on December 13, 2017 for more information. The 2023 Notes are rated ilA- by S&amp;P Global Ratings Maalot Ltd. and are listed on the TASE. In connection with this offering, we have dual listed our common stock on the TASE.</w:t>
      </w:r>
    </w:p>
    <w:p>
      <w:pPr>
        <w:spacing w:after="0" w:line="109" w:lineRule="exact"/>
        <w:rPr>
          <w:sz w:val="20"/>
          <w:szCs w:val="20"/>
          <w:color w:val="auto"/>
        </w:rPr>
      </w:pPr>
    </w:p>
    <w:p>
      <w:pPr>
        <w:ind w:right="340" w:firstLine="438"/>
        <w:spacing w:after="0" w:line="261" w:lineRule="auto"/>
        <w:rPr>
          <w:sz w:val="20"/>
          <w:szCs w:val="20"/>
          <w:color w:val="auto"/>
        </w:rPr>
      </w:pPr>
      <w:r>
        <w:rPr>
          <w:rFonts w:ascii="Times New Roman" w:cs="Times New Roman" w:eastAsia="Times New Roman" w:hAnsi="Times New Roman"/>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95" w:lineRule="exact"/>
        <w:rPr>
          <w:sz w:val="20"/>
          <w:szCs w:val="20"/>
          <w:color w:val="auto"/>
        </w:rPr>
      </w:pPr>
    </w:p>
    <w:p>
      <w:pPr>
        <w:ind w:right="40" w:firstLine="438"/>
        <w:spacing w:after="0" w:line="158" w:lineRule="exact"/>
        <w:rPr>
          <w:sz w:val="20"/>
          <w:szCs w:val="20"/>
          <w:color w:val="auto"/>
        </w:rPr>
      </w:pPr>
      <w:r>
        <w:rPr>
          <w:rFonts w:ascii="Times New Roman" w:cs="Times New Roman" w:eastAsia="Times New Roman" w:hAnsi="Times New Roman"/>
          <w:sz w:val="14"/>
          <w:szCs w:val="14"/>
          <w:color w:val="auto"/>
        </w:rPr>
        <w:t>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Notes due 2031, which bear interest at the three-month LIBOR plus 1.80%, (ii) $15.0 million Class A-2 Senior Secured Fixed Rate Notes due 2031, which bear interest at 3.66%, (iii) $14.0 million Class B-1 Senior Secured Floating Rate Notes due 2031, which bear interest at the three-month LIBOR plus 2.90%, (iv) $16.0 million Class B-2 Senior Secured Fixed Rate Notes due 2031, which bear interest at 4.266%, (v) $19.0 million Class C</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Secured Deferrable Floating Rate Notes due 2031, which bear interest at the three-month LIBOR plus 4.00%, (vi) $8.0 million Class C-2 Secured Deferrable Fixed Rate Notes due 2031, which bear interest at 5.379%, and (vii) $18.0 million Class D Secured Deferrable Floating Rate Notes due 2031, which bear interest at the three-month LIBOR plus 4.75% and (B) the borrowing of $77.5 million Class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Senior Secured Floating Rate Loans due 2031, which bear interest at the three-month LIBOR plus 1.80%, under a credit agreement by and among the Securitization Issuers, as borrowers, various financial institutions, as lenders, and U.S. Bank National Association, as collateral agent and as loan agent. The 2031 Asset-Backed Debt is scheduled to mature on October 15, 2031. As of both December 31, 2020 and September 30, 2020, the Company had $228.0 million of 2031 Asset-Backed Debt outstanding with a weighted average interest rate of 2.7%.</w:t>
      </w:r>
    </w:p>
    <w:p>
      <w:pPr>
        <w:spacing w:after="0" w:line="111"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On the closing date of the Debt Securitization, in consideration of our transfer to the Securitization Issuer of the initial closing date loan portfolio, which included loans distributed to us by our wholly 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109" w:lineRule="exact"/>
        <w:rPr>
          <w:sz w:val="20"/>
          <w:szCs w:val="20"/>
          <w:color w:val="auto"/>
        </w:rPr>
      </w:pPr>
    </w:p>
    <w:p>
      <w:pPr>
        <w:jc w:val="both"/>
        <w:ind w:right="220" w:firstLine="438"/>
        <w:spacing w:after="0" w:line="241" w:lineRule="auto"/>
        <w:rPr>
          <w:sz w:val="20"/>
          <w:szCs w:val="20"/>
          <w:color w:val="auto"/>
        </w:rPr>
      </w:pPr>
      <w:r>
        <w:rPr>
          <w:rFonts w:ascii="Times New Roman" w:cs="Times New Roman" w:eastAsia="Times New Roman" w:hAnsi="Times New Roman"/>
          <w:sz w:val="14"/>
          <w:szCs w:val="14"/>
          <w:color w:val="auto"/>
        </w:rPr>
        <w:t>The 2031 Asset-Backed Debt constitutes secured obligations of the Securitization Issuers, and the indenture governing the 2031 Asset-Backed Debt includes customary covenants and events of default. The 2031 Asset-Backed Debt has not been, and will not be, registered under the Securities Act or any state securities or “blue sky” laws and may not be offered or sold in the United States absent registration with the SEC or an applicable exemption from registration.</w:t>
      </w:r>
    </w:p>
    <w:p>
      <w:pPr>
        <w:spacing w:after="0" w:line="109" w:lineRule="exact"/>
        <w:rPr>
          <w:sz w:val="20"/>
          <w:szCs w:val="20"/>
          <w:color w:val="auto"/>
        </w:rPr>
      </w:pPr>
    </w:p>
    <w:p>
      <w:pPr>
        <w:ind w:right="120" w:firstLine="438"/>
        <w:spacing w:after="0" w:line="241" w:lineRule="auto"/>
        <w:rPr>
          <w:sz w:val="20"/>
          <w:szCs w:val="20"/>
          <w:color w:val="auto"/>
        </w:rPr>
      </w:pPr>
      <w:r>
        <w:rPr>
          <w:rFonts w:ascii="Times New Roman" w:cs="Times New Roman" w:eastAsia="Times New Roman" w:hAnsi="Times New Roman"/>
          <w:sz w:val="14"/>
          <w:szCs w:val="14"/>
          <w:color w:val="auto"/>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109" w:lineRule="exact"/>
        <w:rPr>
          <w:sz w:val="20"/>
          <w:szCs w:val="20"/>
          <w:color w:val="auto"/>
        </w:rPr>
      </w:pPr>
    </w:p>
    <w:p>
      <w:pPr>
        <w:ind w:right="20" w:firstLine="438"/>
        <w:spacing w:after="0" w:line="236" w:lineRule="auto"/>
        <w:rPr>
          <w:sz w:val="20"/>
          <w:szCs w:val="20"/>
          <w:color w:val="auto"/>
        </w:rPr>
      </w:pPr>
      <w:r>
        <w:rPr>
          <w:rFonts w:ascii="Times New Roman" w:cs="Times New Roman" w:eastAsia="Times New Roman" w:hAnsi="Times New Roman"/>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three months ended December 31, 2020 and 2019, we did not issue any shares.</w:t>
      </w:r>
    </w:p>
    <w:p>
      <w:pPr>
        <w:spacing w:after="0" w:line="109" w:lineRule="exact"/>
        <w:rPr>
          <w:sz w:val="20"/>
          <w:szCs w:val="20"/>
          <w:color w:val="auto"/>
        </w:rPr>
      </w:pPr>
    </w:p>
    <w:p>
      <w:pPr>
        <w:ind w:right="460" w:firstLine="438"/>
        <w:spacing w:after="0" w:line="261" w:lineRule="auto"/>
        <w:rPr>
          <w:sz w:val="20"/>
          <w:szCs w:val="20"/>
          <w:color w:val="auto"/>
        </w:rPr>
      </w:pPr>
      <w:r>
        <w:rPr>
          <w:rFonts w:ascii="Times New Roman" w:cs="Times New Roman" w:eastAsia="Times New Roman" w:hAnsi="Times New Roman"/>
          <w:sz w:val="14"/>
          <w:szCs w:val="14"/>
          <w:color w:val="auto"/>
        </w:rPr>
        <w:t>As of December 31, 2020 and September 30, 2020, we had cash and cash equivalents of $28.5 million and $57.5 million, respectively, available for investing and general corporate purposes. We believe our liquidity and capital resources are sufficient to take advantage of market opportunities.</w:t>
      </w:r>
    </w:p>
    <w:p>
      <w:pPr>
        <w:spacing w:after="0" w:line="95" w:lineRule="exact"/>
        <w:rPr>
          <w:sz w:val="20"/>
          <w:szCs w:val="20"/>
          <w:color w:val="auto"/>
        </w:rPr>
      </w:pPr>
    </w:p>
    <w:p>
      <w:pPr>
        <w:ind w:right="240" w:firstLine="438"/>
        <w:spacing w:after="0" w:line="261" w:lineRule="auto"/>
        <w:rPr>
          <w:sz w:val="20"/>
          <w:szCs w:val="20"/>
          <w:color w:val="auto"/>
        </w:rPr>
      </w:pPr>
      <w:r>
        <w:rPr>
          <w:rFonts w:ascii="Times New Roman" w:cs="Times New Roman" w:eastAsia="Times New Roman" w:hAnsi="Times New Roman"/>
          <w:sz w:val="14"/>
          <w:szCs w:val="14"/>
          <w:color w:val="auto"/>
        </w:rPr>
        <w:t>Our operating activities provided cash of $55.5 million for the three months ended December 31, 2020, and our financing activities used cash of $83.5 million for the same period. Our operating activities provided cash primarily from our investment activities and our financing activities used cash primarily to pay down our Credit Facility and the 2023 Notes.</w:t>
      </w:r>
    </w:p>
    <w:p>
      <w:pPr>
        <w:spacing w:after="0" w:line="95" w:lineRule="exact"/>
        <w:rPr>
          <w:sz w:val="20"/>
          <w:szCs w:val="20"/>
          <w:color w:val="auto"/>
        </w:rPr>
      </w:pPr>
    </w:p>
    <w:p>
      <w:pPr>
        <w:ind w:right="60" w:firstLine="438"/>
        <w:spacing w:after="0" w:line="241" w:lineRule="auto"/>
        <w:rPr>
          <w:sz w:val="20"/>
          <w:szCs w:val="20"/>
          <w:color w:val="auto"/>
        </w:rPr>
      </w:pPr>
      <w:r>
        <w:rPr>
          <w:rFonts w:ascii="Times New Roman" w:cs="Times New Roman" w:eastAsia="Times New Roman" w:hAnsi="Times New Roman"/>
          <w:sz w:val="14"/>
          <w:szCs w:val="14"/>
          <w:color w:val="auto"/>
        </w:rPr>
        <w:t>Our operating activities used cash of $66.1 million for the three months ended December 31, 2019 and our financing activities provided cash of $58.9 million for the same period. Our operating activities used cash primarily for our investment activities and our financing activities provided cash primarily from draws on our Credit Facility, partially offset by distributions paid to stockholders.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Secured Loan Fund I LLC</w:t>
      </w:r>
    </w:p>
    <w:p>
      <w:pPr>
        <w:spacing w:after="0" w:line="138" w:lineRule="exact"/>
        <w:rPr>
          <w:sz w:val="20"/>
          <w:szCs w:val="20"/>
          <w:color w:val="auto"/>
        </w:rPr>
      </w:pPr>
    </w:p>
    <w:p>
      <w:pPr>
        <w:ind w:right="100" w:firstLine="438"/>
        <w:spacing w:after="0" w:line="231" w:lineRule="auto"/>
        <w:rPr>
          <w:sz w:val="20"/>
          <w:szCs w:val="20"/>
          <w:color w:val="auto"/>
        </w:rPr>
      </w:pPr>
      <w:r>
        <w:rPr>
          <w:rFonts w:ascii="Times New Roman" w:cs="Times New Roman" w:eastAsia="Times New Roman" w:hAnsi="Times New Roman"/>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December 31, 2020 and September 30, 2020, PSSL had total assets of $395.1 million and $406.4 million, respectively. As of December 31, 2020, PSSL had $184.1 million of unused borrowing capacity under the PSSL Credit Facility (as defined below), subject to leverage and borrowing base restrictions, and cash and cash equivalents of $11.4 million. As of September 30, 2020, PSSL had $107.5 million of unused borrowing capacity under the PSSL Credit Facility, subject to leverage and borrowing base restrictions, and cash and cash equivalents of $11.1 million. As of December 31, 2020 and September 30, 2020, we and Kemper had remaining commitments to fund first lien secured debt and equity interests in PSSL in an aggregate amount of $23.5 million and $25.3 million, respectively. PSSL invests in portfolio companies in the same industries in which we may directly invest.</w:t>
      </w:r>
    </w:p>
    <w:p>
      <w:pPr>
        <w:spacing w:after="0" w:line="83" w:lineRule="exact"/>
        <w:rPr>
          <w:sz w:val="20"/>
          <w:szCs w:val="20"/>
          <w:color w:val="auto"/>
        </w:rPr>
      </w:pPr>
    </w:p>
    <w:p>
      <w:pPr>
        <w:ind w:right="140" w:firstLine="438"/>
        <w:spacing w:after="0" w:line="236" w:lineRule="auto"/>
        <w:rPr>
          <w:sz w:val="20"/>
          <w:szCs w:val="20"/>
          <w:color w:val="auto"/>
        </w:rPr>
      </w:pPr>
      <w:r>
        <w:rPr>
          <w:rFonts w:ascii="Times New Roman" w:cs="Times New Roman" w:eastAsia="Times New Roman" w:hAnsi="Times New Roman"/>
          <w:sz w:val="14"/>
          <w:szCs w:val="14"/>
          <w:color w:val="auto"/>
        </w:rPr>
        <w:t>We provide capital to PSSL in the form of first lien secured debt and equity interests. As of December 31, 2020 and September 30, 2020, we and Kemper owned 87.5% and 12.5%, respectively, of each of the outstanding first lien secured debt and equity interests. As of the same dates, our investment in PSSL consisted of first lien secured debt of $126.5 million (additional $14.4 million unfunded) and $125.4 million (additional $15.5 million unfunded), respectively, and equity interests of $54.2 million (additional $6.2 million unfunded) and $53.7 million (additional $6.6 million unfunded), respectively.</w:t>
      </w:r>
    </w:p>
    <w:p>
      <w:pPr>
        <w:spacing w:after="0" w:line="109" w:lineRule="exact"/>
        <w:rPr>
          <w:sz w:val="20"/>
          <w:szCs w:val="20"/>
          <w:color w:val="auto"/>
        </w:rPr>
      </w:pPr>
    </w:p>
    <w:p>
      <w:pPr>
        <w:ind w:right="120" w:firstLine="438"/>
        <w:spacing w:after="0" w:line="236" w:lineRule="auto"/>
        <w:rPr>
          <w:sz w:val="20"/>
          <w:szCs w:val="20"/>
          <w:color w:val="auto"/>
        </w:rPr>
      </w:pPr>
      <w:r>
        <w:rPr>
          <w:rFonts w:ascii="Times New Roman" w:cs="Times New Roman" w:eastAsia="Times New Roman" w:hAnsi="Times New Roman"/>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0" w:name="page41"/>
    <w:bookmarkEnd w:id="40"/>
    <w:p>
      <w:pPr>
        <w:ind w:right="140"/>
        <w:spacing w:after="0" w:line="261" w:lineRule="auto"/>
        <w:rPr>
          <w:sz w:val="20"/>
          <w:szCs w:val="20"/>
          <w:color w:val="auto"/>
        </w:rPr>
      </w:pPr>
      <w:r>
        <w:rPr>
          <w:rFonts w:ascii="Times New Roman" w:cs="Times New Roman" w:eastAsia="Times New Roman" w:hAnsi="Times New Roman"/>
          <w:sz w:val="14"/>
          <w:szCs w:val="14"/>
          <w:color w:val="auto"/>
        </w:rPr>
        <w:t>member with only one individual present shall be entitled to cast two votes on each matter; or (iii) the presence of four members of the board of directors or investment committee, provided that two individuals are present that were elected, designated or appointed by each member.</w:t>
      </w:r>
    </w:p>
    <w:p>
      <w:pPr>
        <w:spacing w:after="0" w:line="95" w:lineRule="exact"/>
        <w:rPr>
          <w:sz w:val="20"/>
          <w:szCs w:val="20"/>
          <w:color w:val="auto"/>
        </w:rPr>
      </w:pPr>
    </w:p>
    <w:p>
      <w:pPr>
        <w:jc w:val="both"/>
        <w:ind w:right="100" w:firstLine="438"/>
        <w:spacing w:after="0" w:line="241" w:lineRule="auto"/>
        <w:rPr>
          <w:sz w:val="20"/>
          <w:szCs w:val="20"/>
          <w:color w:val="auto"/>
        </w:rPr>
      </w:pPr>
      <w:r>
        <w:rPr>
          <w:rFonts w:ascii="Times New Roman" w:cs="Times New Roman" w:eastAsia="Times New Roman" w:hAnsi="Times New Roman"/>
          <w:sz w:val="14"/>
          <w:szCs w:val="14"/>
          <w:color w:val="auto"/>
        </w:rPr>
        <w:t>PSSL has entered into a $325.0 million senior secured revolving credit facility which bears interest at LIBOR (or an alternative risk-free floating interest rate index) plus 225 basis points, or the PSSL Credit Facility, with Capital One, N.A. through its wholly-owned subsidiary, PennantPark Senior Secured Loan Facility LLC, or PSSL Subsidiary, subject to leverage and borrowing base restrictions.</w:t>
      </w:r>
    </w:p>
    <w:p>
      <w:pPr>
        <w:spacing w:after="0" w:line="109" w:lineRule="exact"/>
        <w:rPr>
          <w:sz w:val="20"/>
          <w:szCs w:val="20"/>
          <w:color w:val="auto"/>
        </w:rPr>
      </w:pPr>
    </w:p>
    <w:p>
      <w:pPr>
        <w:ind w:right="100" w:firstLine="438"/>
        <w:spacing w:after="0" w:line="241" w:lineRule="auto"/>
        <w:rPr>
          <w:sz w:val="20"/>
          <w:szCs w:val="20"/>
          <w:color w:val="auto"/>
        </w:rPr>
      </w:pPr>
      <w:r>
        <w:rPr>
          <w:rFonts w:ascii="Times New Roman" w:cs="Times New Roman" w:eastAsia="Times New Roman" w:hAnsi="Times New Roman"/>
          <w:sz w:val="14"/>
          <w:szCs w:val="14"/>
          <w:color w:val="auto"/>
        </w:rPr>
        <w:t>Additionally, on December 23, 2020 PSSL issued a $50.0 million senior secured promissory note. The principal is payable upon the earlier of the closing date of the PennantPark CLO II, Ltd. transaction (See Note 12) and March 12, 2021. The senior secured promissory note bears interest at LIBOR (or an alternative risk-free floating interest rate index) plus 190 basis points. Proceeds from the senior secured promissory note were used to pay down the PSSL Credit Facility.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Below is a summary of PSSL’s portfolio at fair value:</w:t>
            </w:r>
          </w:p>
        </w:tc>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3"/>
        </w:trPr>
        <w:tc>
          <w:tcPr>
            <w:tcW w:w="45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 w:type="dxa"/>
            <w:vAlign w:val="bottom"/>
          </w:tcPr>
          <w:p>
            <w:pPr>
              <w:spacing w:after="0"/>
              <w:rPr>
                <w:sz w:val="22"/>
                <w:szCs w:val="22"/>
                <w:color w:val="auto"/>
              </w:rPr>
            </w:pPr>
          </w:p>
        </w:tc>
      </w:tr>
      <w:tr>
        <w:trPr>
          <w:trHeight w:val="155"/>
        </w:trPr>
        <w:tc>
          <w:tcPr>
            <w:tcW w:w="454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investments</w:t>
            </w:r>
          </w:p>
        </w:tc>
        <w:tc>
          <w:tcPr>
            <w:tcW w:w="26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382,232,264</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392,986,090</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yield on debt investments</w:t>
            </w: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w:t>
            </w:r>
          </w:p>
        </w:tc>
        <w:tc>
          <w:tcPr>
            <w:tcW w:w="20" w:type="dxa"/>
            <w:vAlign w:val="bottom"/>
          </w:tcPr>
          <w:p>
            <w:pPr>
              <w:spacing w:after="0"/>
              <w:rPr>
                <w:sz w:val="14"/>
                <w:szCs w:val="14"/>
                <w:color w:val="auto"/>
              </w:rPr>
            </w:pPr>
          </w:p>
        </w:tc>
      </w:tr>
      <w:tr>
        <w:trPr>
          <w:trHeight w:val="162"/>
        </w:trPr>
        <w:tc>
          <w:tcPr>
            <w:tcW w:w="45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Number of portfolio companies in PSSL</w:t>
            </w:r>
          </w:p>
        </w:tc>
        <w:tc>
          <w:tcPr>
            <w:tcW w:w="26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Largest portfolio company investment</w:t>
            </w:r>
          </w:p>
        </w:tc>
        <w:tc>
          <w:tcPr>
            <w:tcW w:w="282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21,766,222</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20,614,860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Total of five largest portfolio company investments</w:t>
            </w:r>
          </w:p>
        </w:tc>
        <w:tc>
          <w:tcPr>
            <w:tcW w:w="2820" w:type="dxa"/>
            <w:vAlign w:val="bottom"/>
            <w:gridSpan w:val="2"/>
            <w:shd w:val="clear" w:color="auto" w:fill="CCEC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90,626,739</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93,320,993</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727"/>
        </w:trPr>
        <w:tc>
          <w:tcPr>
            <w:tcW w:w="4540" w:type="dxa"/>
            <w:vAlign w:val="bottom"/>
          </w:tcPr>
          <w:p>
            <w:pPr>
              <w:spacing w:after="0"/>
              <w:rPr>
                <w:sz w:val="24"/>
                <w:szCs w:val="24"/>
                <w:color w:val="auto"/>
              </w:rPr>
            </w:pPr>
          </w:p>
        </w:tc>
        <w:tc>
          <w:tcPr>
            <w:tcW w:w="2640" w:type="dxa"/>
            <w:vAlign w:val="bottom"/>
          </w:tcPr>
          <w:p>
            <w:pPr>
              <w:jc w:val="right"/>
              <w:ind w:right="1431"/>
              <w:spacing w:after="0"/>
              <w:rPr>
                <w:sz w:val="20"/>
                <w:szCs w:val="20"/>
                <w:color w:val="auto"/>
              </w:rPr>
            </w:pPr>
            <w:r>
              <w:rPr>
                <w:rFonts w:ascii="Times New Roman" w:cs="Times New Roman" w:eastAsia="Times New Roman" w:hAnsi="Times New Roman"/>
                <w:sz w:val="13"/>
                <w:szCs w:val="13"/>
                <w:color w:val="auto"/>
              </w:rPr>
              <w:t>41</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454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14"/>
          <w:szCs w:val="14"/>
          <w:color w:val="auto"/>
        </w:rPr>
        <w:t>Below is a listing of PSSL’s individual investments as of December 31, 2020:</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2"/>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7"/>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Par</w:t>
            </w:r>
          </w:p>
        </w:tc>
        <w:tc>
          <w:tcPr>
            <w:tcW w:w="10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Pr>
          <w:p>
            <w:pPr>
              <w:spacing w:after="0"/>
              <w:rPr>
                <w:sz w:val="11"/>
                <w:szCs w:val="11"/>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9"/>
                <w:szCs w:val="9"/>
                <w:b w:val="1"/>
                <w:bCs w:val="1"/>
                <w:color w:val="auto"/>
              </w:rPr>
              <w:t>(2)</w:t>
            </w:r>
          </w:p>
        </w:tc>
      </w:tr>
      <w:tr>
        <w:trPr>
          <w:trHeight w:val="128"/>
        </w:trPr>
        <w:tc>
          <w:tcPr>
            <w:tcW w:w="3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Debt—757.3%</w:t>
            </w: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Altamira Technologies,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07/24/2025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4,793,655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4,736,311</w:t>
            </w:r>
          </w:p>
        </w:tc>
        <w:tc>
          <w:tcPr>
            <w:tcW w:w="220" w:type="dxa"/>
            <w:vAlign w:val="bottom"/>
            <w:shd w:val="clear" w:color="auto" w:fill="CCECFF"/>
          </w:tcPr>
          <w:p>
            <w:pPr>
              <w:spacing w:after="0"/>
              <w:rPr>
                <w:sz w:val="11"/>
                <w:szCs w:val="11"/>
                <w:color w:val="auto"/>
              </w:rPr>
            </w:pPr>
          </w:p>
        </w:tc>
        <w:tc>
          <w:tcPr>
            <w:tcW w:w="100" w:type="dxa"/>
            <w:vAlign w:val="bottom"/>
            <w:gridSpan w:val="2"/>
            <w:shd w:val="clear" w:color="auto" w:fill="CCEC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4,577,940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American Auto Auction Group,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01/02/2024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Transportation: Consumer</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7,650,680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7,577,451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7,421,160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05/16/2022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13,322,745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13,190,035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13,322,745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Cadence Aerospace, LLC</w:t>
            </w:r>
          </w:p>
        </w:tc>
        <w:tc>
          <w:tcPr>
            <w:tcW w:w="6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11/14/2023</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11,958,705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11,892,126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11,597,552</w:t>
            </w:r>
          </w:p>
        </w:tc>
        <w:tc>
          <w:tcPr>
            <w:tcW w:w="12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(PIK 9.50%)</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Cardenas Markets LLC</w:t>
            </w:r>
          </w:p>
        </w:tc>
        <w:tc>
          <w:tcPr>
            <w:tcW w:w="6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11/29/2023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7,260,885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7,241,946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7,079,363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Challenger Performance Optimization,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08/31/2023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8.00%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9,557,889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9,496,515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9,032,205</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Country Fresh Holdings,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05/01/2023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182,403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180,193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182,403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Country Fresh Holdings, LLC (Revolver)</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05/01/2023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450,110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450,111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450,110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10/19/2022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8,814,025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8,742,832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8,725,885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10/19/2022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7,384,345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7,355,651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7,310,502</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DRS Holdings III, Inc.</w:t>
            </w:r>
          </w:p>
        </w:tc>
        <w:tc>
          <w:tcPr>
            <w:tcW w:w="6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11/03/2025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8,001,943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7,933,475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8,009,944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Findex Group Limited </w:t>
            </w:r>
            <w:r>
              <w:rPr>
                <w:rFonts w:ascii="Times New Roman" w:cs="Times New Roman" w:eastAsia="Times New Roman" w:hAnsi="Times New Roman"/>
                <w:sz w:val="9"/>
                <w:szCs w:val="9"/>
                <w:color w:val="auto"/>
              </w:rPr>
              <w:t>(3), (4)</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05/31/2024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Banking, Finance, Insurance and Real Estate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5.07%</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7,426,591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7,407,840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GCOM Software LLC</w:t>
            </w:r>
          </w:p>
        </w:tc>
        <w:tc>
          <w:tcPr>
            <w:tcW w:w="6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11/14/2022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7.75%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16,500,931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16,427,796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16,500,931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Good2Grow LLC</w:t>
            </w:r>
          </w:p>
        </w:tc>
        <w:tc>
          <w:tcPr>
            <w:tcW w:w="6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11/18/2024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Beverages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5.25%</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9,499,183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9,433,068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9,499,183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IMIA Holdings,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10/26/2025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12,113,209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12,070,386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12,052,642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Impact Group,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06/27/2023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4"/>
              </w:rPr>
              <w:t>Wholesale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8.37%</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L+737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9,265,185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9,197,418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9,357,837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Integrative Nutrition,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09/29/2023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5.75%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8,562,480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8,562,480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8,476,856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12/20/2023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8.00%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19,400,356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19,257,000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LAV Gear Holdings,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10/31/2024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8.50%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10,103,330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10,034,691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9,361,746</w:t>
            </w:r>
          </w:p>
        </w:tc>
        <w:tc>
          <w:tcPr>
            <w:tcW w:w="120" w:type="dxa"/>
            <w:vAlign w:val="bottom"/>
            <w:shd w:val="clear" w:color="auto" w:fill="CCECFF"/>
          </w:tcPr>
          <w:p>
            <w:pPr>
              <w:spacing w:after="0"/>
              <w:rPr>
                <w:sz w:val="11"/>
                <w:szCs w:val="11"/>
                <w:color w:val="auto"/>
              </w:rPr>
            </w:pPr>
          </w:p>
        </w:tc>
      </w:tr>
      <w:tr>
        <w:trPr>
          <w:trHeight w:val="135"/>
        </w:trPr>
        <w:tc>
          <w:tcPr>
            <w:tcW w:w="21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(PIK 1.00%)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LSF9 Atlantis Holdings,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05/01/2023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1"/>
              </w:rPr>
              <w:t>Retail</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6,775,305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6,690,938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Marketplace Events, LLC - Super Priority First Lien Term Loan</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09/30/2025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589,122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589,122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589,122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Marketplace Events, LLC - Super Priority First Lien Term Loan </w:t>
            </w:r>
            <w:r>
              <w:rPr>
                <w:rFonts w:ascii="Times New Roman" w:cs="Times New Roman" w:eastAsia="Times New Roman" w:hAnsi="Times New Roman"/>
                <w:sz w:val="9"/>
                <w:szCs w:val="9"/>
                <w:color w:val="auto"/>
              </w:rPr>
              <w:t>(6)</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09/30/2025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589,122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Marketplace Events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09/30/2026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9"/>
                <w:szCs w:val="9"/>
                <w:color w:val="auto"/>
                <w:w w:val="94"/>
              </w:rPr>
              <w:t>(5)</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4,402,977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3,441,474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3,490,302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MeritDirect,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05/23/2024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Advertising, Printing &amp; Publishing</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4,756,924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4,718,027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4,566,647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09/28/2022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5,934,668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5,915,065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5,906,182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New Milani Group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06/06/2024</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14,625,000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14,537,498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13,381,876</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Output Services Group,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03/27/2024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7,783,419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7,804,076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7,199,663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PH Beauty Holdings III,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09/29/2025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4"/>
              </w:rPr>
              <w:t>Wholesale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5.23%</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9,767,613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9,696,990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9,230,395</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10/19/2022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1,589,974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1,577,612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1,574,075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PlayPower, Inc.</w:t>
            </w:r>
          </w:p>
        </w:tc>
        <w:tc>
          <w:tcPr>
            <w:tcW w:w="6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05/8/2026</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5.74%</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4,015,020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3,981,683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3,829,326</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Sargent &amp; Greenleaf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12/20/2024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4"/>
              </w:rPr>
              <w:t>Wholesale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4,839,970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4,838,749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Schlesinger Global,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07/14/2025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11,874,567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11,874,567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10,716,797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Smile Brands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10/14/2024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4.79%</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11,147,500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11,067,083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10,813,075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Snak Club,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07/19/2021</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4,518,583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4,518,583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4,473,397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Solutionreach,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01/17/2024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6,197,791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6,137,232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6,154,407</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STV Group Incorporated</w:t>
            </w:r>
          </w:p>
        </w:tc>
        <w:tc>
          <w:tcPr>
            <w:tcW w:w="6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12/11/2026</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5.40%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7,742,222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7,674,638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7,742,222</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TeleGuam Holdings, LLC</w:t>
            </w:r>
          </w:p>
        </w:tc>
        <w:tc>
          <w:tcPr>
            <w:tcW w:w="6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11/20/2025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Telecommunications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8,187,806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8,152,391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8,105,928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Teneo Holdings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07/18/2025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4,778,965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4,877,855</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The Infosoft Group,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09/16/2024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6M L+575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8,548,701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8,534,306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8,548,701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6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11/24/2025</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8,901,566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8,815,449</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8,634,519</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TVC Enterprises,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01/18/2024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9,722,209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9,722,209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9,795,126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06/16/2025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6,910,465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6,803,278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6,910,465</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UBEO,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04/03/2024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21,930,702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21,739,216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21,766,222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Urology Management Associates,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08/30/2024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11,434,281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11,291,119</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11,177,010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09/26/2024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4"/>
              </w:rPr>
              <w:t>Wholesale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15,492,125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15,348,482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15,492,125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color w:val="auto"/>
              </w:rPr>
              <w:t>Whitney, Bradley &amp; Brown, Inc.</w:t>
            </w:r>
          </w:p>
        </w:tc>
        <w:tc>
          <w:tcPr>
            <w:tcW w:w="660" w:type="dxa"/>
            <w:vAlign w:val="bottom"/>
            <w:tcBorders>
              <w:bottom w:val="single" w:sz="8" w:color="CCECFF"/>
            </w:tcBorders>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10/18/2022</w:t>
            </w:r>
          </w:p>
        </w:tc>
        <w:tc>
          <w:tcPr>
            <w:tcW w:w="220" w:type="dxa"/>
            <w:vAlign w:val="bottom"/>
            <w:tcBorders>
              <w:bottom w:val="single" w:sz="8" w:color="CCECFF"/>
            </w:tcBorders>
          </w:tcPr>
          <w:p>
            <w:pPr>
              <w:spacing w:after="0"/>
              <w:rPr>
                <w:sz w:val="11"/>
                <w:szCs w:val="11"/>
                <w:color w:val="auto"/>
              </w:rPr>
            </w:pPr>
          </w:p>
        </w:tc>
        <w:tc>
          <w:tcPr>
            <w:tcW w:w="268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tcBorders>
              <w:bottom w:val="single" w:sz="8" w:color="CCECFF"/>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8.50%</w:t>
            </w: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2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5,118,990</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5,067,986</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5,118,988</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376,751,758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371,247,956</w:t>
            </w:r>
          </w:p>
        </w:tc>
        <w:tc>
          <w:tcPr>
            <w:tcW w:w="120" w:type="dxa"/>
            <w:vAlign w:val="bottom"/>
            <w:shd w:val="clear" w:color="auto" w:fill="CCECFF"/>
          </w:tcPr>
          <w:p>
            <w:pPr>
              <w:spacing w:after="0"/>
              <w:rPr>
                <w:sz w:val="11"/>
                <w:szCs w:val="11"/>
                <w:color w:val="auto"/>
              </w:rPr>
            </w:pPr>
          </w:p>
        </w:tc>
      </w:tr>
      <w:tr>
        <w:trPr>
          <w:trHeight w:val="129"/>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Debt—18.0%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Country Fresh Holdings,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04/29/2024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9"/>
                <w:szCs w:val="9"/>
                <w:color w:val="auto"/>
                <w:w w:val="94"/>
              </w:rPr>
              <w:t>(5)</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987,450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964,305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124,419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DBI Holding, LLC, Term Loan B</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03/26/2021</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9.00%</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17,335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17,335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17,335</w:t>
            </w:r>
          </w:p>
        </w:tc>
        <w:tc>
          <w:tcPr>
            <w:tcW w:w="12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(PIK 9.00%)</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DBI Holding, LLC, Term Loan 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02/02/2026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9.00%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8,672,665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8,672,665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8,672,665</w:t>
            </w:r>
          </w:p>
        </w:tc>
        <w:tc>
          <w:tcPr>
            <w:tcW w:w="120" w:type="dxa"/>
            <w:vAlign w:val="bottom"/>
            <w:shd w:val="clear" w:color="auto" w:fill="CCECFF"/>
          </w:tcPr>
          <w:p>
            <w:pPr>
              <w:spacing w:after="0"/>
              <w:rPr>
                <w:sz w:val="11"/>
                <w:szCs w:val="11"/>
                <w:color w:val="auto"/>
              </w:rPr>
            </w:pPr>
          </w:p>
        </w:tc>
      </w:tr>
      <w:tr>
        <w:trPr>
          <w:trHeight w:val="135"/>
        </w:trPr>
        <w:tc>
          <w:tcPr>
            <w:tcW w:w="21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(PIK 9.00%)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28"/>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9,654,305</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8,814,419</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Equity Securities—4.4%</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Country Fresh Holding Company Inc.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1,713,106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DBI Holding, LLC, Series A-1</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13.00%</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5,034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5,034,310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2,169,889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DBI Holding, LLC, Series B</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1,065,021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236,521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New MPE Holdings, LLC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8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6,983,937</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2,169,889</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Investments—779.7%</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393,390,000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382,232,264</w:t>
            </w:r>
          </w:p>
        </w:tc>
        <w:tc>
          <w:tcPr>
            <w:tcW w:w="120" w:type="dxa"/>
            <w:vAlign w:val="bottom"/>
            <w:shd w:val="clear" w:color="auto" w:fill="CCECFF"/>
          </w:tcPr>
          <w:p>
            <w:pPr>
              <w:spacing w:after="0"/>
              <w:rPr>
                <w:sz w:val="11"/>
                <w:szCs w:val="11"/>
                <w:color w:val="auto"/>
              </w:rPr>
            </w:pPr>
          </w:p>
        </w:tc>
      </w:tr>
      <w:tr>
        <w:trPr>
          <w:trHeight w:val="128"/>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Equivalents—23.3%</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4,739,098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4,739,098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6,586,206</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6,668,928</w:t>
            </w:r>
          </w:p>
        </w:tc>
        <w:tc>
          <w:tcPr>
            <w:tcW w:w="120" w:type="dxa"/>
            <w:vAlign w:val="bottom"/>
            <w:tcBorders>
              <w:bottom w:val="single" w:sz="8" w:color="CCECFF"/>
            </w:tcBorders>
          </w:tcPr>
          <w:p>
            <w:pPr>
              <w:spacing w:after="0"/>
              <w:rPr>
                <w:sz w:val="11"/>
                <w:szCs w:val="11"/>
                <w:color w:val="auto"/>
              </w:rPr>
            </w:pPr>
          </w:p>
        </w:tc>
      </w:tr>
      <w:tr>
        <w:trPr>
          <w:trHeight w:val="129"/>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11,325,304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11,408,026</w:t>
            </w:r>
          </w:p>
        </w:tc>
        <w:tc>
          <w:tcPr>
            <w:tcW w:w="120" w:type="dxa"/>
            <w:vAlign w:val="bottom"/>
            <w:shd w:val="clear" w:color="auto" w:fill="CCECFF"/>
          </w:tcPr>
          <w:p>
            <w:pPr>
              <w:spacing w:after="0"/>
              <w:rPr>
                <w:sz w:val="11"/>
                <w:szCs w:val="11"/>
                <w:color w:val="auto"/>
              </w:rPr>
            </w:pPr>
          </w:p>
        </w:tc>
      </w:tr>
      <w:tr>
        <w:trPr>
          <w:trHeight w:val="168"/>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Equivalents—803.0%</w:t>
            </w:r>
          </w:p>
        </w:tc>
        <w:tc>
          <w:tcPr>
            <w:tcW w:w="120" w:type="dxa"/>
            <w:vAlign w:val="bottom"/>
            <w:tcBorders>
              <w:bottom w:val="single" w:sz="8" w:color="CCECFF"/>
            </w:tcBorders>
          </w:tcPr>
          <w:p>
            <w:pPr>
              <w:spacing w:after="0"/>
              <w:rPr>
                <w:sz w:val="14"/>
                <w:szCs w:val="14"/>
                <w:color w:val="auto"/>
              </w:rPr>
            </w:pPr>
          </w:p>
        </w:tc>
        <w:tc>
          <w:tcPr>
            <w:tcW w:w="54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5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70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70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56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404,715,304</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393,640,290</w:t>
            </w:r>
          </w:p>
        </w:tc>
        <w:tc>
          <w:tcPr>
            <w:tcW w:w="120" w:type="dxa"/>
            <w:vAlign w:val="bottom"/>
            <w:tcBorders>
              <w:bottom w:val="single" w:sz="8" w:color="CCECFF"/>
            </w:tcBorders>
          </w:tcPr>
          <w:p>
            <w:pPr>
              <w:spacing w:after="0"/>
              <w:rPr>
                <w:sz w:val="14"/>
                <w:szCs w:val="14"/>
                <w:color w:val="auto"/>
              </w:rPr>
            </w:pPr>
          </w:p>
        </w:tc>
      </w:tr>
      <w:tr>
        <w:trPr>
          <w:trHeight w:val="115"/>
        </w:trPr>
        <w:tc>
          <w:tcPr>
            <w:tcW w:w="3080" w:type="dxa"/>
            <w:vAlign w:val="bottom"/>
            <w:gridSpan w:val="2"/>
            <w:shd w:val="clear" w:color="auto" w:fill="CCEC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Assets—(703.0)%</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5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w w:val="99"/>
              </w:rPr>
              <w:t>(344,617,656)</w:t>
            </w:r>
          </w:p>
        </w:tc>
        <w:tc>
          <w:tcPr>
            <w:tcW w:w="120" w:type="dxa"/>
            <w:vAlign w:val="bottom"/>
            <w:shd w:val="clear" w:color="auto" w:fill="CCECFF"/>
          </w:tcPr>
          <w:p>
            <w:pPr>
              <w:spacing w:after="0"/>
              <w:rPr>
                <w:sz w:val="10"/>
                <w:szCs w:val="10"/>
                <w:color w:val="auto"/>
              </w:rPr>
            </w:pPr>
          </w:p>
        </w:tc>
      </w:tr>
      <w:tr>
        <w:trPr>
          <w:trHeight w:val="129"/>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49,022,634</w:t>
            </w:r>
          </w:p>
        </w:tc>
        <w:tc>
          <w:tcPr>
            <w:tcW w:w="120" w:type="dxa"/>
            <w:vAlign w:val="bottom"/>
          </w:tcPr>
          <w:p>
            <w:pPr>
              <w:spacing w:after="0"/>
              <w:rPr>
                <w:sz w:val="11"/>
                <w:szCs w:val="11"/>
                <w:color w:val="auto"/>
              </w:rPr>
            </w:pPr>
          </w:p>
        </w:tc>
      </w:tr>
      <w:tr>
        <w:trPr>
          <w:trHeight w:val="20"/>
        </w:trPr>
        <w:tc>
          <w:tcPr>
            <w:tcW w:w="2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 w:lineRule="exact"/>
        <w:rPr>
          <w:sz w:val="20"/>
          <w:szCs w:val="20"/>
          <w:color w:val="auto"/>
        </w:rPr>
      </w:pPr>
    </w:p>
    <w:p>
      <w:pPr>
        <w:ind w:left="380" w:right="40" w:hanging="372"/>
        <w:spacing w:after="0" w:line="243" w:lineRule="auto"/>
        <w:tabs>
          <w:tab w:leader="none" w:pos="380" w:val="left"/>
        </w:tabs>
        <w:numPr>
          <w:ilvl w:val="0"/>
          <w:numId w:val="25"/>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0" w:lineRule="exact"/>
        <w:rPr>
          <w:rFonts w:ascii="Times New Roman" w:cs="Times New Roman" w:eastAsia="Times New Roman" w:hAnsi="Times New Roman"/>
          <w:sz w:val="9"/>
          <w:szCs w:val="9"/>
          <w:b w:val="1"/>
          <w:bCs w:val="1"/>
          <w:color w:val="auto"/>
        </w:rPr>
      </w:pPr>
    </w:p>
    <w:p>
      <w:pPr>
        <w:ind w:left="380" w:hanging="372"/>
        <w:spacing w:after="0"/>
        <w:tabs>
          <w:tab w:leader="none" w:pos="38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1"/>
          <w:szCs w:val="11"/>
          <w:color w:val="auto"/>
        </w:rPr>
        <w:t>Valued based on PSSL’s accounting policy.</w:t>
      </w:r>
    </w:p>
    <w:p>
      <w:pPr>
        <w:spacing w:after="0" w:line="35" w:lineRule="exact"/>
        <w:rPr>
          <w:rFonts w:ascii="Times New Roman" w:cs="Times New Roman" w:eastAsia="Times New Roman" w:hAnsi="Times New Roman"/>
          <w:sz w:val="9"/>
          <w:szCs w:val="9"/>
          <w:color w:val="auto"/>
        </w:rPr>
      </w:pPr>
    </w:p>
    <w:p>
      <w:pPr>
        <w:ind w:left="380" w:hanging="372"/>
        <w:spacing w:after="0"/>
        <w:tabs>
          <w:tab w:leader="none" w:pos="38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1"/>
          <w:szCs w:val="11"/>
          <w:color w:val="auto"/>
        </w:rPr>
        <w:t>Non-U.S. company or principal place of business outside the United States.</w:t>
      </w:r>
    </w:p>
    <w:p>
      <w:pPr>
        <w:spacing w:after="0" w:line="35" w:lineRule="exact"/>
        <w:rPr>
          <w:rFonts w:ascii="Times New Roman" w:cs="Times New Roman" w:eastAsia="Times New Roman" w:hAnsi="Times New Roman"/>
          <w:sz w:val="9"/>
          <w:szCs w:val="9"/>
          <w:color w:val="auto"/>
        </w:rPr>
      </w:pPr>
    </w:p>
    <w:p>
      <w:pPr>
        <w:ind w:left="380" w:hanging="372"/>
        <w:spacing w:after="0"/>
        <w:tabs>
          <w:tab w:leader="none" w:pos="38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1"/>
          <w:szCs w:val="11"/>
          <w:color w:val="auto"/>
        </w:rPr>
        <w:t>Par amount is denominated in Australian Dollars (A$) as denoted.</w:t>
      </w:r>
    </w:p>
    <w:p>
      <w:pPr>
        <w:spacing w:after="0" w:line="7" w:lineRule="exact"/>
        <w:rPr>
          <w:rFonts w:ascii="Times New Roman" w:cs="Times New Roman" w:eastAsia="Times New Roman" w:hAnsi="Times New Roman"/>
          <w:sz w:val="9"/>
          <w:szCs w:val="9"/>
          <w:color w:val="auto"/>
        </w:rPr>
      </w:pPr>
    </w:p>
    <w:p>
      <w:pPr>
        <w:ind w:left="380" w:hanging="372"/>
        <w:spacing w:after="0" w:line="230" w:lineRule="auto"/>
        <w:tabs>
          <w:tab w:leader="none" w:pos="38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1"/>
          <w:szCs w:val="11"/>
          <w:color w:val="auto"/>
        </w:rPr>
        <w:t>Non-income producing security.</w:t>
      </w:r>
    </w:p>
    <w:p>
      <w:pPr>
        <w:ind w:left="380" w:hanging="372"/>
        <w:spacing w:after="0"/>
        <w:tabs>
          <w:tab w:leader="none" w:pos="38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2" w:name="page43"/>
    <w:bookmarkEnd w:id="42"/>
    <w:p>
      <w:pPr>
        <w:ind w:left="440"/>
        <w:spacing w:after="0"/>
        <w:rPr>
          <w:sz w:val="20"/>
          <w:szCs w:val="20"/>
          <w:color w:val="auto"/>
        </w:rPr>
      </w:pPr>
      <w:r>
        <w:rPr>
          <w:rFonts w:ascii="Times New Roman" w:cs="Times New Roman" w:eastAsia="Times New Roman" w:hAnsi="Times New Roman"/>
          <w:sz w:val="14"/>
          <w:szCs w:val="14"/>
          <w:color w:val="auto"/>
        </w:rPr>
        <w:t>Below is a listing of PSSL’s individual investments as of September 30, 2020: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2"/>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20" w:type="dxa"/>
            <w:vAlign w:val="bottom"/>
          </w:tcPr>
          <w:p>
            <w:pPr>
              <w:spacing w:after="0"/>
              <w:rPr>
                <w:sz w:val="10"/>
                <w:szCs w:val="10"/>
                <w:color w:val="auto"/>
              </w:rPr>
            </w:pPr>
          </w:p>
        </w:tc>
        <w:tc>
          <w:tcPr>
            <w:tcW w:w="94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7"/>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20" w:type="dxa"/>
            <w:vAlign w:val="bottom"/>
          </w:tcPr>
          <w:p>
            <w:pPr>
              <w:spacing w:after="0"/>
              <w:rPr>
                <w:sz w:val="11"/>
                <w:szCs w:val="11"/>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(1)</w:t>
            </w:r>
          </w:p>
        </w:tc>
        <w:tc>
          <w:tcPr>
            <w:tcW w:w="120" w:type="dxa"/>
            <w:vAlign w:val="bottom"/>
          </w:tcPr>
          <w:p>
            <w:pPr>
              <w:spacing w:after="0"/>
              <w:rPr>
                <w:sz w:val="11"/>
                <w:szCs w:val="11"/>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Par</w:t>
            </w:r>
          </w:p>
        </w:tc>
        <w:tc>
          <w:tcPr>
            <w:tcW w:w="10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Pr>
          <w:p>
            <w:pPr>
              <w:spacing w:after="0"/>
              <w:rPr>
                <w:sz w:val="11"/>
                <w:szCs w:val="11"/>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9"/>
                <w:szCs w:val="9"/>
                <w:b w:val="1"/>
                <w:bCs w:val="1"/>
                <w:color w:val="auto"/>
              </w:rPr>
              <w:t>(2)</w:t>
            </w:r>
          </w:p>
        </w:tc>
      </w:tr>
      <w:tr>
        <w:trPr>
          <w:trHeight w:val="128"/>
        </w:trPr>
        <w:tc>
          <w:tcPr>
            <w:tcW w:w="3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Debt—838.2%</w:t>
            </w: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Altamira Technologies,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07/24/2025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L+600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4,856,155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4,795,251</w:t>
            </w:r>
          </w:p>
        </w:tc>
        <w:tc>
          <w:tcPr>
            <w:tcW w:w="220" w:type="dxa"/>
            <w:vAlign w:val="bottom"/>
            <w:shd w:val="clear" w:color="auto" w:fill="CCECFF"/>
          </w:tcPr>
          <w:p>
            <w:pPr>
              <w:spacing w:after="0"/>
              <w:rPr>
                <w:sz w:val="11"/>
                <w:szCs w:val="11"/>
                <w:color w:val="auto"/>
              </w:rPr>
            </w:pPr>
          </w:p>
        </w:tc>
        <w:tc>
          <w:tcPr>
            <w:tcW w:w="100" w:type="dxa"/>
            <w:vAlign w:val="bottom"/>
            <w:gridSpan w:val="2"/>
            <w:shd w:val="clear" w:color="auto" w:fill="CCEC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4,686,189</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American Auto Auction Group,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01/02/2024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Transportation: Consumer</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7,670,399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7,596,860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7,440,287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05/16/2022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L+625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10,901,843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10,774,172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10,792,825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Cadence Aerospace, LLC</w:t>
            </w:r>
          </w:p>
        </w:tc>
        <w:tc>
          <w:tcPr>
            <w:tcW w:w="6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11/14/2023</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L+850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11,802,082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11,730,187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11,322,915</w:t>
            </w:r>
          </w:p>
        </w:tc>
        <w:tc>
          <w:tcPr>
            <w:tcW w:w="12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(PIK 9.50%)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Cardenas Markets LLC</w:t>
            </w:r>
          </w:p>
        </w:tc>
        <w:tc>
          <w:tcPr>
            <w:tcW w:w="6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11/29/2023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4,779,776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4,759,527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4,779,776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Centauri Group Holdings,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02/12/2024</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L+525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5,330,847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5,330,847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5,304,193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Challenger Performance Optimization,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08/31/2023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9,663,392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9,595,826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8,986,954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Country Fresh Holdings,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05/01/2023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182,403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179,976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182,403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Country Fresh Holdings, LLC (Revolver)</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05/01/2023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450,110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450,111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450,110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10/19/2022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8,836,683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8,756,358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8,704,133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10/19/2022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7,403,183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7,370,405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7,292,135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DRS Holdings III, Inc.</w:t>
            </w:r>
          </w:p>
        </w:tc>
        <w:tc>
          <w:tcPr>
            <w:tcW w:w="6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11/03/2025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8,022,149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7,950,609</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7,875,344</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Findex Group Limited </w:t>
            </w:r>
            <w:r>
              <w:rPr>
                <w:rFonts w:ascii="Times New Roman" w:cs="Times New Roman" w:eastAsia="Times New Roman" w:hAnsi="Times New Roman"/>
                <w:sz w:val="9"/>
                <w:szCs w:val="9"/>
                <w:color w:val="auto"/>
              </w:rPr>
              <w:t>(3), (4)</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05/31/2024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Banking, Finance, Insurance and Real Estate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5.46%</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L+525A</w:t>
            </w:r>
          </w:p>
        </w:tc>
        <w:tc>
          <w:tcPr>
            <w:tcW w:w="12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7,411,600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6,809,125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GCOM Software LLC</w:t>
            </w:r>
          </w:p>
        </w:tc>
        <w:tc>
          <w:tcPr>
            <w:tcW w:w="6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11/14/2022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L+625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16,646,228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16,562,972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16,646,228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Good2Grow LLC</w:t>
            </w:r>
          </w:p>
        </w:tc>
        <w:tc>
          <w:tcPr>
            <w:tcW w:w="6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11/18/2024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Beverages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L+425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9,499,183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9,429,133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9,427,938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GSM Holdings,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06/03/2024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19,470,523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19,354,235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19,275,817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IMIA Holdings,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10/26/2025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L+450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12,143,568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12,097,717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12,022,132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Impact Group,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06/27/2023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4"/>
              </w:rPr>
              <w:t>Wholesale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8.37%</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L+737</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9,290,185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9,216,206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9,336,636</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Integrative Nutrition,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09/29/2023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5.75%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L+475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8,587,606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8,587,606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8,458,792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12/20/2023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L+700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19,650,000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19,436,214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19,217,700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LAV Gear Holdings,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10/31/2024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L+750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9,975,861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9,902,990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9,188,766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LSF9 Atlantis Holdings,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05/01/2023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1"/>
              </w:rPr>
              <w:t>Retail</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L+600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6,843,750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6,872,048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6,631,320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Manna Pro Products,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12/08/2023</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L+600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4,313,910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4,273,019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4,197,866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Marketplace Events LLC </w:t>
            </w:r>
            <w:r>
              <w:rPr>
                <w:rFonts w:ascii="Times New Roman" w:cs="Times New Roman" w:eastAsia="Times New Roman" w:hAnsi="Times New Roman"/>
                <w:sz w:val="9"/>
                <w:szCs w:val="9"/>
                <w:color w:val="auto"/>
              </w:rPr>
              <w:t>(4)</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01/27/2023</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4"/>
              </w:rPr>
              <w:t>(5)</w:t>
            </w:r>
          </w:p>
        </w:tc>
        <w:tc>
          <w:tcPr>
            <w:tcW w:w="4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 C</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5,730,254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4,449,786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3,623,691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MeritDirect,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05/23/2024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Advertising, Printing &amp; Publishing</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4,812,500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4,771,073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4,583,906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09/28/2022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L+500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5,949,731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5,927,114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5,877,737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New Milani Group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06/06/2024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14,662,500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14,568,019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13,379,531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Output Services Group,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03/27/2024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7,803,419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7,825,029</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7,101,111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PH Beauty Holdings III,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09/29/2025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4"/>
              </w:rPr>
              <w:t>Wholesale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5.19%</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9,792,594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9,717,936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9,156,076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10/19/2022</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1,594,030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1,579,915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1,570,120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PlayPower, Inc.</w:t>
            </w:r>
          </w:p>
        </w:tc>
        <w:tc>
          <w:tcPr>
            <w:tcW w:w="6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05/8/2026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5.72%</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4,025,520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3,990,707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3,824,244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Sargent &amp; Greenleaf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12/20/2024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4"/>
              </w:rPr>
              <w:t>Wholesale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4,860,858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4,836,350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Schlesinger Global,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07/14/2025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L+600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11,904,617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11,904,617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11,041,532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Smile Brands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10/14/2024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4.93%</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11,175,938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11,090,654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10,840,659</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Snak Club,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07/19/2021</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4,561,971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4,561,971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4,493,542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Solutionreach, Inc.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01/17/2024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6,214,305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6,149,172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6,145,948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STV Group Incorporated</w:t>
            </w:r>
          </w:p>
        </w:tc>
        <w:tc>
          <w:tcPr>
            <w:tcW w:w="6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12/11/2026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5.40%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7,762,222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7,692,023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7,684,600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TeleGuam Holdings, LLC</w:t>
            </w:r>
          </w:p>
        </w:tc>
        <w:tc>
          <w:tcPr>
            <w:tcW w:w="6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11/20/2025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Telecommunications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8,309,797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8,272,104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8,060,503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Teneo Holdings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07/18/2025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4,783,595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4,764,375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The Infosoft Group,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09/16/2024</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6M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L+575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8,602,807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8,584,634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8,602,807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6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11/24/2025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8,924,066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8,837,614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8,656,344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TVC Enterprises,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01/18/2024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L+550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9,747,335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9,747,335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9,674,230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06/16/2025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L+625</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6,910,465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6,797,117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6,772,256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UBEO,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04/03/2024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L+450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21,930,702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21,762,065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20,614,860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Urology Management Associates, LLC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08/30/2024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L+500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11,463,443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11,311,325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11,119,540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09/26/2024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4"/>
              </w:rPr>
              <w:t>Wholesale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3M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L+625</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10,594,047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10,440,520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10,594,047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Whitney, Bradley &amp; Brown, Inc.</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10/18/2022</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8.50%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L+750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254,095</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250,910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251,557</w:t>
            </w:r>
          </w:p>
        </w:tc>
        <w:tc>
          <w:tcPr>
            <w:tcW w:w="120" w:type="dxa"/>
            <w:vAlign w:val="bottom"/>
            <w:shd w:val="clear" w:color="auto" w:fill="CCECFF"/>
          </w:tcPr>
          <w:p>
            <w:pPr>
              <w:spacing w:after="0"/>
              <w:rPr>
                <w:sz w:val="11"/>
                <w:szCs w:val="11"/>
                <w:color w:val="auto"/>
              </w:rPr>
            </w:pPr>
          </w:p>
        </w:tc>
      </w:tr>
      <w:tr>
        <w:trPr>
          <w:trHeight w:val="129"/>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392,309,962</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382,299,150</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Debt—19.5%</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Country Fresh Holdings, LLC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04/29/2024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tcPr>
          <w:p>
            <w:pPr>
              <w:spacing w:after="0"/>
              <w:rPr>
                <w:sz w:val="11"/>
                <w:szCs w:val="11"/>
                <w:color w:val="auto"/>
              </w:rPr>
            </w:pPr>
          </w:p>
        </w:tc>
        <w:tc>
          <w:tcPr>
            <w:tcW w:w="480" w:type="dxa"/>
            <w:vAlign w:val="bottom"/>
          </w:tcPr>
          <w:p>
            <w:pPr>
              <w:jc w:val="center"/>
              <w:ind w:left="266"/>
              <w:spacing w:after="0"/>
              <w:rPr>
                <w:sz w:val="20"/>
                <w:szCs w:val="20"/>
                <w:color w:val="auto"/>
              </w:rPr>
            </w:pPr>
            <w:r>
              <w:rPr>
                <w:rFonts w:ascii="Times New Roman" w:cs="Times New Roman" w:eastAsia="Times New Roman" w:hAnsi="Times New Roman"/>
                <w:sz w:val="11"/>
                <w:szCs w:val="11"/>
                <w:color w:val="auto"/>
              </w:rPr>
              <w:t>1M</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L+850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964,045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964,045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889,813</w:t>
            </w:r>
          </w:p>
        </w:tc>
        <w:tc>
          <w:tcPr>
            <w:tcW w:w="12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(PIK 9.50%)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DBI Holding, LLC, Term Loan B</w:t>
            </w:r>
          </w:p>
        </w:tc>
        <w:tc>
          <w:tcPr>
            <w:tcW w:w="6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03/26/2021</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15,946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15,946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15,946</w:t>
            </w:r>
          </w:p>
        </w:tc>
        <w:tc>
          <w:tcPr>
            <w:tcW w:w="120" w:type="dxa"/>
            <w:vAlign w:val="bottom"/>
            <w:shd w:val="clear" w:color="auto" w:fill="CCECFF"/>
          </w:tcPr>
          <w:p>
            <w:pPr>
              <w:spacing w:after="0"/>
              <w:rPr>
                <w:sz w:val="11"/>
                <w:szCs w:val="11"/>
                <w:color w:val="auto"/>
              </w:rPr>
            </w:pPr>
          </w:p>
        </w:tc>
      </w:tr>
      <w:tr>
        <w:trPr>
          <w:trHeight w:val="135"/>
        </w:trPr>
        <w:tc>
          <w:tcPr>
            <w:tcW w:w="21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(PIK 9.00%)</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DBI Holding, LLC, Term Loan C</w:t>
            </w:r>
          </w:p>
        </w:tc>
        <w:tc>
          <w:tcPr>
            <w:tcW w:w="6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02/02/2026</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9.00%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7,977,513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7,977,513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7,977,513</w:t>
            </w:r>
          </w:p>
        </w:tc>
        <w:tc>
          <w:tcPr>
            <w:tcW w:w="120" w:type="dxa"/>
            <w:vAlign w:val="bottom"/>
          </w:tcPr>
          <w:p>
            <w:pPr>
              <w:spacing w:after="0"/>
              <w:rPr>
                <w:sz w:val="11"/>
                <w:szCs w:val="11"/>
                <w:color w:val="auto"/>
              </w:rPr>
            </w:pPr>
          </w:p>
        </w:tc>
      </w:tr>
      <w:tr>
        <w:trPr>
          <w:trHeight w:val="135"/>
        </w:trPr>
        <w:tc>
          <w:tcPr>
            <w:tcW w:w="2120" w:type="dxa"/>
            <w:vAlign w:val="bottom"/>
            <w:tcBorders>
              <w:bottom w:val="single" w:sz="8" w:color="CCECFF"/>
            </w:tcBorders>
          </w:tcPr>
          <w:p>
            <w:pPr>
              <w:spacing w:after="0"/>
              <w:rPr>
                <w:sz w:val="11"/>
                <w:szCs w:val="11"/>
                <w:color w:val="auto"/>
              </w:rPr>
            </w:pPr>
          </w:p>
        </w:tc>
        <w:tc>
          <w:tcPr>
            <w:tcW w:w="9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(PIK 9.00%)</w:t>
            </w: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8,957,504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8,883,272</w:t>
            </w:r>
          </w:p>
        </w:tc>
        <w:tc>
          <w:tcPr>
            <w:tcW w:w="120" w:type="dxa"/>
            <w:vAlign w:val="bottom"/>
            <w:shd w:val="clear" w:color="auto" w:fill="CCECFF"/>
          </w:tcPr>
          <w:p>
            <w:pPr>
              <w:spacing w:after="0"/>
              <w:rPr>
                <w:sz w:val="11"/>
                <w:szCs w:val="11"/>
                <w:color w:val="auto"/>
              </w:rPr>
            </w:pPr>
          </w:p>
        </w:tc>
      </w:tr>
      <w:tr>
        <w:trPr>
          <w:trHeight w:val="129"/>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Equity Securities—4.0%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Country Fresh Holding Company Inc.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1,713,105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DBI Holding, LLC, Series A-1</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5,034,310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1,803,668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DBI Holding, LLC, Series B</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4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1,065,021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236,521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28"/>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6,983,936</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1,803,668</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Investments—861.6%</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408,251,402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392,986,090</w:t>
            </w:r>
          </w:p>
        </w:tc>
        <w:tc>
          <w:tcPr>
            <w:tcW w:w="120" w:type="dxa"/>
            <w:vAlign w:val="bottom"/>
            <w:shd w:val="clear" w:color="auto" w:fill="CCECFF"/>
          </w:tcPr>
          <w:p>
            <w:pPr>
              <w:spacing w:after="0"/>
              <w:rPr>
                <w:sz w:val="11"/>
                <w:szCs w:val="11"/>
                <w:color w:val="auto"/>
              </w:rPr>
            </w:pPr>
          </w:p>
        </w:tc>
      </w:tr>
      <w:tr>
        <w:trPr>
          <w:trHeight w:val="129"/>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Equivalents—24.4%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6,005,963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6,005,963</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5,109,410</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5,115,516</w:t>
            </w:r>
          </w:p>
        </w:tc>
        <w:tc>
          <w:tcPr>
            <w:tcW w:w="120" w:type="dxa"/>
            <w:vAlign w:val="bottom"/>
            <w:tcBorders>
              <w:bottom w:val="single" w:sz="8" w:color="CCECFF"/>
            </w:tcBorders>
          </w:tcPr>
          <w:p>
            <w:pPr>
              <w:spacing w:after="0"/>
              <w:rPr>
                <w:sz w:val="11"/>
                <w:szCs w:val="11"/>
                <w:color w:val="auto"/>
              </w:rPr>
            </w:pPr>
          </w:p>
        </w:tc>
      </w:tr>
      <w:tr>
        <w:trPr>
          <w:trHeight w:val="128"/>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11,115,373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11,121,479</w:t>
            </w:r>
          </w:p>
        </w:tc>
        <w:tc>
          <w:tcPr>
            <w:tcW w:w="120" w:type="dxa"/>
            <w:vAlign w:val="bottom"/>
            <w:shd w:val="clear" w:color="auto" w:fill="CCECFF"/>
          </w:tcPr>
          <w:p>
            <w:pPr>
              <w:spacing w:after="0"/>
              <w:rPr>
                <w:sz w:val="11"/>
                <w:szCs w:val="11"/>
                <w:color w:val="auto"/>
              </w:rPr>
            </w:pPr>
          </w:p>
        </w:tc>
      </w:tr>
      <w:tr>
        <w:trPr>
          <w:trHeight w:val="168"/>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Equivalents—886.0%</w:t>
            </w:r>
          </w:p>
        </w:tc>
        <w:tc>
          <w:tcPr>
            <w:tcW w:w="120" w:type="dxa"/>
            <w:vAlign w:val="bottom"/>
            <w:tcBorders>
              <w:bottom w:val="single" w:sz="8" w:color="CCECFF"/>
            </w:tcBorders>
          </w:tcPr>
          <w:p>
            <w:pPr>
              <w:spacing w:after="0"/>
              <w:rPr>
                <w:sz w:val="14"/>
                <w:szCs w:val="14"/>
                <w:color w:val="auto"/>
              </w:rPr>
            </w:pPr>
          </w:p>
        </w:tc>
        <w:tc>
          <w:tcPr>
            <w:tcW w:w="54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5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70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480" w:type="dxa"/>
            <w:vAlign w:val="bottom"/>
            <w:tcBorders>
              <w:bottom w:val="single" w:sz="8" w:color="CCECFF"/>
            </w:tcBorders>
          </w:tcPr>
          <w:p>
            <w:pPr>
              <w:spacing w:after="0"/>
              <w:rPr>
                <w:sz w:val="14"/>
                <w:szCs w:val="14"/>
                <w:color w:val="auto"/>
              </w:rPr>
            </w:pPr>
          </w:p>
        </w:tc>
        <w:tc>
          <w:tcPr>
            <w:tcW w:w="32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56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419,366,775</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404,107,569</w:t>
            </w:r>
          </w:p>
        </w:tc>
        <w:tc>
          <w:tcPr>
            <w:tcW w:w="120" w:type="dxa"/>
            <w:vAlign w:val="bottom"/>
            <w:tcBorders>
              <w:bottom w:val="single" w:sz="8" w:color="CCECFF"/>
            </w:tcBorders>
          </w:tcPr>
          <w:p>
            <w:pPr>
              <w:spacing w:after="0"/>
              <w:rPr>
                <w:sz w:val="14"/>
                <w:szCs w:val="14"/>
                <w:color w:val="auto"/>
              </w:rPr>
            </w:pPr>
          </w:p>
        </w:tc>
      </w:tr>
      <w:tr>
        <w:trPr>
          <w:trHeight w:val="116"/>
        </w:trPr>
        <w:tc>
          <w:tcPr>
            <w:tcW w:w="3080" w:type="dxa"/>
            <w:vAlign w:val="bottom"/>
            <w:gridSpan w:val="2"/>
            <w:shd w:val="clear" w:color="auto" w:fill="CCEC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Assets—(786.0)%</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5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w w:val="99"/>
              </w:rPr>
              <w:t>(358,495,484)</w:t>
            </w:r>
          </w:p>
        </w:tc>
        <w:tc>
          <w:tcPr>
            <w:tcW w:w="120" w:type="dxa"/>
            <w:vAlign w:val="bottom"/>
            <w:shd w:val="clear" w:color="auto" w:fill="CCECFF"/>
          </w:tcPr>
          <w:p>
            <w:pPr>
              <w:spacing w:after="0"/>
              <w:rPr>
                <w:sz w:val="10"/>
                <w:szCs w:val="10"/>
                <w:color w:val="auto"/>
              </w:rPr>
            </w:pPr>
          </w:p>
        </w:tc>
      </w:tr>
      <w:tr>
        <w:trPr>
          <w:trHeight w:val="128"/>
        </w:trPr>
        <w:tc>
          <w:tcPr>
            <w:tcW w:w="3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45,612,085</w:t>
            </w:r>
          </w:p>
        </w:tc>
        <w:tc>
          <w:tcPr>
            <w:tcW w:w="120" w:type="dxa"/>
            <w:vAlign w:val="bottom"/>
          </w:tcPr>
          <w:p>
            <w:pPr>
              <w:spacing w:after="0"/>
              <w:rPr>
                <w:sz w:val="11"/>
                <w:szCs w:val="11"/>
                <w:color w:val="auto"/>
              </w:rPr>
            </w:pPr>
          </w:p>
        </w:tc>
      </w:tr>
      <w:tr>
        <w:trPr>
          <w:trHeight w:val="20"/>
        </w:trPr>
        <w:tc>
          <w:tcPr>
            <w:tcW w:w="2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 w:lineRule="exact"/>
        <w:rPr>
          <w:sz w:val="20"/>
          <w:szCs w:val="20"/>
          <w:color w:val="auto"/>
        </w:rPr>
      </w:pPr>
    </w:p>
    <w:p>
      <w:pPr>
        <w:ind w:left="380" w:right="40" w:hanging="372"/>
        <w:spacing w:after="0" w:line="243" w:lineRule="auto"/>
        <w:tabs>
          <w:tab w:leader="none" w:pos="380" w:val="left"/>
        </w:tabs>
        <w:numPr>
          <w:ilvl w:val="0"/>
          <w:numId w:val="26"/>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0" w:lineRule="exact"/>
        <w:rPr>
          <w:rFonts w:ascii="Times New Roman" w:cs="Times New Roman" w:eastAsia="Times New Roman" w:hAnsi="Times New Roman"/>
          <w:sz w:val="9"/>
          <w:szCs w:val="9"/>
          <w:b w:val="1"/>
          <w:bCs w:val="1"/>
          <w:color w:val="auto"/>
        </w:rPr>
      </w:pPr>
    </w:p>
    <w:p>
      <w:pPr>
        <w:ind w:left="380" w:hanging="372"/>
        <w:spacing w:after="0"/>
        <w:tabs>
          <w:tab w:leader="none" w:pos="380" w:val="left"/>
        </w:tabs>
        <w:numPr>
          <w:ilvl w:val="0"/>
          <w:numId w:val="26"/>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Valued based on PSSL’s accounting policy.</w:t>
      </w:r>
    </w:p>
    <w:p>
      <w:pPr>
        <w:spacing w:after="0" w:line="35" w:lineRule="exact"/>
        <w:rPr>
          <w:rFonts w:ascii="Times New Roman" w:cs="Times New Roman" w:eastAsia="Times New Roman" w:hAnsi="Times New Roman"/>
          <w:sz w:val="9"/>
          <w:szCs w:val="9"/>
          <w:b w:val="1"/>
          <w:bCs w:val="1"/>
          <w:color w:val="auto"/>
        </w:rPr>
      </w:pPr>
    </w:p>
    <w:p>
      <w:pPr>
        <w:ind w:left="380" w:hanging="372"/>
        <w:spacing w:after="0"/>
        <w:tabs>
          <w:tab w:leader="none" w:pos="380" w:val="left"/>
        </w:tabs>
        <w:numPr>
          <w:ilvl w:val="0"/>
          <w:numId w:val="26"/>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Non-U.S. company or principal place of business outside the United States.</w:t>
      </w:r>
    </w:p>
    <w:p>
      <w:pPr>
        <w:spacing w:after="0" w:line="35" w:lineRule="exact"/>
        <w:rPr>
          <w:rFonts w:ascii="Times New Roman" w:cs="Times New Roman" w:eastAsia="Times New Roman" w:hAnsi="Times New Roman"/>
          <w:sz w:val="9"/>
          <w:szCs w:val="9"/>
          <w:b w:val="1"/>
          <w:bCs w:val="1"/>
          <w:color w:val="auto"/>
        </w:rPr>
      </w:pPr>
    </w:p>
    <w:p>
      <w:pPr>
        <w:ind w:left="380" w:hanging="372"/>
        <w:spacing w:after="0"/>
        <w:tabs>
          <w:tab w:leader="none" w:pos="380" w:val="left"/>
        </w:tabs>
        <w:numPr>
          <w:ilvl w:val="0"/>
          <w:numId w:val="26"/>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Par amount is denominated in Australian Dollars (A$) or Canadian Dollars (C$) as denoted.</w:t>
      </w:r>
    </w:p>
    <w:p>
      <w:pPr>
        <w:spacing w:after="0" w:line="7" w:lineRule="exact"/>
        <w:rPr>
          <w:rFonts w:ascii="Times New Roman" w:cs="Times New Roman" w:eastAsia="Times New Roman" w:hAnsi="Times New Roman"/>
          <w:sz w:val="9"/>
          <w:szCs w:val="9"/>
          <w:b w:val="1"/>
          <w:bCs w:val="1"/>
          <w:color w:val="auto"/>
        </w:rPr>
      </w:pPr>
    </w:p>
    <w:p>
      <w:pPr>
        <w:ind w:left="380" w:hanging="372"/>
        <w:spacing w:after="0"/>
        <w:tabs>
          <w:tab w:leader="none" w:pos="380" w:val="left"/>
        </w:tabs>
        <w:numPr>
          <w:ilvl w:val="0"/>
          <w:numId w:val="26"/>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Non-income producing security.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8"/>
        </w:trPr>
        <w:tc>
          <w:tcPr>
            <w:tcW w:w="75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Below is the financial information for PSSL:</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10"/>
        </w:trPr>
        <w:tc>
          <w:tcPr>
            <w:tcW w:w="7540" w:type="dxa"/>
            <w:vAlign w:val="bottom"/>
          </w:tcPr>
          <w:p>
            <w:pPr>
              <w:ind w:left="4460"/>
              <w:spacing w:after="0"/>
              <w:rPr>
                <w:sz w:val="20"/>
                <w:szCs w:val="20"/>
                <w:color w:val="auto"/>
              </w:rPr>
            </w:pPr>
            <w:r>
              <w:rPr>
                <w:rFonts w:ascii="Times New Roman" w:cs="Times New Roman" w:eastAsia="Times New Roman" w:hAnsi="Times New Roman"/>
                <w:sz w:val="14"/>
                <w:szCs w:val="14"/>
                <w:b w:val="1"/>
                <w:bCs w:val="1"/>
                <w:color w:val="auto"/>
              </w:rPr>
              <w:t>Statements of Assets and Liabilities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7"/>
        </w:trPr>
        <w:tc>
          <w:tcPr>
            <w:tcW w:w="7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156"/>
        </w:trPr>
        <w:tc>
          <w:tcPr>
            <w:tcW w:w="754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top w:val="single" w:sz="8" w:color="auto"/>
            </w:tcBorders>
            <w:shd w:val="clear" w:color="auto" w:fill="CCECFF"/>
          </w:tcPr>
          <w:p>
            <w:pPr>
              <w:spacing w:after="0"/>
              <w:rPr>
                <w:sz w:val="13"/>
                <w:szCs w:val="13"/>
                <w:color w:val="auto"/>
              </w:rPr>
            </w:pPr>
          </w:p>
        </w:tc>
        <w:tc>
          <w:tcPr>
            <w:tcW w:w="148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5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540" w:type="dxa"/>
            <w:vAlign w:val="bottom"/>
          </w:tcPr>
          <w:p>
            <w:pPr>
              <w:spacing w:after="0"/>
              <w:rPr>
                <w:sz w:val="20"/>
                <w:szCs w:val="20"/>
                <w:color w:val="auto"/>
              </w:rPr>
            </w:pPr>
            <w:r>
              <w:rPr>
                <w:rFonts w:ascii="Times New Roman" w:cs="Times New Roman" w:eastAsia="Times New Roman" w:hAnsi="Times New Roman"/>
                <w:sz w:val="14"/>
                <w:szCs w:val="14"/>
                <w:color w:val="auto"/>
              </w:rPr>
              <w:t>Investments at fair value (cost—$393,390,000 and $408,251,402, respectively)</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382,232,264</w:t>
            </w:r>
          </w:p>
        </w:tc>
        <w:tc>
          <w:tcPr>
            <w:tcW w:w="300" w:type="dxa"/>
            <w:vAlign w:val="bottom"/>
          </w:tcPr>
          <w:p>
            <w:pPr>
              <w:spacing w:after="0"/>
              <w:rPr>
                <w:sz w:val="14"/>
                <w:szCs w:val="14"/>
                <w:color w:val="auto"/>
              </w:rPr>
            </w:pPr>
          </w:p>
        </w:tc>
        <w:tc>
          <w:tcPr>
            <w:tcW w:w="1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392,986,090</w:t>
            </w:r>
          </w:p>
        </w:tc>
        <w:tc>
          <w:tcPr>
            <w:tcW w:w="120" w:type="dxa"/>
            <w:vAlign w:val="bottom"/>
          </w:tcPr>
          <w:p>
            <w:pPr>
              <w:spacing w:after="0"/>
              <w:rPr>
                <w:sz w:val="14"/>
                <w:szCs w:val="14"/>
                <w:color w:val="auto"/>
              </w:rPr>
            </w:pPr>
          </w:p>
        </w:tc>
      </w:tr>
      <w:tr>
        <w:trPr>
          <w:trHeight w:val="162"/>
        </w:trPr>
        <w:tc>
          <w:tcPr>
            <w:tcW w:w="75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Cash and cash equivalents (cost—$11,325,304 and $11,115,373, respectively)</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11,408,026</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11,121,479</w:t>
            </w:r>
          </w:p>
        </w:tc>
        <w:tc>
          <w:tcPr>
            <w:tcW w:w="120" w:type="dxa"/>
            <w:vAlign w:val="bottom"/>
            <w:shd w:val="clear" w:color="auto" w:fill="CCECFF"/>
          </w:tcPr>
          <w:p>
            <w:pPr>
              <w:spacing w:after="0"/>
              <w:rPr>
                <w:sz w:val="14"/>
                <w:szCs w:val="14"/>
                <w:color w:val="auto"/>
              </w:rPr>
            </w:pPr>
          </w:p>
        </w:tc>
      </w:tr>
      <w:tr>
        <w:trPr>
          <w:trHeight w:val="162"/>
        </w:trPr>
        <w:tc>
          <w:tcPr>
            <w:tcW w:w="7540" w:type="dxa"/>
            <w:vAlign w:val="bottom"/>
          </w:tcPr>
          <w:p>
            <w:pPr>
              <w:spacing w:after="0"/>
              <w:rPr>
                <w:sz w:val="20"/>
                <w:szCs w:val="20"/>
                <w:color w:val="auto"/>
              </w:rPr>
            </w:pPr>
            <w:r>
              <w:rPr>
                <w:rFonts w:ascii="Times New Roman" w:cs="Times New Roman" w:eastAsia="Times New Roman" w:hAnsi="Times New Roman"/>
                <w:sz w:val="14"/>
                <w:szCs w:val="14"/>
                <w:color w:val="auto"/>
              </w:rPr>
              <w:t>Interest receivable</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1,371,822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2,235,595</w:t>
            </w:r>
          </w:p>
        </w:tc>
        <w:tc>
          <w:tcPr>
            <w:tcW w:w="120" w:type="dxa"/>
            <w:vAlign w:val="bottom"/>
          </w:tcPr>
          <w:p>
            <w:pPr>
              <w:spacing w:after="0"/>
              <w:rPr>
                <w:sz w:val="14"/>
                <w:szCs w:val="14"/>
                <w:color w:val="auto"/>
              </w:rPr>
            </w:pPr>
          </w:p>
        </w:tc>
      </w:tr>
      <w:tr>
        <w:trPr>
          <w:trHeight w:val="162"/>
        </w:trPr>
        <w:tc>
          <w:tcPr>
            <w:tcW w:w="75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60" w:type="dxa"/>
            <w:vAlign w:val="bottom"/>
            <w:tcBorders>
              <w:bottom w:val="single" w:sz="8" w:color="auto"/>
            </w:tcBorders>
            <w:shd w:val="clear" w:color="auto" w:fill="CCECFF"/>
          </w:tcPr>
          <w:p>
            <w:pPr>
              <w:spacing w:after="0"/>
              <w:rPr>
                <w:sz w:val="14"/>
                <w:szCs w:val="14"/>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82,838</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62,812</w:t>
            </w:r>
          </w:p>
        </w:tc>
        <w:tc>
          <w:tcPr>
            <w:tcW w:w="120" w:type="dxa"/>
            <w:vAlign w:val="bottom"/>
            <w:shd w:val="clear" w:color="auto" w:fill="CCECFF"/>
          </w:tcPr>
          <w:p>
            <w:pPr>
              <w:spacing w:after="0"/>
              <w:rPr>
                <w:sz w:val="14"/>
                <w:szCs w:val="14"/>
                <w:color w:val="auto"/>
              </w:rPr>
            </w:pPr>
          </w:p>
        </w:tc>
      </w:tr>
      <w:tr>
        <w:trPr>
          <w:trHeight w:val="156"/>
        </w:trPr>
        <w:tc>
          <w:tcPr>
            <w:tcW w:w="7540" w:type="dxa"/>
            <w:vAlign w:val="bottom"/>
            <w:tcBorders>
              <w:bottom w:val="single" w:sz="8" w:color="CCECFF"/>
            </w:tcBorders>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395,094,950</w:t>
            </w:r>
          </w:p>
        </w:tc>
        <w:tc>
          <w:tcPr>
            <w:tcW w:w="3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406,405,976</w:t>
            </w:r>
          </w:p>
        </w:tc>
        <w:tc>
          <w:tcPr>
            <w:tcW w:w="120" w:type="dxa"/>
            <w:vAlign w:val="bottom"/>
            <w:tcBorders>
              <w:bottom w:val="single" w:sz="8" w:color="CCECFF"/>
            </w:tcBorders>
          </w:tcPr>
          <w:p>
            <w:pPr>
              <w:spacing w:after="0"/>
              <w:rPr>
                <w:sz w:val="13"/>
                <w:szCs w:val="13"/>
                <w:color w:val="auto"/>
              </w:rPr>
            </w:pPr>
          </w:p>
        </w:tc>
      </w:tr>
      <w:tr>
        <w:trPr>
          <w:trHeight w:val="156"/>
        </w:trPr>
        <w:tc>
          <w:tcPr>
            <w:tcW w:w="754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shd w:val="clear" w:color="auto" w:fill="CCECFF"/>
          </w:tcPr>
          <w:p>
            <w:pPr>
              <w:spacing w:after="0"/>
              <w:rPr>
                <w:sz w:val="13"/>
                <w:szCs w:val="13"/>
                <w:color w:val="auto"/>
              </w:rPr>
            </w:pPr>
          </w:p>
        </w:tc>
        <w:tc>
          <w:tcPr>
            <w:tcW w:w="14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5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540" w:type="dxa"/>
            <w:vAlign w:val="bottom"/>
          </w:tcPr>
          <w:p>
            <w:pPr>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9,935,844</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5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PSSL Credit Facility payable</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141,085,005</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216,969,469</w:t>
            </w:r>
          </w:p>
        </w:tc>
        <w:tc>
          <w:tcPr>
            <w:tcW w:w="120" w:type="dxa"/>
            <w:vAlign w:val="bottom"/>
            <w:shd w:val="clear" w:color="auto" w:fill="CCECFF"/>
          </w:tcPr>
          <w:p>
            <w:pPr>
              <w:spacing w:after="0"/>
              <w:rPr>
                <w:sz w:val="14"/>
                <w:szCs w:val="14"/>
                <w:color w:val="auto"/>
              </w:rPr>
            </w:pPr>
          </w:p>
        </w:tc>
      </w:tr>
      <w:tr>
        <w:trPr>
          <w:trHeight w:val="162"/>
        </w:trPr>
        <w:tc>
          <w:tcPr>
            <w:tcW w:w="754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 to members</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144,550,000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143,290,000</w:t>
            </w:r>
          </w:p>
        </w:tc>
        <w:tc>
          <w:tcPr>
            <w:tcW w:w="120" w:type="dxa"/>
            <w:vAlign w:val="bottom"/>
          </w:tcPr>
          <w:p>
            <w:pPr>
              <w:spacing w:after="0"/>
              <w:rPr>
                <w:sz w:val="14"/>
                <w:szCs w:val="14"/>
                <w:color w:val="auto"/>
              </w:rPr>
            </w:pPr>
          </w:p>
        </w:tc>
      </w:tr>
      <w:tr>
        <w:trPr>
          <w:trHeight w:val="162"/>
        </w:trPr>
        <w:tc>
          <w:tcPr>
            <w:tcW w:w="75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Promissory note</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50,000,000</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6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540" w:type="dxa"/>
            <w:vAlign w:val="bottom"/>
          </w:tcPr>
          <w:p>
            <w:pPr>
              <w:spacing w:after="0"/>
              <w:rPr>
                <w:sz w:val="20"/>
                <w:szCs w:val="20"/>
                <w:color w:val="auto"/>
              </w:rPr>
            </w:pPr>
            <w:r>
              <w:rPr>
                <w:rFonts w:ascii="Times New Roman" w:cs="Times New Roman" w:eastAsia="Times New Roman" w:hAnsi="Times New Roman"/>
                <w:sz w:val="14"/>
                <w:szCs w:val="14"/>
                <w:color w:val="auto"/>
              </w:rPr>
              <w:t>Interest payable on credit facility</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468,325</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490,858</w:t>
            </w:r>
          </w:p>
        </w:tc>
        <w:tc>
          <w:tcPr>
            <w:tcW w:w="120" w:type="dxa"/>
            <w:vAlign w:val="bottom"/>
          </w:tcPr>
          <w:p>
            <w:pPr>
              <w:spacing w:after="0"/>
              <w:rPr>
                <w:sz w:val="14"/>
                <w:szCs w:val="14"/>
                <w:color w:val="auto"/>
              </w:rPr>
            </w:pPr>
          </w:p>
        </w:tc>
      </w:tr>
      <w:tr>
        <w:trPr>
          <w:trHeight w:val="162"/>
        </w:trPr>
        <w:tc>
          <w:tcPr>
            <w:tcW w:w="75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Interest payable on members notes</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33,142</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32,719</w:t>
            </w:r>
          </w:p>
        </w:tc>
        <w:tc>
          <w:tcPr>
            <w:tcW w:w="120" w:type="dxa"/>
            <w:vAlign w:val="bottom"/>
            <w:shd w:val="clear" w:color="auto" w:fill="CCECFF"/>
          </w:tcPr>
          <w:p>
            <w:pPr>
              <w:spacing w:after="0"/>
              <w:rPr>
                <w:sz w:val="14"/>
                <w:szCs w:val="14"/>
                <w:color w:val="auto"/>
              </w:rPr>
            </w:pPr>
          </w:p>
        </w:tc>
      </w:tr>
      <w:tr>
        <w:trPr>
          <w:trHeight w:val="162"/>
        </w:trPr>
        <w:tc>
          <w:tcPr>
            <w:tcW w:w="7540" w:type="dxa"/>
            <w:vAlign w:val="bottom"/>
          </w:tcPr>
          <w:p>
            <w:pPr>
              <w:spacing w:after="0"/>
              <w:rPr>
                <w:sz w:val="20"/>
                <w:szCs w:val="20"/>
                <w:color w:val="auto"/>
              </w:rPr>
            </w:pPr>
            <w:r>
              <w:rPr>
                <w:rFonts w:ascii="Times New Roman" w:cs="Times New Roman" w:eastAsia="Times New Roman" w:hAnsi="Times New Roman"/>
                <w:sz w:val="14"/>
                <w:szCs w:val="14"/>
                <w:color w:val="auto"/>
              </w:rPr>
              <w:t>Accrued other expenses</w:t>
            </w:r>
          </w:p>
        </w:tc>
        <w:tc>
          <w:tcPr>
            <w:tcW w:w="160" w:type="dxa"/>
            <w:vAlign w:val="bottom"/>
          </w:tcPr>
          <w:p>
            <w:pPr>
              <w:spacing w:after="0"/>
              <w:rPr>
                <w:sz w:val="14"/>
                <w:szCs w:val="14"/>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10,845</w:t>
            </w:r>
          </w:p>
        </w:tc>
        <w:tc>
          <w:tcPr>
            <w:tcW w:w="120" w:type="dxa"/>
            <w:vAlign w:val="bottom"/>
          </w:tcPr>
          <w:p>
            <w:pPr>
              <w:spacing w:after="0"/>
              <w:rPr>
                <w:sz w:val="14"/>
                <w:szCs w:val="14"/>
                <w:color w:val="auto"/>
              </w:rPr>
            </w:pPr>
          </w:p>
        </w:tc>
      </w:tr>
      <w:tr>
        <w:trPr>
          <w:trHeight w:val="156"/>
        </w:trPr>
        <w:tc>
          <w:tcPr>
            <w:tcW w:w="7540" w:type="dxa"/>
            <w:vAlign w:val="bottom"/>
            <w:tcBorders>
              <w:top w:val="single" w:sz="8" w:color="CCECFF"/>
            </w:tcBorders>
            <w:shd w:val="clear" w:color="auto" w:fill="CCECFF"/>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14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346,072,316</w:t>
            </w:r>
          </w:p>
        </w:tc>
        <w:tc>
          <w:tcPr>
            <w:tcW w:w="30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5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360,793,891</w:t>
            </w:r>
          </w:p>
        </w:tc>
        <w:tc>
          <w:tcPr>
            <w:tcW w:w="120" w:type="dxa"/>
            <w:vAlign w:val="bottom"/>
            <w:tcBorders>
              <w:top w:val="single" w:sz="8" w:color="CCECFF"/>
            </w:tcBorders>
            <w:shd w:val="clear" w:color="auto" w:fill="CCECFF"/>
          </w:tcPr>
          <w:p>
            <w:pPr>
              <w:spacing w:after="0"/>
              <w:rPr>
                <w:sz w:val="13"/>
                <w:szCs w:val="13"/>
                <w:color w:val="auto"/>
              </w:rPr>
            </w:pPr>
          </w:p>
        </w:tc>
      </w:tr>
      <w:tr>
        <w:trPr>
          <w:trHeight w:val="156"/>
        </w:trPr>
        <w:tc>
          <w:tcPr>
            <w:tcW w:w="7540" w:type="dxa"/>
            <w:vAlign w:val="bottom"/>
            <w:tcBorders>
              <w:bottom w:val="single" w:sz="8" w:color="CCECFF"/>
            </w:tcBorders>
          </w:tcPr>
          <w:p>
            <w:pPr>
              <w:spacing w:after="0" w:line="155" w:lineRule="exact"/>
              <w:rPr>
                <w:sz w:val="20"/>
                <w:szCs w:val="20"/>
                <w:color w:val="auto"/>
              </w:rPr>
            </w:pPr>
            <w:r>
              <w:rPr>
                <w:rFonts w:ascii="Times New Roman" w:cs="Times New Roman" w:eastAsia="Times New Roman" w:hAnsi="Times New Roman"/>
                <w:sz w:val="14"/>
                <w:szCs w:val="14"/>
                <w:color w:val="auto"/>
              </w:rPr>
              <w:t xml:space="preserve">Commitments and contingencies </w:t>
            </w:r>
            <w:r>
              <w:rPr>
                <w:rFonts w:ascii="Times New Roman" w:cs="Times New Roman" w:eastAsia="Times New Roman" w:hAnsi="Times New Roman"/>
                <w:sz w:val="12"/>
                <w:szCs w:val="12"/>
                <w:color w:val="auto"/>
              </w:rPr>
              <w:t>(1)</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CFF"/>
            </w:tcBorders>
          </w:tcPr>
          <w:p>
            <w:pPr>
              <w:spacing w:after="0"/>
              <w:rPr>
                <w:sz w:val="13"/>
                <w:szCs w:val="13"/>
                <w:color w:val="auto"/>
              </w:rPr>
            </w:pPr>
          </w:p>
        </w:tc>
      </w:tr>
      <w:tr>
        <w:trPr>
          <w:trHeight w:val="155"/>
        </w:trPr>
        <w:tc>
          <w:tcPr>
            <w:tcW w:w="7540" w:type="dxa"/>
            <w:vAlign w:val="bottom"/>
            <w:shd w:val="clear" w:color="auto" w:fill="CCECFF"/>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Members' equity</w:t>
            </w:r>
          </w:p>
        </w:tc>
        <w:tc>
          <w:tcPr>
            <w:tcW w:w="160" w:type="dxa"/>
            <w:vAlign w:val="bottom"/>
            <w:tcBorders>
              <w:bottom w:val="single" w:sz="8" w:color="auto"/>
            </w:tcBorders>
            <w:shd w:val="clear" w:color="auto" w:fill="CCECFF"/>
          </w:tcPr>
          <w:p>
            <w:pPr>
              <w:spacing w:after="0"/>
              <w:rPr>
                <w:sz w:val="13"/>
                <w:szCs w:val="13"/>
                <w:color w:val="auto"/>
              </w:rPr>
            </w:pP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49,022,634</w:t>
            </w: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45,612,085</w:t>
            </w:r>
          </w:p>
        </w:tc>
        <w:tc>
          <w:tcPr>
            <w:tcW w:w="120" w:type="dxa"/>
            <w:vAlign w:val="bottom"/>
            <w:shd w:val="clear" w:color="auto" w:fill="CCECFF"/>
          </w:tcPr>
          <w:p>
            <w:pPr>
              <w:spacing w:after="0"/>
              <w:rPr>
                <w:sz w:val="13"/>
                <w:szCs w:val="13"/>
                <w:color w:val="auto"/>
              </w:rPr>
            </w:pPr>
          </w:p>
        </w:tc>
      </w:tr>
      <w:tr>
        <w:trPr>
          <w:trHeight w:val="156"/>
        </w:trPr>
        <w:tc>
          <w:tcPr>
            <w:tcW w:w="7540" w:type="dxa"/>
            <w:vAlign w:val="bottom"/>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1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395,094,950</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15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406,405,976</w:t>
            </w:r>
          </w:p>
        </w:tc>
        <w:tc>
          <w:tcPr>
            <w:tcW w:w="120" w:type="dxa"/>
            <w:vAlign w:val="bottom"/>
          </w:tcPr>
          <w:p>
            <w:pPr>
              <w:spacing w:after="0"/>
              <w:rPr>
                <w:sz w:val="13"/>
                <w:szCs w:val="13"/>
                <w:color w:val="auto"/>
              </w:rPr>
            </w:pPr>
          </w:p>
        </w:tc>
      </w:tr>
      <w:tr>
        <w:trPr>
          <w:trHeight w:val="20"/>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5"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1"/>
          <w:szCs w:val="11"/>
          <w:color w:val="auto"/>
        </w:rPr>
        <w:t>As of December 31, 2020 and September 30, 2020, PSSL had unfunded commitments to fund investments of $0.6 million and zero,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840" w:type="dxa"/>
            <w:vAlign w:val="bottom"/>
            <w:gridSpan w:val="2"/>
          </w:tcPr>
          <w:p>
            <w:pPr>
              <w:jc w:val="right"/>
              <w:ind w:right="2173"/>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Borders>
              <w:top w:val="single" w:sz="8" w:color="CCECFF"/>
            </w:tcBorders>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Investment income:</w:t>
            </w:r>
          </w:p>
        </w:tc>
        <w:tc>
          <w:tcPr>
            <w:tcW w:w="2860" w:type="dxa"/>
            <w:vAlign w:val="bottom"/>
            <w:tcBorders>
              <w:top w:val="single" w:sz="8" w:color="CCECFF"/>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spacing w:after="0"/>
              <w:rPr>
                <w:sz w:val="13"/>
                <w:szCs w:val="13"/>
                <w:color w:val="auto"/>
              </w:rPr>
            </w:pPr>
          </w:p>
        </w:tc>
        <w:tc>
          <w:tcPr>
            <w:tcW w:w="64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spacing w:after="0"/>
              <w:rPr>
                <w:sz w:val="13"/>
                <w:szCs w:val="13"/>
                <w:color w:val="auto"/>
              </w:rPr>
            </w:pPr>
          </w:p>
        </w:tc>
        <w:tc>
          <w:tcPr>
            <w:tcW w:w="66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w:t>
            </w:r>
          </w:p>
        </w:tc>
        <w:tc>
          <w:tcPr>
            <w:tcW w:w="3840" w:type="dxa"/>
            <w:vAlign w:val="bottom"/>
            <w:gridSpan w:val="2"/>
          </w:tcPr>
          <w:p>
            <w:pPr>
              <w:jc w:val="right"/>
              <w:ind w:right="85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6,747,939</w:t>
            </w:r>
          </w:p>
        </w:tc>
        <w:tc>
          <w:tcPr>
            <w:tcW w:w="160" w:type="dxa"/>
            <w:vAlign w:val="bottom"/>
          </w:tcPr>
          <w:p>
            <w:pPr>
              <w:spacing w:after="0"/>
              <w:rPr>
                <w:sz w:val="14"/>
                <w:szCs w:val="14"/>
                <w:color w:val="auto"/>
              </w:rPr>
            </w:pPr>
          </w:p>
        </w:tc>
        <w:tc>
          <w:tcPr>
            <w:tcW w:w="1100" w:type="dxa"/>
            <w:vAlign w:val="bottom"/>
            <w:gridSpan w:val="2"/>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8,768,628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Other income</w:t>
            </w:r>
          </w:p>
        </w:tc>
        <w:tc>
          <w:tcPr>
            <w:tcW w:w="286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155,384</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740" w:type="dxa"/>
            <w:vAlign w:val="bottom"/>
            <w:tcBorders>
              <w:bottom w:val="single" w:sz="8" w:color="CCECFF"/>
            </w:tcBorders>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2860" w:type="dxa"/>
            <w:vAlign w:val="bottom"/>
            <w:tcBorders>
              <w:bottom w:val="single" w:sz="8" w:color="CCECFF"/>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6,903,323</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8,768,628</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28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 and expenses on credit facility</w:t>
            </w:r>
          </w:p>
        </w:tc>
        <w:tc>
          <w:tcPr>
            <w:tcW w:w="2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3,606,085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Interest expense on members notes</w:t>
            </w:r>
          </w:p>
        </w:tc>
        <w:tc>
          <w:tcPr>
            <w:tcW w:w="286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3,054,519</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3,430,557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2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 xml:space="preserve">Other general and administrative expenses </w:t>
            </w:r>
            <w:r>
              <w:rPr>
                <w:rFonts w:ascii="Times New Roman" w:cs="Times New Roman" w:eastAsia="Times New Roman" w:hAnsi="Times New Roman"/>
                <w:sz w:val="12"/>
                <w:szCs w:val="12"/>
                <w:color w:val="auto"/>
              </w:rPr>
              <w:t>(1)</w:t>
            </w:r>
          </w:p>
        </w:tc>
        <w:tc>
          <w:tcPr>
            <w:tcW w:w="2860" w:type="dxa"/>
            <w:vAlign w:val="bottom"/>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spacing w:after="0"/>
              <w:rPr>
                <w:sz w:val="14"/>
                <w:szCs w:val="14"/>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195,317</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spacing w:after="0"/>
              <w:rPr>
                <w:sz w:val="14"/>
                <w:szCs w:val="14"/>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113,710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40" w:type="dxa"/>
            <w:vAlign w:val="bottom"/>
            <w:tcBorders>
              <w:bottom w:val="single" w:sz="8" w:color="CCECFF"/>
            </w:tcBorders>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2860" w:type="dxa"/>
            <w:vAlign w:val="bottom"/>
            <w:tcBorders>
              <w:bottom w:val="single" w:sz="8" w:color="CCEC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4,965,842</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7,450,352</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40" w:type="dxa"/>
            <w:vAlign w:val="bottom"/>
            <w:gridSpan w:val="2"/>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2860" w:type="dxa"/>
            <w:vAlign w:val="bottom"/>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spacing w:after="0"/>
              <w:rPr>
                <w:sz w:val="13"/>
                <w:szCs w:val="13"/>
                <w:color w:val="auto"/>
              </w:rPr>
            </w:pPr>
          </w:p>
        </w:tc>
        <w:tc>
          <w:tcPr>
            <w:tcW w:w="6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1,937,481</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spacing w:after="0"/>
              <w:rPr>
                <w:sz w:val="13"/>
                <w:szCs w:val="13"/>
                <w:color w:val="auto"/>
              </w:rPr>
            </w:pPr>
          </w:p>
        </w:tc>
        <w:tc>
          <w:tcPr>
            <w:tcW w:w="6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1,318,276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74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Realized and unrealized gain on investments and credit facility foreign</w:t>
            </w:r>
          </w:p>
        </w:tc>
        <w:tc>
          <w:tcPr>
            <w:tcW w:w="2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currency translations:</w:t>
            </w:r>
          </w:p>
        </w:tc>
        <w:tc>
          <w:tcPr>
            <w:tcW w:w="2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realized (loss) gain on investments</w:t>
            </w:r>
          </w:p>
        </w:tc>
        <w:tc>
          <w:tcPr>
            <w:tcW w:w="286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(791,279)</w:t>
            </w:r>
          </w:p>
        </w:tc>
        <w:tc>
          <w:tcPr>
            <w:tcW w:w="1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452,477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change in unrealized appreciation on:</w:t>
            </w:r>
          </w:p>
        </w:tc>
        <w:tc>
          <w:tcPr>
            <w:tcW w:w="2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Investments</w:t>
            </w:r>
          </w:p>
        </w:tc>
        <w:tc>
          <w:tcPr>
            <w:tcW w:w="286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4,184,101</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1,078,789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Credit facility appreciation of foreign currency translation</w:t>
            </w:r>
          </w:p>
        </w:tc>
        <w:tc>
          <w:tcPr>
            <w:tcW w:w="2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(659,754)</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(1,325,522)</w:t>
            </w:r>
          </w:p>
        </w:tc>
        <w:tc>
          <w:tcPr>
            <w:tcW w:w="0" w:type="dxa"/>
            <w:vAlign w:val="bottom"/>
          </w:tcPr>
          <w:p>
            <w:pPr>
              <w:spacing w:after="0"/>
              <w:rPr>
                <w:sz w:val="1"/>
                <w:szCs w:val="1"/>
                <w:color w:val="auto"/>
              </w:rPr>
            </w:pPr>
          </w:p>
        </w:tc>
      </w:tr>
      <w:tr>
        <w:trPr>
          <w:trHeight w:val="20"/>
        </w:trPr>
        <w:tc>
          <w:tcPr>
            <w:tcW w:w="4740" w:type="dxa"/>
            <w:vAlign w:val="bottom"/>
            <w:gridSpan w:val="2"/>
            <w:vMerge w:val="restart"/>
            <w:shd w:val="clear" w:color="auto" w:fill="CCECFF"/>
          </w:tcPr>
          <w:p>
            <w:pPr>
              <w:ind w:left="260"/>
              <w:spacing w:after="0" w:line="151" w:lineRule="exact"/>
              <w:rPr>
                <w:sz w:val="20"/>
                <w:szCs w:val="20"/>
                <w:color w:val="auto"/>
              </w:rPr>
            </w:pPr>
            <w:r>
              <w:rPr>
                <w:rFonts w:ascii="Times New Roman" w:cs="Times New Roman" w:eastAsia="Times New Roman" w:hAnsi="Times New Roman"/>
                <w:sz w:val="14"/>
                <w:szCs w:val="14"/>
                <w:b w:val="1"/>
                <w:bCs w:val="1"/>
                <w:color w:val="auto"/>
              </w:rPr>
              <w:t>Net change in unrealized appreciation (depreciation) on investments and</w:t>
            </w:r>
          </w:p>
        </w:tc>
        <w:tc>
          <w:tcPr>
            <w:tcW w:w="2860" w:type="dxa"/>
            <w:vAlign w:val="bottom"/>
            <w:shd w:val="clear" w:color="auto" w:fill="CCEC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740" w:type="dxa"/>
            <w:vAlign w:val="bottom"/>
            <w:gridSpan w:val="2"/>
            <w:vMerge w:val="continue"/>
            <w:shd w:val="clear" w:color="auto" w:fill="CCECFF"/>
          </w:tcPr>
          <w:p>
            <w:pPr>
              <w:spacing w:after="0"/>
              <w:rPr>
                <w:sz w:val="11"/>
                <w:szCs w:val="11"/>
                <w:color w:val="auto"/>
              </w:rPr>
            </w:pPr>
          </w:p>
        </w:tc>
        <w:tc>
          <w:tcPr>
            <w:tcW w:w="286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6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3,524,347</w:t>
            </w:r>
          </w:p>
        </w:tc>
        <w:tc>
          <w:tcPr>
            <w:tcW w:w="1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760" w:type="dxa"/>
            <w:vAlign w:val="bottom"/>
            <w:gridSpan w:val="2"/>
            <w:vMerge w:val="restart"/>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(246,733)</w:t>
            </w:r>
          </w:p>
        </w:tc>
        <w:tc>
          <w:tcPr>
            <w:tcW w:w="0" w:type="dxa"/>
            <w:vAlign w:val="bottom"/>
          </w:tcPr>
          <w:p>
            <w:pPr>
              <w:spacing w:after="0"/>
              <w:rPr>
                <w:sz w:val="1"/>
                <w:szCs w:val="1"/>
                <w:color w:val="auto"/>
              </w:rPr>
            </w:pPr>
          </w:p>
        </w:tc>
      </w:tr>
      <w:tr>
        <w:trPr>
          <w:trHeight w:val="173"/>
        </w:trPr>
        <w:tc>
          <w:tcPr>
            <w:tcW w:w="4740" w:type="dxa"/>
            <w:vAlign w:val="bottom"/>
            <w:gridSpan w:val="2"/>
            <w:shd w:val="clear" w:color="auto" w:fill="CCECFF"/>
          </w:tcPr>
          <w:p>
            <w:pPr>
              <w:ind w:left="360"/>
              <w:spacing w:after="0"/>
              <w:rPr>
                <w:sz w:val="20"/>
                <w:szCs w:val="20"/>
                <w:color w:val="auto"/>
              </w:rPr>
            </w:pPr>
            <w:r>
              <w:rPr>
                <w:rFonts w:ascii="Times New Roman" w:cs="Times New Roman" w:eastAsia="Times New Roman" w:hAnsi="Times New Roman"/>
                <w:sz w:val="14"/>
                <w:szCs w:val="14"/>
                <w:b w:val="1"/>
                <w:bCs w:val="1"/>
                <w:color w:val="auto"/>
              </w:rPr>
              <w:t>credit facility foreign currency translations</w:t>
            </w:r>
          </w:p>
        </w:tc>
        <w:tc>
          <w:tcPr>
            <w:tcW w:w="286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640" w:type="dxa"/>
            <w:vAlign w:val="bottom"/>
            <w:vMerge w:val="continue"/>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760" w:type="dxa"/>
            <w:vAlign w:val="bottom"/>
            <w:gridSpan w:val="2"/>
            <w:vMerge w:val="continue"/>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74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Net realized and unrealized gain from investments and credit facility</w:t>
            </w:r>
          </w:p>
        </w:tc>
        <w:tc>
          <w:tcPr>
            <w:tcW w:w="286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2,733,068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205,744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40" w:type="dxa"/>
            <w:vAlign w:val="bottom"/>
            <w:tcBorders>
              <w:bottom w:val="single" w:sz="8" w:color="CCECFF"/>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foreign currency translations</w:t>
            </w:r>
          </w:p>
        </w:tc>
        <w:tc>
          <w:tcPr>
            <w:tcW w:w="2860" w:type="dxa"/>
            <w:vAlign w:val="bottom"/>
            <w:tcBorders>
              <w:bottom w:val="single" w:sz="8" w:color="CCEC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740" w:type="dxa"/>
            <w:vAlign w:val="bottom"/>
            <w:tcBorders>
              <w:bottom w:val="single" w:sz="8" w:color="CCECFF"/>
            </w:tcBorders>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in members' equity resulting from operations</w:t>
            </w:r>
          </w:p>
        </w:tc>
        <w:tc>
          <w:tcPr>
            <w:tcW w:w="2860" w:type="dxa"/>
            <w:vAlign w:val="bottom"/>
            <w:tcBorders>
              <w:bottom w:val="single" w:sz="8" w:color="CCECFF"/>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ind w:right="85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4,670,549</w:t>
            </w:r>
          </w:p>
        </w:tc>
        <w:tc>
          <w:tcPr>
            <w:tcW w:w="16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ind w:right="8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1,524,020</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940" w:type="dxa"/>
            <w:vAlign w:val="bottom"/>
            <w:tcBorders>
              <w:bottom w:val="single" w:sz="8" w:color="auto"/>
            </w:tcBorders>
          </w:tcPr>
          <w:p>
            <w:pPr>
              <w:spacing w:after="0"/>
              <w:rPr>
                <w:sz w:val="3"/>
                <w:szCs w:val="3"/>
                <w:color w:val="auto"/>
              </w:rPr>
            </w:pPr>
          </w:p>
        </w:tc>
        <w:tc>
          <w:tcPr>
            <w:tcW w:w="18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560" w:right="3140" w:hanging="5552"/>
        <w:spacing w:after="0" w:line="830" w:lineRule="auto"/>
        <w:tabs>
          <w:tab w:leader="none" w:pos="371" w:val="left"/>
        </w:tabs>
        <w:numPr>
          <w:ilvl w:val="0"/>
          <w:numId w:val="28"/>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Currently, no management or incentive fees are payable by PSSL. If any fees were to be charged, they would be separately disclosed in the Statements of Operations.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w:t>
      </w:r>
    </w:p>
    <w:p>
      <w:pPr>
        <w:spacing w:after="0" w:line="140" w:lineRule="exact"/>
        <w:rPr>
          <w:sz w:val="20"/>
          <w:szCs w:val="20"/>
          <w:color w:val="auto"/>
        </w:rPr>
      </w:pPr>
    </w:p>
    <w:p>
      <w:pPr>
        <w:ind w:right="80" w:firstLine="438"/>
        <w:spacing w:after="0" w:line="261" w:lineRule="auto"/>
        <w:rPr>
          <w:sz w:val="20"/>
          <w:szCs w:val="20"/>
          <w:color w:val="auto"/>
        </w:rPr>
      </w:pPr>
      <w:r>
        <w:rPr>
          <w:rFonts w:ascii="Times New Roman" w:cs="Times New Roman" w:eastAsia="Times New Roman" w:hAnsi="Times New Roman"/>
          <w:sz w:val="14"/>
          <w:szCs w:val="14"/>
          <w:color w:val="auto"/>
        </w:rPr>
        <w:t>A summary of our significant contractual payment obligations at cost as of December 31, 2020, including borrowings under our Credit Facility, 2023 Notes, 2031 Asset-Backed Debt and other contractual obligations,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Payments due by period (millions)</w:t>
            </w: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ind w:right="448"/>
              <w:spacing w:after="0" w:line="131" w:lineRule="exact"/>
              <w:rPr>
                <w:sz w:val="20"/>
                <w:szCs w:val="20"/>
                <w:color w:val="auto"/>
              </w:rPr>
            </w:pPr>
            <w:r>
              <w:rPr>
                <w:rFonts w:ascii="Times New Roman" w:cs="Times New Roman" w:eastAsia="Times New Roman" w:hAnsi="Times New Roman"/>
                <w:sz w:val="14"/>
                <w:szCs w:val="14"/>
                <w:b w:val="1"/>
                <w:bCs w:val="1"/>
                <w:color w:val="auto"/>
              </w:rPr>
              <w:t>1-3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jc w:val="right"/>
              <w:ind w:right="468"/>
              <w:spacing w:after="0" w:line="131" w:lineRule="exact"/>
              <w:rPr>
                <w:sz w:val="20"/>
                <w:szCs w:val="20"/>
                <w:color w:val="auto"/>
              </w:rPr>
            </w:pPr>
            <w:r>
              <w:rPr>
                <w:rFonts w:ascii="Times New Roman" w:cs="Times New Roman" w:eastAsia="Times New Roman" w:hAnsi="Times New Roman"/>
                <w:sz w:val="14"/>
                <w:szCs w:val="14"/>
                <w:b w:val="1"/>
                <w:bCs w:val="1"/>
                <w:color w:val="auto"/>
              </w:rPr>
              <w:t>3-5</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6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56"/>
        </w:trPr>
        <w:tc>
          <w:tcPr>
            <w:tcW w:w="3820" w:type="dxa"/>
            <w:vAlign w:val="bottom"/>
            <w:tcBorders>
              <w:top w:val="single" w:sz="8" w:color="CCECFF"/>
            </w:tcBorders>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Credit Facility</w:t>
            </w:r>
          </w:p>
        </w:tc>
        <w:tc>
          <w:tcPr>
            <w:tcW w:w="840" w:type="dxa"/>
            <w:vAlign w:val="bottom"/>
            <w:tcBorders>
              <w:top w:val="single" w:sz="8" w:color="auto"/>
            </w:tcBorders>
            <w:shd w:val="clear" w:color="auto" w:fill="CCECFF"/>
          </w:tcPr>
          <w:p>
            <w:pPr>
              <w:jc w:val="right"/>
              <w:ind w:right="72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256.9</w:t>
            </w:r>
          </w:p>
        </w:tc>
        <w:tc>
          <w:tcPr>
            <w:tcW w:w="240" w:type="dxa"/>
            <w:vAlign w:val="bottom"/>
            <w:tcBorders>
              <w:top w:val="single" w:sz="8" w:color="CCECFF"/>
            </w:tcBorders>
            <w:shd w:val="clear" w:color="auto" w:fill="CCECFF"/>
          </w:tcPr>
          <w:p>
            <w:pPr>
              <w:spacing w:after="0"/>
              <w:rPr>
                <w:sz w:val="13"/>
                <w:szCs w:val="13"/>
                <w:color w:val="auto"/>
              </w:rPr>
            </w:pPr>
          </w:p>
        </w:tc>
        <w:tc>
          <w:tcPr>
            <w:tcW w:w="940" w:type="dxa"/>
            <w:vAlign w:val="bottom"/>
            <w:tcBorders>
              <w:top w:val="single" w:sz="8" w:color="auto"/>
            </w:tcBorders>
            <w:shd w:val="clear" w:color="auto" w:fill="CCECFF"/>
          </w:tcPr>
          <w:p>
            <w:pPr>
              <w:jc w:val="right"/>
              <w:ind w:right="7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256.9</w:t>
            </w:r>
          </w:p>
        </w:tc>
        <w:tc>
          <w:tcPr>
            <w:tcW w:w="24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2023 Notes</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2031 Asset-Backed Debt</w:t>
            </w:r>
          </w:p>
        </w:tc>
        <w:tc>
          <w:tcPr>
            <w:tcW w:w="84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5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 xml:space="preserve">Total debt outstanding </w:t>
            </w:r>
            <w:r>
              <w:rPr>
                <w:rFonts w:ascii="Times New Roman" w:cs="Times New Roman" w:eastAsia="Times New Roman" w:hAnsi="Times New Roman"/>
                <w:sz w:val="12"/>
                <w:szCs w:val="12"/>
                <w:color w:val="auto"/>
              </w:rPr>
              <w:t>(1)</w:t>
            </w:r>
          </w:p>
        </w:tc>
        <w:tc>
          <w:tcPr>
            <w:tcW w:w="840" w:type="dxa"/>
            <w:vAlign w:val="bottom"/>
            <w:tcBorders>
              <w:top w:val="single" w:sz="8" w:color="auto"/>
            </w:tcBorders>
          </w:tcPr>
          <w:p>
            <w:pPr>
              <w:jc w:val="right"/>
              <w:ind w:right="72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602.7</w:t>
            </w:r>
          </w:p>
        </w:tc>
        <w:tc>
          <w:tcPr>
            <w:tcW w:w="240" w:type="dxa"/>
            <w:vAlign w:val="bottom"/>
          </w:tcPr>
          <w:p>
            <w:pPr>
              <w:spacing w:after="0"/>
              <w:rPr>
                <w:sz w:val="13"/>
                <w:szCs w:val="13"/>
                <w:color w:val="auto"/>
              </w:rPr>
            </w:pPr>
          </w:p>
        </w:tc>
        <w:tc>
          <w:tcPr>
            <w:tcW w:w="940" w:type="dxa"/>
            <w:vAlign w:val="bottom"/>
            <w:tcBorders>
              <w:top w:val="single" w:sz="8" w:color="auto"/>
            </w:tcBorders>
          </w:tcPr>
          <w:p>
            <w:pPr>
              <w:jc w:val="right"/>
              <w:ind w:right="7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20.8</w:t>
            </w:r>
          </w:p>
        </w:tc>
        <w:tc>
          <w:tcPr>
            <w:tcW w:w="240" w:type="dxa"/>
            <w:vAlign w:val="bottom"/>
          </w:tcPr>
          <w:p>
            <w:pPr>
              <w:spacing w:after="0"/>
              <w:rPr>
                <w:sz w:val="13"/>
                <w:szCs w:val="13"/>
                <w:color w:val="auto"/>
              </w:rPr>
            </w:pPr>
          </w:p>
        </w:tc>
        <w:tc>
          <w:tcPr>
            <w:tcW w:w="260" w:type="dxa"/>
            <w:vAlign w:val="bottom"/>
            <w:tcBorders>
              <w:top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353.9</w:t>
            </w:r>
          </w:p>
        </w:tc>
        <w:tc>
          <w:tcPr>
            <w:tcW w:w="240" w:type="dxa"/>
            <w:vAlign w:val="bottom"/>
          </w:tcPr>
          <w:p>
            <w:pPr>
              <w:spacing w:after="0"/>
              <w:rPr>
                <w:sz w:val="13"/>
                <w:szCs w:val="13"/>
                <w:color w:val="auto"/>
              </w:rPr>
            </w:pPr>
          </w:p>
        </w:tc>
        <w:tc>
          <w:tcPr>
            <w:tcW w:w="360" w:type="dxa"/>
            <w:vAlign w:val="bottom"/>
            <w:tcBorders>
              <w:top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Unfunded commitments to PSSL</w:t>
            </w:r>
          </w:p>
        </w:tc>
        <w:tc>
          <w:tcPr>
            <w:tcW w:w="84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5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4"/>
                <w:szCs w:val="14"/>
                <w:color w:val="auto"/>
              </w:rPr>
              <w:t xml:space="preserve">Unfunded investments </w:t>
            </w:r>
            <w:r>
              <w:rPr>
                <w:rFonts w:ascii="Times New Roman" w:cs="Times New Roman" w:eastAsia="Times New Roman" w:hAnsi="Times New Roman"/>
                <w:sz w:val="12"/>
                <w:szCs w:val="12"/>
                <w:color w:val="auto"/>
              </w:rPr>
              <w:t>(2)</w:t>
            </w: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240" w:type="dxa"/>
            <w:vAlign w:val="bottom"/>
            <w:tcBorders>
              <w:bottom w:val="single" w:sz="8" w:color="CCEC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4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24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34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tcBorders>
              <w:bottom w:val="single" w:sz="8" w:color="CCECFF"/>
            </w:tcBorders>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contractual obligations</w:t>
            </w:r>
          </w:p>
        </w:tc>
        <w:tc>
          <w:tcPr>
            <w:tcW w:w="840" w:type="dxa"/>
            <w:vAlign w:val="bottom"/>
            <w:tcBorders>
              <w:bottom w:val="single" w:sz="8" w:color="auto"/>
            </w:tcBorders>
            <w:shd w:val="clear" w:color="auto" w:fill="CCECFF"/>
          </w:tcPr>
          <w:p>
            <w:pPr>
              <w:jc w:val="right"/>
              <w:ind w:right="72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716.3</w:t>
            </w:r>
          </w:p>
        </w:tc>
        <w:tc>
          <w:tcPr>
            <w:tcW w:w="240" w:type="dxa"/>
            <w:vAlign w:val="bottom"/>
            <w:tcBorders>
              <w:bottom w:val="single" w:sz="8" w:color="CCECFF"/>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ind w:right="7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29.5</w:t>
            </w:r>
          </w:p>
        </w:tc>
        <w:tc>
          <w:tcPr>
            <w:tcW w:w="24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394.4</w:t>
            </w:r>
          </w:p>
        </w:tc>
        <w:tc>
          <w:tcPr>
            <w:tcW w:w="24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37.6</w:t>
            </w:r>
          </w:p>
        </w:tc>
        <w:tc>
          <w:tcPr>
            <w:tcW w:w="34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254.8</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940" w:type="dxa"/>
            <w:vAlign w:val="bottom"/>
            <w:tcBorders>
              <w:bottom w:val="single" w:sz="8" w:color="auto"/>
            </w:tcBorders>
          </w:tcPr>
          <w:p>
            <w:pPr>
              <w:spacing w:after="0"/>
              <w:rPr>
                <w:sz w:val="3"/>
                <w:szCs w:val="3"/>
                <w:color w:val="auto"/>
              </w:rPr>
            </w:pPr>
          </w:p>
        </w:tc>
        <w:tc>
          <w:tcPr>
            <w:tcW w:w="8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207" w:lineRule="auto"/>
        <w:tabs>
          <w:tab w:leader="none" w:pos="380" w:val="left"/>
        </w:tabs>
        <w:numPr>
          <w:ilvl w:val="0"/>
          <w:numId w:val="29"/>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2"/>
          <w:szCs w:val="12"/>
          <w:color w:val="auto"/>
        </w:rPr>
        <w:t>The annualized weighted average cost of debt as of December 31, 2020, was 2.8% exclusive of the fee on the undrawn commitment on the Credit Facility.</w:t>
      </w:r>
    </w:p>
    <w:p>
      <w:pPr>
        <w:ind w:left="380" w:hanging="372"/>
        <w:spacing w:after="0" w:line="180" w:lineRule="auto"/>
        <w:tabs>
          <w:tab w:leader="none" w:pos="380" w:val="left"/>
        </w:tabs>
        <w:numPr>
          <w:ilvl w:val="0"/>
          <w:numId w:val="29"/>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1"/>
          <w:szCs w:val="11"/>
          <w:color w:val="auto"/>
        </w:rPr>
        <w:t>Unfunded debt and equity investments are disclosed in the Consolidated Schedule of Investments and Note 11 of our Consolidated Financial Statements.</w:t>
      </w:r>
    </w:p>
    <w:p>
      <w:pPr>
        <w:spacing w:after="0" w:line="119" w:lineRule="exact"/>
        <w:rPr>
          <w:sz w:val="20"/>
          <w:szCs w:val="20"/>
          <w:color w:val="auto"/>
        </w:rPr>
      </w:pPr>
    </w:p>
    <w:p>
      <w:pPr>
        <w:ind w:right="40" w:firstLine="438"/>
        <w:spacing w:after="0" w:line="236" w:lineRule="auto"/>
        <w:rPr>
          <w:sz w:val="20"/>
          <w:szCs w:val="20"/>
          <w:color w:val="auto"/>
        </w:rPr>
      </w:pPr>
      <w:r>
        <w:rPr>
          <w:rFonts w:ascii="Times New Roman" w:cs="Times New Roman" w:eastAsia="Times New Roman" w:hAnsi="Times New Roman"/>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2021,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09" w:lineRule="exact"/>
        <w:rPr>
          <w:sz w:val="20"/>
          <w:szCs w:val="20"/>
          <w:color w:val="auto"/>
        </w:rPr>
      </w:pPr>
    </w:p>
    <w:p>
      <w:pPr>
        <w:ind w:right="20" w:firstLine="438"/>
        <w:spacing w:after="0" w:line="233" w:lineRule="auto"/>
        <w:rPr>
          <w:sz w:val="20"/>
          <w:szCs w:val="20"/>
          <w:color w:val="auto"/>
        </w:rPr>
      </w:pPr>
      <w:r>
        <w:rPr>
          <w:rFonts w:ascii="Times New Roman" w:cs="Times New Roman" w:eastAsia="Times New Roman" w:hAnsi="Times New Roman"/>
          <w:sz w:val="14"/>
          <w:szCs w:val="14"/>
          <w:color w:val="auto"/>
        </w:rPr>
        <w:t>Under our Administration Agreement, which was most recently reapproved by our board of directors, including a majority of our directors who are not interested persons of us, in February 2021,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0" w:lineRule="exact"/>
        <w:rPr>
          <w:sz w:val="20"/>
          <w:szCs w:val="20"/>
          <w:color w:val="auto"/>
        </w:rPr>
      </w:pPr>
    </w:p>
    <w:p>
      <w:pPr>
        <w:ind w:right="80" w:firstLine="438"/>
        <w:spacing w:after="0" w:line="241" w:lineRule="auto"/>
        <w:rPr>
          <w:sz w:val="20"/>
          <w:szCs w:val="20"/>
          <w:color w:val="auto"/>
        </w:rPr>
      </w:pPr>
      <w:r>
        <w:rPr>
          <w:rFonts w:ascii="Times New Roman" w:cs="Times New Roman" w:eastAsia="Times New Roman" w:hAnsi="Times New Roman"/>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Developments</w:t>
      </w:r>
    </w:p>
    <w:p>
      <w:pPr>
        <w:spacing w:after="0" w:line="140" w:lineRule="exact"/>
        <w:rPr>
          <w:sz w:val="20"/>
          <w:szCs w:val="20"/>
          <w:color w:val="auto"/>
        </w:rPr>
      </w:pPr>
    </w:p>
    <w:p>
      <w:pPr>
        <w:ind w:right="20" w:firstLine="438"/>
        <w:spacing w:after="0" w:line="228" w:lineRule="auto"/>
        <w:rPr>
          <w:sz w:val="20"/>
          <w:szCs w:val="20"/>
          <w:color w:val="auto"/>
        </w:rPr>
      </w:pPr>
      <w:r>
        <w:rPr>
          <w:rFonts w:ascii="Times New Roman" w:cs="Times New Roman" w:eastAsia="Times New Roman" w:hAnsi="Times New Roman"/>
          <w:sz w:val="14"/>
          <w:szCs w:val="14"/>
          <w:color w:val="auto"/>
        </w:rPr>
        <w:t>On January 27, 2021, PSSL, through its wholly-owned and consolidated subsidiary, PennantPark CLO II, Ltd., closed a three-year reinvestment period, eleven-year final maturity $300.7 million debt securitization in the form of a collateralized loan obligation consisting of the following classes of notes: Class A-1 Notes, Class A-1 Loans, Class A-2 Notes, Class B-1 Notes, Class B-2 Notes, Class C Notes, Class D Notes, Class E Notes and Subordinated Notes, or the Debt. PSSL will retain all of the Class E Notes and Subordinated Notes through a consolidated subsidiary. The reinvestment period for the term debt securitization ends in January 2024 and the Debt is scheduled to mature in January 2032. The term debt securitization is expected to be approximately 95% funded at close. The proceeds from the Debt were used to repay a portion of the PSSL Credit Facility, as well as repay the $50.0 million senior secured promissory note issued by PSSL. Additionally, in conjunction with the closing of this transaction, PSSL’s $325.0 million senior secured revolving credit facility with Capital One, N.A. was terminated and replaced with a new $125.0 million senior secured revolving credit facility provided by Ally Bank. The Ally Bank credit facility has an interest rate spread above LIBOR (or an alternative risk-free floating interest rate index) of 260 basis points, a LIBOR floor of 25 basis points, a maturity date of January 26, 2026 and a revolving period that ends on January 26, 2024.</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Effective January 19, 2021, we reduced the size of the Credit Facility from $520 million to $400 million in order to reduce the cost of the unused facility fees.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Off-Balance Sheet Arrangements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We currently engage in no off-balance sheet arrangements other than our funding requirements for the unfunded investments described above.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w:t>
      </w:r>
    </w:p>
    <w:p>
      <w:pPr>
        <w:spacing w:after="0" w:line="140" w:lineRule="exact"/>
        <w:rPr>
          <w:sz w:val="20"/>
          <w:szCs w:val="20"/>
          <w:color w:val="auto"/>
        </w:rPr>
      </w:pPr>
    </w:p>
    <w:p>
      <w:pPr>
        <w:jc w:val="both"/>
        <w:ind w:right="140" w:firstLine="438"/>
        <w:spacing w:after="0" w:line="241" w:lineRule="auto"/>
        <w:rPr>
          <w:sz w:val="20"/>
          <w:szCs w:val="20"/>
          <w:color w:val="auto"/>
        </w:rPr>
      </w:pPr>
      <w:r>
        <w:rPr>
          <w:rFonts w:ascii="Times New Roman" w:cs="Times New Roman" w:eastAsia="Times New Roman" w:hAnsi="Times New Roman"/>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09" w:lineRule="exact"/>
        <w:rPr>
          <w:sz w:val="20"/>
          <w:szCs w:val="20"/>
          <w:color w:val="auto"/>
        </w:rPr>
      </w:pPr>
    </w:p>
    <w:p>
      <w:pPr>
        <w:ind w:right="20" w:firstLine="438"/>
        <w:spacing w:after="0" w:line="233"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U.S.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0" w:lineRule="exact"/>
        <w:rPr>
          <w:sz w:val="20"/>
          <w:szCs w:val="20"/>
          <w:color w:val="auto"/>
        </w:rPr>
      </w:pPr>
    </w:p>
    <w:p>
      <w:pPr>
        <w:ind w:right="20" w:firstLine="438"/>
        <w:spacing w:after="0" w:line="236" w:lineRule="auto"/>
        <w:rPr>
          <w:sz w:val="20"/>
          <w:szCs w:val="20"/>
          <w:color w:val="auto"/>
        </w:rPr>
      </w:pPr>
      <w:r>
        <w:rPr>
          <w:rFonts w:ascii="Times New Roman" w:cs="Times New Roman" w:eastAsia="Times New Roman" w:hAnsi="Times New Roman"/>
          <w:sz w:val="14"/>
          <w:szCs w:val="14"/>
          <w:color w:val="auto"/>
        </w:rPr>
        <w:t>During both the three months ended December 31, 2020 and 2019, we declared distributions of $0.285 per share for total distributions of $11.1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We intend to continue to make monthly distributions to our stockholders. Our monthly distributions, if any, are determined by our board of directors quarterly.</w:t>
      </w:r>
    </w:p>
    <w:p>
      <w:pPr>
        <w:spacing w:after="0" w:line="136"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45" w:name="page46"/>
    <w:bookmarkEnd w:id="45"/>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138" w:lineRule="exact"/>
        <w:rPr>
          <w:sz w:val="20"/>
          <w:szCs w:val="20"/>
          <w:color w:val="auto"/>
        </w:rPr>
      </w:pPr>
    </w:p>
    <w:p>
      <w:pPr>
        <w:ind w:right="20" w:firstLine="438"/>
        <w:spacing w:after="0" w:line="233" w:lineRule="auto"/>
        <w:rPr>
          <w:sz w:val="20"/>
          <w:szCs w:val="20"/>
          <w:color w:val="auto"/>
        </w:rPr>
      </w:pPr>
      <w:r>
        <w:rPr>
          <w:rFonts w:ascii="Times New Roman" w:cs="Times New Roman" w:eastAsia="Times New Roman" w:hAnsi="Times New Roman"/>
          <w:sz w:val="14"/>
          <w:szCs w:val="14"/>
          <w:color w:val="auto"/>
        </w:rPr>
        <w:t>We are subject to financial market risks, including changes in interest rates. As of December 31, 2020, our debt portfolio consisted of 98% variable-rate investments. The variable-rate loans are usually based on a LIBOR rate (or an alternative risk-free floating interest rate index)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0" w:lineRule="exact"/>
        <w:rPr>
          <w:sz w:val="20"/>
          <w:szCs w:val="20"/>
          <w:color w:val="auto"/>
        </w:rPr>
      </w:pPr>
    </w:p>
    <w:p>
      <w:pPr>
        <w:ind w:right="500" w:firstLine="438"/>
        <w:spacing w:after="0" w:line="261" w:lineRule="auto"/>
        <w:rPr>
          <w:sz w:val="20"/>
          <w:szCs w:val="20"/>
          <w:color w:val="auto"/>
        </w:rPr>
      </w:pPr>
      <w:r>
        <w:rPr>
          <w:rFonts w:ascii="Times New Roman" w:cs="Times New Roman" w:eastAsia="Times New Roman" w:hAnsi="Times New Roman"/>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2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1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c>
          <w:tcPr>
            <w:tcW w:w="0" w:type="dxa"/>
            <w:vAlign w:val="bottom"/>
          </w:tcPr>
          <w:p>
            <w:pPr>
              <w:spacing w:after="0"/>
              <w:rPr>
                <w:sz w:val="1"/>
                <w:szCs w:val="1"/>
                <w:color w:val="auto"/>
              </w:rPr>
            </w:pPr>
          </w:p>
        </w:tc>
      </w:tr>
      <w:tr>
        <w:trPr>
          <w:trHeight w:val="148"/>
        </w:trPr>
        <w:tc>
          <w:tcPr>
            <w:tcW w:w="3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 In Interest Rates</w:t>
            </w:r>
          </w:p>
        </w:tc>
        <w:tc>
          <w:tcPr>
            <w:tcW w:w="282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 Expense</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1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w:t>
            </w:r>
          </w:p>
        </w:tc>
        <w:tc>
          <w:tcPr>
            <w:tcW w:w="0" w:type="dxa"/>
            <w:vAlign w:val="bottom"/>
          </w:tcPr>
          <w:p>
            <w:pPr>
              <w:spacing w:after="0"/>
              <w:rPr>
                <w:sz w:val="1"/>
                <w:szCs w:val="1"/>
                <w:color w:val="auto"/>
              </w:rPr>
            </w:pPr>
          </w:p>
        </w:tc>
      </w:tr>
      <w:tr>
        <w:trPr>
          <w:trHeight w:val="173"/>
        </w:trPr>
        <w:tc>
          <w:tcPr>
            <w:tcW w:w="3840" w:type="dxa"/>
            <w:vAlign w:val="bottom"/>
            <w:gridSpan w:val="2"/>
            <w:vMerge w:val="continue"/>
          </w:tcPr>
          <w:p>
            <w:pPr>
              <w:spacing w:after="0"/>
              <w:rPr>
                <w:sz w:val="15"/>
                <w:szCs w:val="15"/>
                <w:color w:val="auto"/>
              </w:rPr>
            </w:pPr>
          </w:p>
        </w:tc>
        <w:tc>
          <w:tcPr>
            <w:tcW w:w="282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1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Expense Per Share</w:t>
            </w:r>
          </w:p>
        </w:tc>
        <w:tc>
          <w:tcPr>
            <w:tcW w:w="0" w:type="dxa"/>
            <w:vAlign w:val="bottom"/>
          </w:tcPr>
          <w:p>
            <w:pPr>
              <w:spacing w:after="0"/>
              <w:rPr>
                <w:sz w:val="1"/>
                <w:szCs w:val="1"/>
                <w:color w:val="auto"/>
              </w:rPr>
            </w:pPr>
          </w:p>
        </w:tc>
      </w:tr>
      <w:tr>
        <w:trPr>
          <w:trHeight w:val="155"/>
        </w:trPr>
        <w:tc>
          <w:tcPr>
            <w:tcW w:w="362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2820" w:type="dxa"/>
            <w:vAlign w:val="bottom"/>
            <w:tcBorders>
              <w:top w:val="single" w:sz="8" w:color="auto"/>
            </w:tcBorders>
            <w:shd w:val="clear" w:color="auto" w:fill="CCECFF"/>
          </w:tcPr>
          <w:p>
            <w:pPr>
              <w:jc w:val="right"/>
              <w:ind w:right="26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(550)</w:t>
            </w:r>
          </w:p>
        </w:tc>
        <w:tc>
          <w:tcPr>
            <w:tcW w:w="320" w:type="dxa"/>
            <w:vAlign w:val="bottom"/>
            <w:tcBorders>
              <w:top w:val="single" w:sz="8" w:color="CCECFF"/>
            </w:tcBorders>
            <w:shd w:val="clear" w:color="auto" w:fill="CCECFF"/>
          </w:tcPr>
          <w:p>
            <w:pPr>
              <w:spacing w:after="0"/>
              <w:rPr>
                <w:sz w:val="13"/>
                <w:szCs w:val="13"/>
                <w:color w:val="auto"/>
              </w:rPr>
            </w:pPr>
          </w:p>
        </w:tc>
        <w:tc>
          <w:tcPr>
            <w:tcW w:w="500" w:type="dxa"/>
            <w:vAlign w:val="bottom"/>
            <w:tcBorders>
              <w:top w:val="single" w:sz="8" w:color="auto"/>
            </w:tcBorders>
            <w:shd w:val="clear" w:color="auto" w:fill="CCECFF"/>
          </w:tcPr>
          <w:p>
            <w:pPr>
              <w:jc w:val="right"/>
              <w:ind w:right="3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Up 1%</w:t>
            </w:r>
          </w:p>
        </w:tc>
        <w:tc>
          <w:tcPr>
            <w:tcW w:w="282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(1,914)</w:t>
            </w:r>
          </w:p>
        </w:tc>
        <w:tc>
          <w:tcPr>
            <w:tcW w:w="500" w:type="dxa"/>
            <w:vAlign w:val="bottom"/>
          </w:tcPr>
          <w:p>
            <w:pPr>
              <w:spacing w:after="0"/>
              <w:rPr>
                <w:sz w:val="14"/>
                <w:szCs w:val="14"/>
                <w:color w:val="auto"/>
              </w:rPr>
            </w:pPr>
          </w:p>
        </w:tc>
        <w:tc>
          <w:tcPr>
            <w:tcW w:w="3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CFF"/>
          </w:tcPr>
          <w:p>
            <w:pPr>
              <w:jc w:val="center"/>
              <w:ind w:right="240"/>
              <w:spacing w:after="0"/>
              <w:rPr>
                <w:sz w:val="20"/>
                <w:szCs w:val="20"/>
                <w:color w:val="auto"/>
              </w:rPr>
            </w:pPr>
            <w:r>
              <w:rPr>
                <w:rFonts w:ascii="Times New Roman" w:cs="Times New Roman" w:eastAsia="Times New Roman" w:hAnsi="Times New Roman"/>
                <w:sz w:val="14"/>
                <w:szCs w:val="14"/>
                <w:color w:val="auto"/>
              </w:rPr>
              <w:t>Up 2%</w:t>
            </w:r>
          </w:p>
        </w:tc>
        <w:tc>
          <w:tcPr>
            <w:tcW w:w="282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320" w:type="dxa"/>
            <w:vAlign w:val="bottom"/>
            <w:shd w:val="clear" w:color="auto" w:fill="CCECFF"/>
          </w:tcPr>
          <w:p>
            <w:pPr>
              <w:spacing w:after="0"/>
              <w:rPr>
                <w:sz w:val="14"/>
                <w:szCs w:val="14"/>
                <w:color w:val="auto"/>
              </w:rPr>
            </w:pPr>
          </w:p>
        </w:tc>
        <w:tc>
          <w:tcPr>
            <w:tcW w:w="500" w:type="dxa"/>
            <w:vAlign w:val="bottom"/>
            <w:shd w:val="clear" w:color="auto" w:fill="CCECFF"/>
          </w:tcPr>
          <w:p>
            <w:pPr>
              <w:spacing w:after="0"/>
              <w:rPr>
                <w:sz w:val="14"/>
                <w:szCs w:val="14"/>
                <w:color w:val="auto"/>
              </w:rPr>
            </w:pPr>
          </w:p>
        </w:tc>
        <w:tc>
          <w:tcPr>
            <w:tcW w:w="3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Up 3%</w:t>
            </w:r>
          </w:p>
        </w:tc>
        <w:tc>
          <w:tcPr>
            <w:tcW w:w="2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7,991</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CFF"/>
          </w:tcPr>
          <w:p>
            <w:pPr>
              <w:jc w:val="center"/>
              <w:ind w:right="240"/>
              <w:spacing w:after="0"/>
              <w:rPr>
                <w:sz w:val="20"/>
                <w:szCs w:val="20"/>
                <w:color w:val="auto"/>
              </w:rPr>
            </w:pPr>
            <w:r>
              <w:rPr>
                <w:rFonts w:ascii="Times New Roman" w:cs="Times New Roman" w:eastAsia="Times New Roman" w:hAnsi="Times New Roman"/>
                <w:sz w:val="14"/>
                <w:szCs w:val="14"/>
                <w:color w:val="auto"/>
              </w:rPr>
              <w:t>Up 4%</w:t>
            </w:r>
          </w:p>
        </w:tc>
        <w:tc>
          <w:tcPr>
            <w:tcW w:w="2820" w:type="dxa"/>
            <w:vAlign w:val="bottom"/>
            <w:shd w:val="clear" w:color="auto" w:fill="CCECFF"/>
          </w:tcPr>
          <w:p>
            <w:pPr>
              <w:jc w:val="right"/>
              <w:ind w:right="26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12,944</w:t>
            </w:r>
          </w:p>
        </w:tc>
        <w:tc>
          <w:tcPr>
            <w:tcW w:w="320" w:type="dxa"/>
            <w:vAlign w:val="bottom"/>
            <w:shd w:val="clear" w:color="auto" w:fill="CCECFF"/>
          </w:tcPr>
          <w:p>
            <w:pPr>
              <w:spacing w:after="0"/>
              <w:rPr>
                <w:sz w:val="14"/>
                <w:szCs w:val="14"/>
                <w:color w:val="auto"/>
              </w:rPr>
            </w:pPr>
          </w:p>
        </w:tc>
        <w:tc>
          <w:tcPr>
            <w:tcW w:w="500" w:type="dxa"/>
            <w:vAlign w:val="bottom"/>
            <w:shd w:val="clear" w:color="auto" w:fill="CCEC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3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40" w:firstLine="438"/>
        <w:spacing w:after="0" w:line="241" w:lineRule="auto"/>
        <w:rPr>
          <w:sz w:val="20"/>
          <w:szCs w:val="20"/>
          <w:color w:val="auto"/>
        </w:rPr>
      </w:pPr>
      <w:r>
        <w:rPr>
          <w:rFonts w:ascii="Times New Roman" w:cs="Times New Roman" w:eastAsia="Times New Roman" w:hAnsi="Times New Roman"/>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09" w:lineRule="exact"/>
        <w:rPr>
          <w:sz w:val="20"/>
          <w:szCs w:val="20"/>
          <w:color w:val="auto"/>
        </w:rPr>
      </w:pPr>
    </w:p>
    <w:p>
      <w:pPr>
        <w:jc w:val="both"/>
        <w:ind w:right="160" w:firstLine="438"/>
        <w:spacing w:after="0" w:line="241" w:lineRule="auto"/>
        <w:rPr>
          <w:sz w:val="20"/>
          <w:szCs w:val="20"/>
          <w:color w:val="auto"/>
        </w:rPr>
      </w:pPr>
      <w:r>
        <w:rPr>
          <w:rFonts w:ascii="Times New Roman" w:cs="Times New Roman" w:eastAsia="Times New Roman" w:hAnsi="Times New Roman"/>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09" w:lineRule="exact"/>
        <w:rPr>
          <w:sz w:val="20"/>
          <w:szCs w:val="20"/>
          <w:color w:val="auto"/>
        </w:rPr>
      </w:pPr>
    </w:p>
    <w:p>
      <w:pPr>
        <w:ind w:right="60" w:firstLine="438"/>
        <w:spacing w:after="0" w:line="236" w:lineRule="auto"/>
        <w:rPr>
          <w:sz w:val="20"/>
          <w:szCs w:val="20"/>
          <w:color w:val="auto"/>
        </w:rPr>
      </w:pPr>
      <w:r>
        <w:rPr>
          <w:rFonts w:ascii="Times New Roman" w:cs="Times New Roman" w:eastAsia="Times New Roman" w:hAnsi="Times New Roman"/>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0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38" w:lineRule="exact"/>
        <w:rPr>
          <w:sz w:val="20"/>
          <w:szCs w:val="20"/>
          <w:color w:val="auto"/>
        </w:rPr>
      </w:pPr>
    </w:p>
    <w:p>
      <w:pPr>
        <w:ind w:right="80" w:firstLine="438"/>
        <w:spacing w:after="0" w:line="229" w:lineRule="auto"/>
        <w:rPr>
          <w:sz w:val="20"/>
          <w:szCs w:val="20"/>
          <w:color w:val="auto"/>
        </w:rPr>
      </w:pPr>
      <w:r>
        <w:rPr>
          <w:rFonts w:ascii="Times New Roman" w:cs="Times New Roman" w:eastAsia="Times New Roman" w:hAnsi="Times New Roman"/>
          <w:sz w:val="14"/>
          <w:szCs w:val="14"/>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3" w:lineRule="exact"/>
        <w:rPr>
          <w:sz w:val="20"/>
          <w:szCs w:val="20"/>
          <w:color w:val="auto"/>
        </w:rPr>
      </w:pPr>
    </w:p>
    <w:p>
      <w:pPr>
        <w:ind w:right="340" w:firstLine="438"/>
        <w:spacing w:after="0" w:line="261"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that occurred during the quarter ended December 31, 2020 that have materially affected, or are reasonably likely to materially affect, our internal control over financial reporting.</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1.Legal Proceedings</w:t>
      </w:r>
    </w:p>
    <w:p>
      <w:pPr>
        <w:spacing w:after="0" w:line="138" w:lineRule="exact"/>
        <w:rPr>
          <w:sz w:val="20"/>
          <w:szCs w:val="20"/>
          <w:color w:val="auto"/>
        </w:rPr>
      </w:pPr>
    </w:p>
    <w:p>
      <w:pPr>
        <w:ind w:right="80" w:firstLine="438"/>
        <w:spacing w:after="0" w:line="236" w:lineRule="auto"/>
        <w:rPr>
          <w:sz w:val="20"/>
          <w:szCs w:val="20"/>
          <w:color w:val="auto"/>
        </w:rPr>
      </w:pPr>
      <w:r>
        <w:rPr>
          <w:rFonts w:ascii="Times New Roman" w:cs="Times New Roman" w:eastAsia="Times New Roman" w:hAnsi="Times New Roman"/>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1A.Risk Factors</w:t>
      </w:r>
    </w:p>
    <w:p>
      <w:pPr>
        <w:spacing w:after="0" w:line="138" w:lineRule="exact"/>
        <w:rPr>
          <w:sz w:val="20"/>
          <w:szCs w:val="20"/>
          <w:color w:val="auto"/>
        </w:rPr>
      </w:pPr>
    </w:p>
    <w:p>
      <w:pPr>
        <w:jc w:val="both"/>
        <w:ind w:right="40" w:firstLine="438"/>
        <w:spacing w:after="0" w:line="236" w:lineRule="auto"/>
        <w:rPr>
          <w:sz w:val="20"/>
          <w:szCs w:val="20"/>
          <w:color w:val="auto"/>
        </w:rPr>
      </w:pPr>
      <w:r>
        <w:rPr>
          <w:rFonts w:ascii="Times New Roman" w:cs="Times New Roman" w:eastAsia="Times New Roman" w:hAnsi="Times New Roman"/>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2020 filed on November 18, 2020, which could materially affect our business, financial condition and/or operating results. The risks described below, as well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Legislation enacted in 2018 allows us to incur additional leverage.</w:t>
      </w:r>
    </w:p>
    <w:p>
      <w:pPr>
        <w:spacing w:after="0" w:line="140" w:lineRule="exact"/>
        <w:rPr>
          <w:sz w:val="20"/>
          <w:szCs w:val="20"/>
          <w:color w:val="auto"/>
        </w:rPr>
      </w:pPr>
    </w:p>
    <w:p>
      <w:pPr>
        <w:ind w:firstLine="438"/>
        <w:spacing w:after="0"/>
        <w:rPr>
          <w:sz w:val="20"/>
          <w:szCs w:val="20"/>
          <w:color w:val="auto"/>
        </w:rPr>
      </w:pPr>
      <w:r>
        <w:rPr>
          <w:rFonts w:ascii="Times New Roman" w:cs="Times New Roman" w:eastAsia="Times New Roman" w:hAnsi="Times New Roman"/>
          <w:sz w:val="14"/>
          <w:szCs w:val="14"/>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April 5, 2018, our board of directors approved such reduction. As of April 5, 2019, we are able to incur additional indebtedness so long as we comply with the applicable disclosure requirement,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181" w:lineRule="exact"/>
        <w:rPr>
          <w:sz w:val="20"/>
          <w:szCs w:val="20"/>
          <w:color w:val="auto"/>
        </w:rPr>
      </w:pPr>
    </w:p>
    <w:p>
      <w:pPr>
        <w:ind w:right="360" w:firstLine="438"/>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91" w:lineRule="exact"/>
        <w:rPr>
          <w:sz w:val="20"/>
          <w:szCs w:val="20"/>
          <w:color w:val="auto"/>
        </w:rPr>
      </w:pPr>
    </w:p>
    <w:p>
      <w:pPr>
        <w:jc w:val="both"/>
        <w:ind w:right="120" w:firstLine="438"/>
        <w:spacing w:after="0" w:line="241" w:lineRule="auto"/>
        <w:rPr>
          <w:sz w:val="20"/>
          <w:szCs w:val="20"/>
          <w:color w:val="auto"/>
        </w:rPr>
      </w:pPr>
      <w:r>
        <w:rPr>
          <w:rFonts w:ascii="Times New Roman" w:cs="Times New Roman" w:eastAsia="Times New Roman" w:hAnsi="Times New Roman"/>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09" w:lineRule="exact"/>
        <w:rPr>
          <w:sz w:val="20"/>
          <w:szCs w:val="20"/>
          <w:color w:val="auto"/>
        </w:rPr>
      </w:pPr>
    </w:p>
    <w:p>
      <w:pPr>
        <w:ind w:right="80" w:firstLine="438"/>
        <w:spacing w:after="0" w:line="231" w:lineRule="auto"/>
        <w:rPr>
          <w:sz w:val="20"/>
          <w:szCs w:val="20"/>
          <w:color w:val="auto"/>
        </w:rPr>
      </w:pPr>
      <w:r>
        <w:rPr>
          <w:rFonts w:ascii="Times New Roman" w:cs="Times New Roman" w:eastAsia="Times New Roman" w:hAnsi="Times New Roman"/>
          <w:sz w:val="14"/>
          <w:szCs w:val="14"/>
          <w:color w:val="auto"/>
        </w:rPr>
        <w:t>As noted above, on April 5, 2018, our board of directors, including a “required majority” (as such term is defined in Section 57(o) of the 1940 Act), approved a reduction of our asset coverage ratio from 200% to 150%. As a result, as of April 5,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0" w:lineRule="exact"/>
        <w:rPr>
          <w:sz w:val="20"/>
          <w:szCs w:val="20"/>
          <w:color w:val="auto"/>
        </w:rPr>
      </w:pPr>
    </w:p>
    <w:p>
      <w:pPr>
        <w:jc w:val="both"/>
        <w:ind w:right="60" w:firstLine="438"/>
        <w:spacing w:after="0" w:line="236" w:lineRule="auto"/>
        <w:rPr>
          <w:sz w:val="20"/>
          <w:szCs w:val="20"/>
          <w:color w:val="auto"/>
        </w:rPr>
      </w:pPr>
      <w:r>
        <w:rPr>
          <w:rFonts w:ascii="Times New Roman" w:cs="Times New Roman" w:eastAsia="Times New Roman" w:hAnsi="Times New Roman"/>
          <w:sz w:val="14"/>
          <w:szCs w:val="14"/>
          <w:color w:val="auto"/>
        </w:rPr>
        <w:t>We are partially dependent on our subsidiary, Funding I, for cash distributions to enable us to meet the distribution requirements in order to permit us to be subject to tax as a RIC. In this regard, Funding I is limited by its covenants from making certain distributions to us that may be necessary to fulfill our requirements to be subject to tax as a RIC. In such case, we would need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If we incur additional debt, it could increase the risk of investing in our shares.</w:t>
      </w:r>
    </w:p>
    <w:p>
      <w:pPr>
        <w:spacing w:after="0" w:line="140" w:lineRule="exact"/>
        <w:rPr>
          <w:sz w:val="20"/>
          <w:szCs w:val="20"/>
          <w:color w:val="auto"/>
        </w:rPr>
      </w:pPr>
    </w:p>
    <w:p>
      <w:pPr>
        <w:ind w:right="140" w:firstLine="438"/>
        <w:spacing w:after="0" w:line="227" w:lineRule="auto"/>
        <w:rPr>
          <w:sz w:val="20"/>
          <w:szCs w:val="20"/>
          <w:color w:val="auto"/>
        </w:rPr>
      </w:pPr>
      <w:r>
        <w:rPr>
          <w:rFonts w:ascii="Times New Roman" w:cs="Times New Roman" w:eastAsia="Times New Roman" w:hAnsi="Times New Roman"/>
          <w:sz w:val="14"/>
          <w:szCs w:val="14"/>
          <w:color w:val="auto"/>
        </w:rPr>
        <w:t>We have indebtedness outstanding pursuant to our Credit Facility, 2023 Notes and the 2031 Asset-Backed Debt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the use of leverage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1" w:lineRule="exact"/>
        <w:rPr>
          <w:sz w:val="20"/>
          <w:szCs w:val="20"/>
          <w:color w:val="auto"/>
        </w:rPr>
      </w:pPr>
    </w:p>
    <w:p>
      <w:pPr>
        <w:ind w:right="340" w:firstLine="438"/>
        <w:spacing w:after="0" w:line="241" w:lineRule="auto"/>
        <w:rPr>
          <w:sz w:val="20"/>
          <w:szCs w:val="20"/>
          <w:color w:val="auto"/>
        </w:rPr>
      </w:pPr>
      <w:r>
        <w:rPr>
          <w:rFonts w:ascii="Times New Roman" w:cs="Times New Roman" w:eastAsia="Times New Roman" w:hAnsi="Times New Roman"/>
          <w:sz w:val="14"/>
          <w:szCs w:val="14"/>
          <w:color w:val="auto"/>
        </w:rPr>
        <w:t>As noted above, on April 5, 2018, our board of directors, including a “required majority” (as such term is defined in Section 57(o) of the 1940 Act), approved a reduction of our asset coverage ratio. As a result, as of April 5,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2.Unregistered Sales of Equity Securities and Use of Proceeds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3.Defaults Upon Senior Securities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None.</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Item 4.Mine Safety Disclosures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5.Other Information</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None.</w:t>
      </w:r>
    </w:p>
    <w:p>
      <w:pPr>
        <w:spacing w:after="0" w:line="276"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412"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Item 6.Exhibits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Unless specifically indicated otherwise, the following exhibits are incorporated by reference to exhibits previously filed with the SEC:</w:t>
      </w:r>
    </w:p>
    <w:p>
      <w:pPr>
        <w:spacing w:after="0" w:line="136" w:lineRule="exact"/>
        <w:rPr>
          <w:sz w:val="20"/>
          <w:szCs w:val="20"/>
          <w:color w:val="auto"/>
        </w:rPr>
      </w:pPr>
    </w:p>
    <w:p>
      <w:pPr>
        <w:ind w:left="580" w:hanging="507"/>
        <w:spacing w:after="0" w:line="261" w:lineRule="auto"/>
        <w:tabs>
          <w:tab w:leader="none" w:pos="5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3.1</w:t>
      </w:r>
      <w:r>
        <w:rPr>
          <w:sz w:val="20"/>
          <w:szCs w:val="20"/>
          <w:color w:val="auto"/>
        </w:rPr>
        <w:tab/>
      </w:r>
      <w:hyperlink r:id="rId70">
        <w:r>
          <w:rPr>
            <w:rFonts w:ascii="Times New Roman" w:cs="Times New Roman" w:eastAsia="Times New Roman" w:hAnsi="Times New Roman"/>
            <w:sz w:val="14"/>
            <w:szCs w:val="14"/>
            <w:u w:val="single" w:color="auto"/>
            <w:color w:val="0000EE"/>
          </w:rPr>
          <w:t>Articles of Amendment and Restatement of the Registrant (Incorporated by reference to Exhibit 99(A) to the Registrant's Pre-Effective Amendment No. 3 to the Registration Statement</w:t>
        </w:r>
      </w:hyperlink>
      <w:r>
        <w:rPr>
          <w:rFonts w:ascii="Times New Roman" w:cs="Times New Roman" w:eastAsia="Times New Roman" w:hAnsi="Times New Roman"/>
          <w:sz w:val="14"/>
          <w:szCs w:val="14"/>
          <w:u w:val="single" w:color="auto"/>
          <w:color w:val="0000EE"/>
        </w:rPr>
        <w:t xml:space="preserve"> </w:t>
      </w:r>
      <w:hyperlink r:id="rId70">
        <w:r>
          <w:rPr>
            <w:rFonts w:ascii="Times New Roman" w:cs="Times New Roman" w:eastAsia="Times New Roman" w:hAnsi="Times New Roman"/>
            <w:sz w:val="14"/>
            <w:szCs w:val="14"/>
            <w:u w:val="single" w:color="auto"/>
            <w:color w:val="0000EE"/>
          </w:rPr>
          <w:t>on Form N-2 (File No. 333-170243), filed on March 29, 2011).</w:t>
        </w:r>
      </w:hyperlink>
    </w:p>
    <w:p>
      <w:pPr>
        <w:spacing w:after="0" w:line="95" w:lineRule="exact"/>
        <w:rPr>
          <w:sz w:val="20"/>
          <w:szCs w:val="20"/>
          <w:color w:val="auto"/>
        </w:rPr>
      </w:pPr>
    </w:p>
    <w:p>
      <w:pPr>
        <w:ind w:left="80"/>
        <w:spacing w:after="0"/>
        <w:tabs>
          <w:tab w:leader="none" w:pos="5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3.2</w:t>
      </w:r>
      <w:r>
        <w:rPr>
          <w:sz w:val="20"/>
          <w:szCs w:val="20"/>
          <w:color w:val="auto"/>
        </w:rPr>
        <w:tab/>
      </w:r>
      <w:hyperlink r:id="rId71">
        <w:r>
          <w:rPr>
            <w:rFonts w:ascii="Times New Roman" w:cs="Times New Roman" w:eastAsia="Times New Roman" w:hAnsi="Times New Roman"/>
            <w:sz w:val="14"/>
            <w:szCs w:val="14"/>
            <w:u w:val="single" w:color="auto"/>
            <w:color w:val="0000EE"/>
          </w:rPr>
          <w:t>Amended and Restated Bylaws of the Registrant (Incorporated by reference to Exhibit 3.1 to the Registrant’s Current Report on Form 8-K (File No. 814-00891), filed on December 2,</w:t>
        </w:r>
      </w:hyperlink>
    </w:p>
    <w:p>
      <w:pPr>
        <w:spacing w:after="0" w:line="4" w:lineRule="exact"/>
        <w:rPr>
          <w:sz w:val="20"/>
          <w:szCs w:val="20"/>
          <w:color w:val="auto"/>
        </w:rPr>
      </w:pPr>
    </w:p>
    <w:p>
      <w:pPr>
        <w:ind w:left="580"/>
        <w:spacing w:after="0"/>
        <w:rPr>
          <w:rFonts w:ascii="Times New Roman" w:cs="Times New Roman" w:eastAsia="Times New Roman" w:hAnsi="Times New Roman"/>
          <w:sz w:val="14"/>
          <w:szCs w:val="14"/>
          <w:u w:val="single" w:color="auto"/>
          <w:color w:val="0000EE"/>
        </w:rPr>
      </w:pPr>
      <w:hyperlink r:id="rId71">
        <w:r>
          <w:rPr>
            <w:rFonts w:ascii="Times New Roman" w:cs="Times New Roman" w:eastAsia="Times New Roman" w:hAnsi="Times New Roman"/>
            <w:sz w:val="14"/>
            <w:szCs w:val="14"/>
            <w:u w:val="single" w:color="auto"/>
            <w:color w:val="0000EE"/>
          </w:rPr>
          <w:t>2015).</w:t>
        </w:r>
      </w:hyperlink>
    </w:p>
    <w:p>
      <w:pPr>
        <w:spacing w:after="0" w:line="120" w:lineRule="exact"/>
        <w:rPr>
          <w:sz w:val="20"/>
          <w:szCs w:val="20"/>
          <w:color w:val="auto"/>
        </w:rPr>
      </w:pPr>
    </w:p>
    <w:p>
      <w:pPr>
        <w:ind w:left="80"/>
        <w:spacing w:after="0"/>
        <w:tabs>
          <w:tab w:leader="none" w:pos="5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w:t>
      </w:r>
      <w:r>
        <w:rPr>
          <w:sz w:val="20"/>
          <w:szCs w:val="20"/>
          <w:color w:val="auto"/>
        </w:rPr>
        <w:tab/>
      </w:r>
      <w:hyperlink r:id="rId72">
        <w:r>
          <w:rPr>
            <w:rFonts w:ascii="Times New Roman" w:cs="Times New Roman" w:eastAsia="Times New Roman" w:hAnsi="Times New Roman"/>
            <w:sz w:val="14"/>
            <w:szCs w:val="14"/>
            <w:u w:val="single" w:color="auto"/>
            <w:color w:val="0000EE"/>
          </w:rPr>
          <w:t>Form of Share Certificate (Incorporated by reference to Exhibit 99(D) to the Registrant's Pre-Effective Amendment No. 5 to the Registration Statement on Form N-2 (File No. 333-</w:t>
        </w:r>
      </w:hyperlink>
    </w:p>
    <w:p>
      <w:pPr>
        <w:spacing w:after="0" w:line="4" w:lineRule="exact"/>
        <w:rPr>
          <w:sz w:val="20"/>
          <w:szCs w:val="20"/>
          <w:color w:val="auto"/>
        </w:rPr>
      </w:pPr>
    </w:p>
    <w:p>
      <w:pPr>
        <w:ind w:left="580"/>
        <w:spacing w:after="0"/>
        <w:rPr>
          <w:rFonts w:ascii="Times New Roman" w:cs="Times New Roman" w:eastAsia="Times New Roman" w:hAnsi="Times New Roman"/>
          <w:sz w:val="14"/>
          <w:szCs w:val="14"/>
          <w:u w:val="single" w:color="auto"/>
          <w:color w:val="0000EE"/>
        </w:rPr>
      </w:pPr>
      <w:hyperlink r:id="rId72">
        <w:r>
          <w:rPr>
            <w:rFonts w:ascii="Times New Roman" w:cs="Times New Roman" w:eastAsia="Times New Roman" w:hAnsi="Times New Roman"/>
            <w:sz w:val="14"/>
            <w:szCs w:val="14"/>
            <w:u w:val="single" w:color="auto"/>
            <w:color w:val="0000EE"/>
          </w:rPr>
          <w:t>170243), filed on April 5, 2011).</w:t>
        </w:r>
      </w:hyperlink>
    </w:p>
    <w:p>
      <w:pPr>
        <w:spacing w:after="0" w:line="201" w:lineRule="exact"/>
        <w:rPr>
          <w:sz w:val="20"/>
          <w:szCs w:val="20"/>
          <w:color w:val="auto"/>
        </w:rPr>
      </w:pPr>
    </w:p>
    <w:p>
      <w:pPr>
        <w:spacing w:after="0"/>
        <w:tabs>
          <w:tab w:leader="none" w:pos="5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31.1*</w:t>
      </w:r>
      <w:r>
        <w:rPr>
          <w:sz w:val="20"/>
          <w:szCs w:val="20"/>
          <w:color w:val="auto"/>
        </w:rPr>
        <w:tab/>
      </w:r>
      <w:hyperlink w:anchor="page51">
        <w:r>
          <w:rPr>
            <w:rFonts w:ascii="Times New Roman" w:cs="Times New Roman" w:eastAsia="Times New Roman" w:hAnsi="Times New Roman"/>
            <w:sz w:val="14"/>
            <w:szCs w:val="14"/>
            <w:u w:val="single" w:color="auto"/>
            <w:color w:val="0000EE"/>
          </w:rPr>
          <w:t>Certification of Chief Executive Officer pursuant to Rule 13a-14 of the Securities Exchange Act of 1934, as amended.</w:t>
        </w:r>
      </w:hyperlink>
    </w:p>
    <w:p>
      <w:pPr>
        <w:spacing w:after="0" w:line="136" w:lineRule="exact"/>
        <w:rPr>
          <w:sz w:val="20"/>
          <w:szCs w:val="20"/>
          <w:color w:val="auto"/>
        </w:rPr>
      </w:pPr>
    </w:p>
    <w:p>
      <w:pPr>
        <w:spacing w:after="0"/>
        <w:tabs>
          <w:tab w:leader="none" w:pos="5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31.2*</w:t>
      </w:r>
      <w:r>
        <w:rPr>
          <w:sz w:val="20"/>
          <w:szCs w:val="20"/>
          <w:color w:val="auto"/>
        </w:rPr>
        <w:tab/>
      </w:r>
      <w:hyperlink w:anchor="page52">
        <w:r>
          <w:rPr>
            <w:rFonts w:ascii="Times New Roman" w:cs="Times New Roman" w:eastAsia="Times New Roman" w:hAnsi="Times New Roman"/>
            <w:sz w:val="14"/>
            <w:szCs w:val="14"/>
            <w:u w:val="single" w:color="auto"/>
            <w:color w:val="0000EE"/>
          </w:rPr>
          <w:t>Certification of Chief Financial Officer pursuant to Rule 13a-14 of the Securities Exchange Act of 1934, as amended.</w:t>
        </w:r>
      </w:hyperlink>
    </w:p>
    <w:p>
      <w:pPr>
        <w:spacing w:after="0" w:line="136" w:lineRule="exact"/>
        <w:rPr>
          <w:sz w:val="20"/>
          <w:szCs w:val="20"/>
          <w:color w:val="auto"/>
        </w:rPr>
      </w:pPr>
    </w:p>
    <w:p>
      <w:pPr>
        <w:spacing w:after="0"/>
        <w:tabs>
          <w:tab w:leader="none" w:pos="5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32.1*</w:t>
      </w:r>
      <w:r>
        <w:rPr>
          <w:sz w:val="20"/>
          <w:szCs w:val="20"/>
          <w:color w:val="auto"/>
        </w:rPr>
        <w:tab/>
      </w:r>
      <w:hyperlink w:anchor="page53">
        <w:r>
          <w:rPr>
            <w:rFonts w:ascii="Times New Roman" w:cs="Times New Roman" w:eastAsia="Times New Roman" w:hAnsi="Times New Roman"/>
            <w:sz w:val="14"/>
            <w:szCs w:val="14"/>
            <w:u w:val="single" w:color="auto"/>
            <w:color w:val="0000EE"/>
          </w:rPr>
          <w:t>Certification of Chief Executive Officer pursuant to section 906 of The Sarbanes-Oxley Act of 2002.</w:t>
        </w:r>
      </w:hyperlink>
    </w:p>
    <w:p>
      <w:pPr>
        <w:spacing w:after="0" w:line="136" w:lineRule="exact"/>
        <w:rPr>
          <w:sz w:val="20"/>
          <w:szCs w:val="20"/>
          <w:color w:val="auto"/>
        </w:rPr>
      </w:pPr>
    </w:p>
    <w:p>
      <w:pPr>
        <w:spacing w:after="0"/>
        <w:tabs>
          <w:tab w:leader="none" w:pos="5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32.2*</w:t>
      </w:r>
      <w:r>
        <w:rPr>
          <w:sz w:val="20"/>
          <w:szCs w:val="20"/>
          <w:color w:val="auto"/>
        </w:rPr>
        <w:tab/>
      </w:r>
      <w:hyperlink w:anchor="page54">
        <w:r>
          <w:rPr>
            <w:rFonts w:ascii="Times New Roman" w:cs="Times New Roman" w:eastAsia="Times New Roman" w:hAnsi="Times New Roman"/>
            <w:sz w:val="14"/>
            <w:szCs w:val="14"/>
            <w:u w:val="single" w:color="auto"/>
            <w:color w:val="0000EE"/>
          </w:rPr>
          <w:t>Certification of Chief Financial Officer pursuant to section 906 of The Sarbanes-Oxley Act of 2002.</w:t>
        </w:r>
      </w:hyperlink>
    </w:p>
    <w:p>
      <w:pPr>
        <w:spacing w:after="0" w:line="136" w:lineRule="exact"/>
        <w:rPr>
          <w:sz w:val="20"/>
          <w:szCs w:val="20"/>
          <w:color w:val="auto"/>
        </w:rPr>
      </w:pPr>
    </w:p>
    <w:p>
      <w:pPr>
        <w:spacing w:after="0"/>
        <w:tabs>
          <w:tab w:leader="none" w:pos="5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99.1</w:t>
      </w:r>
      <w:r>
        <w:rPr>
          <w:sz w:val="20"/>
          <w:szCs w:val="20"/>
          <w:color w:val="auto"/>
        </w:rPr>
        <w:tab/>
      </w:r>
      <w:hyperlink r:id="rId73">
        <w:r>
          <w:rPr>
            <w:rFonts w:ascii="Times New Roman" w:cs="Times New Roman" w:eastAsia="Times New Roman" w:hAnsi="Times New Roman"/>
            <w:sz w:val="14"/>
            <w:szCs w:val="14"/>
            <w:u w:val="single" w:color="auto"/>
            <w:color w:val="0000EE"/>
          </w:rPr>
          <w:t>Privacy Policy of the Registrant (Incorporated by reference to Exhibit 99.1 to the Registrant’s Annual Report on Form 10-K (File No. 814-00891), filed on November 17, 2011)</w:t>
        </w:r>
        <w:r>
          <w:rPr>
            <w:rFonts w:ascii="Times New Roman" w:cs="Times New Roman" w:eastAsia="Times New Roman" w:hAnsi="Times New Roman"/>
            <w:sz w:val="14"/>
            <w:szCs w:val="14"/>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8599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7"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63" w:right="399" w:bottom="1440" w:gutter="0" w:footer="0" w:header="0"/>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73" w:lineRule="exact"/>
        <w:rPr>
          <w:sz w:val="20"/>
          <w:szCs w:val="20"/>
          <w:color w:val="auto"/>
        </w:rPr>
      </w:pPr>
    </w:p>
    <w:p>
      <w:pPr>
        <w:ind w:firstLine="438"/>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1220"/>
          </w:cols>
          <w:pgMar w:left="320" w:top="26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9, 2021</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9,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PENNANTPARK FLOATING RATE CAPITAL LTD.</w:t>
      </w:r>
    </w:p>
    <w:p>
      <w:pPr>
        <w:spacing w:after="0" w:line="2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32575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ind w:left="1480"/>
        <w:spacing w:after="0"/>
        <w:rPr>
          <w:sz w:val="20"/>
          <w:szCs w:val="20"/>
          <w:color w:val="auto"/>
        </w:rPr>
      </w:pPr>
      <w:r>
        <w:rPr>
          <w:rFonts w:ascii="Times New Roman" w:cs="Times New Roman" w:eastAsia="Times New Roman" w:hAnsi="Times New Roman"/>
          <w:sz w:val="14"/>
          <w:szCs w:val="14"/>
          <w:b w:val="1"/>
          <w:bCs w:val="1"/>
          <w:color w:val="auto"/>
        </w:rPr>
        <w:t>Arthur H. Penn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Chief Executive Officer and Chairman of the Board of Directors</w:t>
      </w:r>
    </w:p>
    <w:p>
      <w:pPr>
        <w:spacing w:after="0" w:line="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32575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Aviv Efrat</w:t>
      </w:r>
    </w:p>
    <w:p>
      <w:pPr>
        <w:spacing w:after="0" w:line="1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spacing w:after="0" w:line="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3">
            <w:col w:w="5060" w:space="720"/>
            <w:col w:w="220" w:space="700"/>
            <w:col w:w="4520"/>
          </w:cols>
          <w:pgMar w:left="320" w:top="263" w:right="359" w:bottom="1440" w:gutter="0" w:footer="0" w:header="0"/>
          <w:type w:val="continuous"/>
        </w:sect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50</w:t>
      </w:r>
    </w:p>
    <w:p>
      <w:pPr>
        <w:sectPr>
          <w:pgSz w:w="11900" w:h="16838" w:orient="portrait"/>
          <w:cols w:equalWidth="0" w:num="1">
            <w:col w:w="11220"/>
          </w:cols>
          <w:pgMar w:left="320" w:top="263" w:right="359" w:bottom="1440" w:gutter="0" w:footer="0" w:header="0"/>
          <w:type w:val="continuous"/>
        </w:sectPr>
      </w:pPr>
    </w:p>
    <w:bookmarkStart w:id="50" w:name="page51"/>
    <w:bookmarkEnd w:id="50"/>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ind w:left="4040"/>
        <w:spacing w:after="0" w:line="231" w:lineRule="auto"/>
        <w:rPr>
          <w:sz w:val="20"/>
          <w:szCs w:val="20"/>
          <w:color w:val="auto"/>
        </w:rPr>
      </w:pPr>
      <w:r>
        <w:rPr>
          <w:rFonts w:ascii="Times New Roman" w:cs="Times New Roman" w:eastAsia="Times New Roman" w:hAnsi="Times New Roman"/>
          <w:sz w:val="14"/>
          <w:szCs w:val="14"/>
          <w:b w:val="1"/>
          <w:bCs w:val="1"/>
          <w:color w:val="auto"/>
        </w:rPr>
        <w:t>CERTIFICATION PURSUANT TO SECTION 302</w:t>
      </w:r>
    </w:p>
    <w:p>
      <w:pPr>
        <w:ind w:left="4020"/>
        <w:spacing w:after="0"/>
        <w:rPr>
          <w:sz w:val="20"/>
          <w:szCs w:val="20"/>
          <w:color w:val="auto"/>
        </w:rPr>
      </w:pPr>
      <w:r>
        <w:rPr>
          <w:rFonts w:ascii="Times New Roman" w:cs="Times New Roman" w:eastAsia="Times New Roman" w:hAnsi="Times New Roman"/>
          <w:sz w:val="14"/>
          <w:szCs w:val="14"/>
          <w:b w:val="1"/>
          <w:bCs w:val="1"/>
          <w:color w:val="auto"/>
        </w:rPr>
        <w:t>CHIEF EXECUTIVE OFFICER CERTIFICATION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Arthur H. Penn, Chief Executive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10-Q of PennantPark Floating Rate Capital Ltd.;</w:t>
      </w:r>
    </w:p>
    <w:p>
      <w:pPr>
        <w:spacing w:after="0" w:line="149" w:lineRule="exact"/>
        <w:rPr>
          <w:rFonts w:ascii="Times New Roman" w:cs="Times New Roman" w:eastAsia="Times New Roman" w:hAnsi="Times New Roman"/>
          <w:sz w:val="14"/>
          <w:szCs w:val="14"/>
          <w:color w:val="auto"/>
        </w:rPr>
      </w:pPr>
    </w:p>
    <w:p>
      <w:pPr>
        <w:ind w:right="20" w:firstLine="757"/>
        <w:spacing w:after="0" w:line="261" w:lineRule="auto"/>
        <w:tabs>
          <w:tab w:leader="none" w:pos="895"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4"/>
          <w:szCs w:val="14"/>
          <w:color w:val="auto"/>
        </w:rPr>
      </w:pPr>
    </w:p>
    <w:p>
      <w:pPr>
        <w:ind w:firstLine="757"/>
        <w:spacing w:after="0" w:line="261" w:lineRule="auto"/>
        <w:tabs>
          <w:tab w:leader="none" w:pos="899"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4"/>
          <w:szCs w:val="14"/>
          <w:color w:val="auto"/>
        </w:rPr>
      </w:pPr>
    </w:p>
    <w:p>
      <w:pPr>
        <w:ind w:left="900" w:hanging="143"/>
        <w:spacing w:after="0"/>
        <w:tabs>
          <w:tab w:leader="none" w:pos="9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w:t>
      </w:r>
    </w:p>
    <w:p>
      <w:pPr>
        <w:spacing w:after="0" w:line="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jc w:val="both"/>
        <w:ind w:firstLine="1405"/>
        <w:spacing w:after="0" w:line="241" w:lineRule="auto"/>
        <w:tabs>
          <w:tab w:leader="none" w:pos="156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2" w:lineRule="exact"/>
        <w:rPr>
          <w:rFonts w:ascii="Times New Roman" w:cs="Times New Roman" w:eastAsia="Times New Roman" w:hAnsi="Times New Roman"/>
          <w:sz w:val="14"/>
          <w:szCs w:val="14"/>
          <w:color w:val="auto"/>
        </w:rPr>
      </w:pPr>
    </w:p>
    <w:p>
      <w:pPr>
        <w:jc w:val="both"/>
        <w:ind w:firstLine="1405"/>
        <w:spacing w:after="0" w:line="242" w:lineRule="auto"/>
        <w:tabs>
          <w:tab w:leader="none" w:pos="1573"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82" w:lineRule="exact"/>
        <w:rPr>
          <w:rFonts w:ascii="Times New Roman" w:cs="Times New Roman" w:eastAsia="Times New Roman" w:hAnsi="Times New Roman"/>
          <w:sz w:val="14"/>
          <w:szCs w:val="14"/>
          <w:color w:val="auto"/>
        </w:rPr>
      </w:pPr>
    </w:p>
    <w:p>
      <w:pPr>
        <w:ind w:firstLine="1405"/>
        <w:spacing w:after="0" w:line="261" w:lineRule="auto"/>
        <w:tabs>
          <w:tab w:leader="none" w:pos="1549"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4"/>
          <w:szCs w:val="14"/>
          <w:color w:val="auto"/>
        </w:rPr>
      </w:pPr>
    </w:p>
    <w:p>
      <w:pPr>
        <w:jc w:val="both"/>
        <w:ind w:firstLine="1405"/>
        <w:spacing w:after="0" w:line="261" w:lineRule="auto"/>
        <w:tabs>
          <w:tab w:leader="none" w:pos="157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4"/>
          <w:szCs w:val="14"/>
          <w:color w:val="auto"/>
        </w:rPr>
      </w:pPr>
    </w:p>
    <w:p>
      <w:pPr>
        <w:ind w:firstLine="757"/>
        <w:spacing w:after="0" w:line="261" w:lineRule="auto"/>
        <w:tabs>
          <w:tab w:leader="none" w:pos="90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Times New Roman" w:cs="Times New Roman" w:eastAsia="Times New Roman" w:hAnsi="Times New Roman"/>
          <w:sz w:val="14"/>
          <w:szCs w:val="14"/>
          <w:color w:val="auto"/>
        </w:rPr>
      </w:pPr>
    </w:p>
    <w:p>
      <w:pPr>
        <w:ind w:right="20" w:firstLine="1405"/>
        <w:spacing w:after="0" w:line="261" w:lineRule="auto"/>
        <w:tabs>
          <w:tab w:leader="none" w:pos="1559"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4"/>
          <w:szCs w:val="14"/>
          <w:color w:val="auto"/>
        </w:rPr>
      </w:pPr>
    </w:p>
    <w:p>
      <w:pPr>
        <w:ind w:left="1580" w:hanging="175"/>
        <w:spacing w:after="0"/>
        <w:tabs>
          <w:tab w:leader="none" w:pos="15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w:t>
      </w:r>
    </w:p>
    <w:p>
      <w:pPr>
        <w:spacing w:after="0" w:line="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February 9, 2021</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688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ectPr>
          <w:pgSz w:w="11900" w:h="16838" w:orient="portrait"/>
          <w:cols w:equalWidth="0" w:num="1">
            <w:col w:w="11240"/>
          </w:cols>
          <w:pgMar w:left="320" w:top="11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ind w:left="4040"/>
        <w:spacing w:after="0" w:line="231" w:lineRule="auto"/>
        <w:rPr>
          <w:sz w:val="20"/>
          <w:szCs w:val="20"/>
          <w:color w:val="auto"/>
        </w:rPr>
      </w:pPr>
      <w:r>
        <w:rPr>
          <w:rFonts w:ascii="Times New Roman" w:cs="Times New Roman" w:eastAsia="Times New Roman" w:hAnsi="Times New Roman"/>
          <w:sz w:val="14"/>
          <w:szCs w:val="14"/>
          <w:b w:val="1"/>
          <w:bCs w:val="1"/>
          <w:color w:val="auto"/>
        </w:rPr>
        <w:t>CERTIFICATION PURSUANT TO SECTION 302</w:t>
      </w:r>
    </w:p>
    <w:p>
      <w:pPr>
        <w:ind w:left="4040"/>
        <w:spacing w:after="0"/>
        <w:rPr>
          <w:sz w:val="20"/>
          <w:szCs w:val="20"/>
          <w:color w:val="auto"/>
        </w:rPr>
      </w:pPr>
      <w:r>
        <w:rPr>
          <w:rFonts w:ascii="Times New Roman" w:cs="Times New Roman" w:eastAsia="Times New Roman" w:hAnsi="Times New Roman"/>
          <w:sz w:val="14"/>
          <w:szCs w:val="14"/>
          <w:b w:val="1"/>
          <w:bCs w:val="1"/>
          <w:color w:val="auto"/>
        </w:rPr>
        <w:t>CHIEF FINANCIAL OFFICER CERTIFICATION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Aviv Efrat, Chief Financial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10-Q of PennantPark Floating Rate Capital Ltd.;</w:t>
      </w:r>
    </w:p>
    <w:p>
      <w:pPr>
        <w:spacing w:after="0" w:line="149" w:lineRule="exact"/>
        <w:rPr>
          <w:rFonts w:ascii="Times New Roman" w:cs="Times New Roman" w:eastAsia="Times New Roman" w:hAnsi="Times New Roman"/>
          <w:sz w:val="14"/>
          <w:szCs w:val="14"/>
          <w:color w:val="auto"/>
        </w:rPr>
      </w:pPr>
    </w:p>
    <w:p>
      <w:pPr>
        <w:ind w:right="20" w:firstLine="757"/>
        <w:spacing w:after="0" w:line="261" w:lineRule="auto"/>
        <w:tabs>
          <w:tab w:leader="none" w:pos="895"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4"/>
          <w:szCs w:val="14"/>
          <w:color w:val="auto"/>
        </w:rPr>
      </w:pPr>
    </w:p>
    <w:p>
      <w:pPr>
        <w:ind w:firstLine="757"/>
        <w:spacing w:after="0" w:line="261" w:lineRule="auto"/>
        <w:tabs>
          <w:tab w:leader="none" w:pos="89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4"/>
          <w:szCs w:val="14"/>
          <w:color w:val="auto"/>
        </w:rPr>
      </w:pPr>
    </w:p>
    <w:p>
      <w:pPr>
        <w:ind w:left="900" w:hanging="143"/>
        <w:spacing w:after="0"/>
        <w:tabs>
          <w:tab w:leader="none" w:pos="9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w:t>
      </w:r>
    </w:p>
    <w:p>
      <w:pPr>
        <w:spacing w:after="0" w:line="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jc w:val="both"/>
        <w:ind w:firstLine="1405"/>
        <w:spacing w:after="0" w:line="241" w:lineRule="auto"/>
        <w:tabs>
          <w:tab w:leader="none" w:pos="156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2" w:lineRule="exact"/>
        <w:rPr>
          <w:rFonts w:ascii="Times New Roman" w:cs="Times New Roman" w:eastAsia="Times New Roman" w:hAnsi="Times New Roman"/>
          <w:sz w:val="14"/>
          <w:szCs w:val="14"/>
          <w:color w:val="auto"/>
        </w:rPr>
      </w:pPr>
    </w:p>
    <w:p>
      <w:pPr>
        <w:jc w:val="both"/>
        <w:ind w:firstLine="1405"/>
        <w:spacing w:after="0" w:line="242" w:lineRule="auto"/>
        <w:tabs>
          <w:tab w:leader="none" w:pos="1573"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82" w:lineRule="exact"/>
        <w:rPr>
          <w:rFonts w:ascii="Times New Roman" w:cs="Times New Roman" w:eastAsia="Times New Roman" w:hAnsi="Times New Roman"/>
          <w:sz w:val="14"/>
          <w:szCs w:val="14"/>
          <w:color w:val="auto"/>
        </w:rPr>
      </w:pPr>
    </w:p>
    <w:p>
      <w:pPr>
        <w:ind w:firstLine="1405"/>
        <w:spacing w:after="0" w:line="261" w:lineRule="auto"/>
        <w:tabs>
          <w:tab w:leader="none" w:pos="1549"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4"/>
          <w:szCs w:val="14"/>
          <w:color w:val="auto"/>
        </w:rPr>
      </w:pPr>
    </w:p>
    <w:p>
      <w:pPr>
        <w:jc w:val="both"/>
        <w:ind w:firstLine="1405"/>
        <w:spacing w:after="0" w:line="261" w:lineRule="auto"/>
        <w:tabs>
          <w:tab w:leader="none" w:pos="157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4"/>
          <w:szCs w:val="14"/>
          <w:color w:val="auto"/>
        </w:rPr>
      </w:pPr>
    </w:p>
    <w:p>
      <w:pPr>
        <w:ind w:firstLine="757"/>
        <w:spacing w:after="0" w:line="261" w:lineRule="auto"/>
        <w:tabs>
          <w:tab w:leader="none" w:pos="90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Times New Roman" w:cs="Times New Roman" w:eastAsia="Times New Roman" w:hAnsi="Times New Roman"/>
          <w:sz w:val="14"/>
          <w:szCs w:val="14"/>
          <w:color w:val="auto"/>
        </w:rPr>
      </w:pPr>
    </w:p>
    <w:p>
      <w:pPr>
        <w:ind w:right="20" w:firstLine="1405"/>
        <w:spacing w:after="0" w:line="261" w:lineRule="auto"/>
        <w:tabs>
          <w:tab w:leader="none" w:pos="1559"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4"/>
          <w:szCs w:val="14"/>
          <w:color w:val="auto"/>
        </w:rPr>
      </w:pPr>
    </w:p>
    <w:p>
      <w:pPr>
        <w:ind w:left="1580" w:hanging="175"/>
        <w:spacing w:after="0"/>
        <w:tabs>
          <w:tab w:leader="none" w:pos="158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w:t>
      </w:r>
    </w:p>
    <w:p>
      <w:pPr>
        <w:spacing w:after="0" w:line="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February 9, 2021</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688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ectPr>
          <w:pgSz w:w="11900" w:h="16838" w:orient="portrait"/>
          <w:cols w:equalWidth="0" w:num="1">
            <w:col w:w="11240"/>
          </w:cols>
          <w:pgMar w:left="320" w:top="11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 (18 U.S.C. 1350)</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In connection with this Report on Form 10-Q for the three months ended December 31, 2020, or the Report, of PennantPark Floating Rate Capital Ltd., or the Registrant, as filed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and Exchange Commission on the date hereof, I, Arthur H. Penn, Chief Executive Officer of the Registrant, hereby certify, to the best of my knowledge, that:</w:t>
      </w:r>
    </w:p>
    <w:p>
      <w:pPr>
        <w:spacing w:after="0" w:line="53" w:lineRule="exact"/>
        <w:rPr>
          <w:sz w:val="20"/>
          <w:szCs w:val="20"/>
          <w:color w:val="auto"/>
        </w:rPr>
      </w:pPr>
    </w:p>
    <w:p>
      <w:pPr>
        <w:ind w:left="760" w:hanging="374"/>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09" w:lineRule="exact"/>
        <w:rPr>
          <w:rFonts w:ascii="Times New Roman" w:cs="Times New Roman" w:eastAsia="Times New Roman" w:hAnsi="Times New Roman"/>
          <w:sz w:val="14"/>
          <w:szCs w:val="14"/>
          <w:color w:val="auto"/>
        </w:rPr>
      </w:pPr>
    </w:p>
    <w:p>
      <w:pPr>
        <w:ind w:left="760" w:hanging="374"/>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688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Date:</w:t>
        <w:tab/>
        <w:t>February 9, 2021</w:t>
      </w:r>
    </w:p>
    <w:p>
      <w:pPr>
        <w:sectPr>
          <w:pgSz w:w="11900" w:h="16838" w:orient="portrait"/>
          <w:cols w:equalWidth="0" w:num="1">
            <w:col w:w="11240"/>
          </w:cols>
          <w:pgMar w:left="320" w:top="114"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 (18 U.S.C. 1350)</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In connection with this Report on Form 10-Q for the three months ended December 31, 2020, or the Report, of PennantPark Floating Rate Capital Ltd., or the Registrant, as filed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and Exchange Commission on the date hereof, I, Aviv Efrat, Chief Financial Officer of the Registrant, hereby certify, to the best of my knowledge, that:</w:t>
      </w:r>
    </w:p>
    <w:p>
      <w:pPr>
        <w:spacing w:after="0" w:line="53" w:lineRule="exact"/>
        <w:rPr>
          <w:sz w:val="20"/>
          <w:szCs w:val="20"/>
          <w:color w:val="auto"/>
        </w:rPr>
      </w:pPr>
    </w:p>
    <w:p>
      <w:pPr>
        <w:ind w:left="760" w:hanging="374"/>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09" w:lineRule="exact"/>
        <w:rPr>
          <w:rFonts w:ascii="Times New Roman" w:cs="Times New Roman" w:eastAsia="Times New Roman" w:hAnsi="Times New Roman"/>
          <w:sz w:val="14"/>
          <w:szCs w:val="14"/>
          <w:color w:val="auto"/>
        </w:rPr>
      </w:pPr>
    </w:p>
    <w:p>
      <w:pPr>
        <w:ind w:left="760" w:hanging="374"/>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688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Date:</w:t>
        <w:tab/>
        <w:t>February 9, 2021</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lowerLetter"/>
      <w:start w:val="5"/>
    </w:lvl>
    <w:lvl w:ilvl="1">
      <w:lvlJc w:val="left"/>
      <w:lvlText w:val="%2."/>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3"/>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70" Type="http://schemas.openxmlformats.org/officeDocument/2006/relationships/hyperlink" Target="http://www.sec.gov/Archives/edgar/data/1504619/000119312511080862/dex99a.htm" TargetMode="External"/><Relationship Id="rId71" Type="http://schemas.openxmlformats.org/officeDocument/2006/relationships/hyperlink" Target="http://www.sec.gov/Archives/edgar/data/1504619/000119312515393212/d59576dex31.htm" TargetMode="External"/><Relationship Id="rId72" Type="http://schemas.openxmlformats.org/officeDocument/2006/relationships/hyperlink" Target="http://www.sec.gov/Archives/edgar/data/1504619/000119312511088977/dex99d.htm" TargetMode="External"/><Relationship Id="rId73" Type="http://schemas.openxmlformats.org/officeDocument/2006/relationships/hyperlink" Target="http://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2021-02-09T15:09:28Z</dcterms:created>
  <dcterms:modified xsi:type="dcterms:W3CDTF">2021-02-09T15:09:28Z</dcterms:modified>
</cp:coreProperties>
</file>