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36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157480</wp:posOffset>
            </wp:positionV>
            <wp:extent cx="1209040" cy="4457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040" cy="445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4359910</wp:posOffset>
            </wp:positionH>
            <wp:positionV relativeFrom="page">
              <wp:posOffset>157480</wp:posOffset>
            </wp:positionV>
            <wp:extent cx="1878330" cy="14147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8330" cy="1414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December 15, 2016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VIA EDGAR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United States Securities and Exchange Commission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Division of Investment Management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DC 20549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Attn: Ashley Vroman-Lee</w:t>
      </w:r>
    </w:p>
    <w:p>
      <w:pPr>
        <w:sectPr>
          <w:pgSz w:w="11900" w:h="16838" w:orient="portrait"/>
          <w:cols w:equalWidth="0" w:num="1">
            <w:col w:w="10840"/>
          </w:cols>
          <w:pgMar w:left="240" w:top="1440" w:right="819" w:bottom="1440" w:gutter="0" w:footer="0" w:header="0"/>
        </w:sectPr>
      </w:pP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jc w:val="center"/>
        <w:ind w:left="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PennantPark Floating Rate Capital Ltd.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Registration Statement on Form N-2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00" w:space="420"/>
            <w:col w:w="9720"/>
          </w:cols>
          <w:pgMar w:left="240" w:top="1440" w:right="819" w:bottom="1440" w:gutter="0" w:footer="0" w:header="0"/>
          <w:type w:val="continuous"/>
        </w:sectPr>
      </w:pP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Ladies and Gentlemen: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PennantPark Floating Rate Capital Ltd., a Maryland corporation (the “Company”), has today filed with the Securities and Exchange Commission a Registration Statement on Form N-2, which registers an aggregate $500 million of securities that may be offered by the Company from time to time in reliance on Rule 415 under the Securities Act of 1933, as amended.</w:t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jc w:val="both"/>
        <w:ind w:right="160"/>
        <w:spacing w:after="0" w:line="3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If you have any questions, please feel free to contact Thomas J. Friedmann at 617.728.7120 (or by email at thomas.friedmann@dechert.com) or the undersigned by telephone at 202.261.3352 (or by email at william.tuttle@dechert.com). Thank you for your cooperation and attention to this matter.</w:t>
      </w: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Sincerely,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/s/ William J. Tuttle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William J. Tuttle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680" w:right="6120" w:hanging="672"/>
        <w:spacing w:after="0" w:line="264" w:lineRule="auto"/>
        <w:tabs>
          <w:tab w:leader="none" w:pos="68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Arthur H. Penn, PennantPark Floating Rate Capital Ltd. Aviv Efrat, PennantPark Floating Rate Capital Ltd. Thomas J. Friedmann, Dechert LLP</w:t>
      </w:r>
    </w:p>
    <w:sectPr>
      <w:pgSz w:w="11900" w:h="16838" w:orient="portrait"/>
      <w:cols w:equalWidth="0" w:num="1">
        <w:col w:w="10840"/>
      </w:cols>
      <w:pgMar w:left="240" w:top="1440" w:right="81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2019-12-08T20:51:07Z</dcterms:created>
  <dcterms:modified xsi:type="dcterms:W3CDTF">2019-12-08T20:51:07Z</dcterms:modified>
</cp:coreProperties>
</file>