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February 6, 2018</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38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7"/>
              </w:rPr>
              <w:t>Maryland</w:t>
            </w:r>
          </w:p>
        </w:tc>
        <w:tc>
          <w:tcPr>
            <w:tcW w:w="2860" w:type="dxa"/>
            <w:vAlign w:val="bottom"/>
          </w:tcPr>
          <w:p>
            <w:pPr>
              <w:jc w:val="right"/>
              <w:ind w:right="1268"/>
              <w:spacing w:after="0"/>
              <w:rPr>
                <w:sz w:val="20"/>
                <w:szCs w:val="20"/>
                <w:color w:val="auto"/>
              </w:rPr>
            </w:pPr>
            <w:r>
              <w:rPr>
                <w:rFonts w:ascii="Arial" w:cs="Arial" w:eastAsia="Arial" w:hAnsi="Arial"/>
                <w:sz w:val="14"/>
                <w:szCs w:val="14"/>
                <w:b w:val="1"/>
                <w:bCs w:val="1"/>
                <w:color w:val="auto"/>
              </w:rPr>
              <w:t>814-00891</w:t>
            </w:r>
          </w:p>
        </w:tc>
        <w:tc>
          <w:tcPr>
            <w:tcW w:w="3140" w:type="dxa"/>
            <w:vAlign w:val="bottom"/>
          </w:tcPr>
          <w:p>
            <w:pPr>
              <w:jc w:val="right"/>
              <w:ind w:right="628"/>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86"/>
        </w:trPr>
        <w:tc>
          <w:tcPr>
            <w:tcW w:w="38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2860" w:type="dxa"/>
            <w:vAlign w:val="bottom"/>
          </w:tcPr>
          <w:p>
            <w:pPr>
              <w:jc w:val="center"/>
              <w:ind w:right="368"/>
              <w:spacing w:after="0"/>
              <w:rPr>
                <w:sz w:val="20"/>
                <w:szCs w:val="20"/>
                <w:color w:val="auto"/>
              </w:rPr>
            </w:pPr>
            <w:r>
              <w:rPr>
                <w:rFonts w:ascii="Arial" w:cs="Arial" w:eastAsia="Arial" w:hAnsi="Arial"/>
                <w:sz w:val="14"/>
                <w:szCs w:val="14"/>
                <w:b w:val="1"/>
                <w:bCs w:val="1"/>
                <w:color w:val="auto"/>
                <w:w w:val="93"/>
              </w:rPr>
              <w:t>(Commission File Number)</w:t>
            </w:r>
          </w:p>
        </w:tc>
        <w:tc>
          <w:tcPr>
            <w:tcW w:w="3140" w:type="dxa"/>
            <w:vAlign w:val="bottom"/>
          </w:tcPr>
          <w:p>
            <w:pPr>
              <w:jc w:val="center"/>
              <w:ind w:left="968"/>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583"/>
        </w:trPr>
        <w:tc>
          <w:tcPr>
            <w:tcW w:w="3880" w:type="dxa"/>
            <w:vAlign w:val="bottom"/>
          </w:tcPr>
          <w:p>
            <w:pPr>
              <w:jc w:val="center"/>
              <w:ind w:left="648"/>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860" w:type="dxa"/>
            <w:vAlign w:val="bottom"/>
          </w:tcPr>
          <w:p>
            <w:pPr>
              <w:spacing w:after="0"/>
              <w:rPr>
                <w:sz w:val="24"/>
                <w:szCs w:val="24"/>
                <w:color w:val="auto"/>
              </w:rPr>
            </w:pPr>
          </w:p>
        </w:tc>
        <w:tc>
          <w:tcPr>
            <w:tcW w:w="3140" w:type="dxa"/>
            <w:vAlign w:val="bottom"/>
            <w:vMerge w:val="restart"/>
          </w:tcPr>
          <w:p>
            <w:pPr>
              <w:jc w:val="right"/>
              <w:ind w:right="1728"/>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48"/>
        </w:trPr>
        <w:tc>
          <w:tcPr>
            <w:tcW w:w="388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6"/>
              </w:rPr>
              <w:t>New York, NY</w:t>
            </w:r>
          </w:p>
        </w:tc>
        <w:tc>
          <w:tcPr>
            <w:tcW w:w="286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80" w:type="dxa"/>
            <w:vAlign w:val="bottom"/>
          </w:tcPr>
          <w:p>
            <w:pPr>
              <w:jc w:val="center"/>
              <w:ind w:left="6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60" w:type="dxa"/>
            <w:vAlign w:val="bottom"/>
          </w:tcPr>
          <w:p>
            <w:pPr>
              <w:spacing w:after="0"/>
              <w:rPr>
                <w:sz w:val="16"/>
                <w:szCs w:val="16"/>
                <w:color w:val="auto"/>
              </w:rPr>
            </w:pPr>
          </w:p>
        </w:tc>
        <w:tc>
          <w:tcPr>
            <w:tcW w:w="314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212-905-1000</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7"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751" w:right="6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ind w:right="120" w:firstLine="510"/>
        <w:spacing w:after="0" w:line="264" w:lineRule="auto"/>
        <w:rPr>
          <w:sz w:val="20"/>
          <w:szCs w:val="20"/>
          <w:color w:val="auto"/>
        </w:rPr>
      </w:pPr>
      <w:r>
        <w:rPr>
          <w:rFonts w:ascii="Arial" w:cs="Arial" w:eastAsia="Arial" w:hAnsi="Arial"/>
          <w:sz w:val="13"/>
          <w:szCs w:val="13"/>
          <w:color w:val="auto"/>
        </w:rPr>
        <w:t>On February 6, 2018,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December 8, 2017. As of November 17, 2017, the record date, 38,480,074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two Class I directors of the Company, who will each serve until the 2021 Annual Meeting and until his successor is duly elected and qualifies.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6, 2018,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auto"/>
              </w:rPr>
              <w:t>Name</w:t>
            </w:r>
          </w:p>
        </w:tc>
        <w:tc>
          <w:tcPr>
            <w:tcW w:w="2840" w:type="dxa"/>
            <w:vAlign w:val="bottom"/>
            <w:gridSpan w:val="2"/>
          </w:tcPr>
          <w:p>
            <w:pPr>
              <w:jc w:val="right"/>
              <w:ind w:right="1640"/>
              <w:spacing w:after="0"/>
              <w:rPr>
                <w:sz w:val="20"/>
                <w:szCs w:val="20"/>
                <w:color w:val="auto"/>
              </w:rPr>
            </w:pPr>
            <w:r>
              <w:rPr>
                <w:rFonts w:ascii="Arial" w:cs="Arial" w:eastAsia="Arial" w:hAnsi="Arial"/>
                <w:sz w:val="14"/>
                <w:szCs w:val="14"/>
                <w:color w:val="auto"/>
              </w:rPr>
              <w:t>For</w:t>
            </w:r>
          </w:p>
        </w:tc>
        <w:tc>
          <w:tcPr>
            <w:tcW w:w="2860" w:type="dxa"/>
            <w:vAlign w:val="bottom"/>
            <w:gridSpan w:val="2"/>
          </w:tcPr>
          <w:p>
            <w:pPr>
              <w:jc w:val="right"/>
              <w:ind w:right="1500"/>
              <w:spacing w:after="0"/>
              <w:rPr>
                <w:sz w:val="20"/>
                <w:szCs w:val="20"/>
                <w:color w:val="auto"/>
              </w:rPr>
            </w:pPr>
            <w:r>
              <w:rPr>
                <w:rFonts w:ascii="Arial" w:cs="Arial" w:eastAsia="Arial" w:hAnsi="Arial"/>
                <w:sz w:val="14"/>
                <w:szCs w:val="14"/>
                <w:color w:val="auto"/>
              </w:rPr>
              <w:t>Withheld</w:t>
            </w:r>
          </w:p>
        </w:tc>
        <w:tc>
          <w:tcPr>
            <w:tcW w:w="2340" w:type="dxa"/>
            <w:vAlign w:val="bottom"/>
            <w:gridSpan w:val="2"/>
          </w:tcPr>
          <w:p>
            <w:pPr>
              <w:ind w:left="560"/>
              <w:spacing w:after="0"/>
              <w:rPr>
                <w:sz w:val="20"/>
                <w:szCs w:val="20"/>
                <w:color w:val="auto"/>
              </w:rPr>
            </w:pPr>
            <w:r>
              <w:rPr>
                <w:rFonts w:ascii="Arial" w:cs="Arial" w:eastAsia="Arial" w:hAnsi="Arial"/>
                <w:sz w:val="14"/>
                <w:szCs w:val="14"/>
                <w:color w:val="auto"/>
              </w:rPr>
              <w:t>Broker Non Votes</w:t>
            </w:r>
          </w:p>
        </w:tc>
      </w:tr>
      <w:tr>
        <w:trPr>
          <w:trHeight w:val="156"/>
        </w:trPr>
        <w:tc>
          <w:tcPr>
            <w:tcW w:w="2700" w:type="dxa"/>
            <w:vAlign w:val="bottom"/>
            <w:tcBorders>
              <w:top w:val="single" w:sz="8" w:color="auto"/>
            </w:tcBorders>
            <w:shd w:val="clear" w:color="auto" w:fill="BDD7EE"/>
          </w:tcPr>
          <w:p>
            <w:pPr>
              <w:spacing w:after="0" w:line="155" w:lineRule="exact"/>
              <w:rPr>
                <w:sz w:val="20"/>
                <w:szCs w:val="20"/>
                <w:color w:val="auto"/>
              </w:rPr>
            </w:pPr>
            <w:r>
              <w:rPr>
                <w:rFonts w:ascii="Arial" w:cs="Arial" w:eastAsia="Arial" w:hAnsi="Arial"/>
                <w:sz w:val="14"/>
                <w:szCs w:val="14"/>
                <w:color w:val="auto"/>
              </w:rPr>
              <w:t>Marshall Brozost</w:t>
            </w:r>
          </w:p>
        </w:tc>
        <w:tc>
          <w:tcPr>
            <w:tcW w:w="50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12,552,577</w:t>
            </w:r>
          </w:p>
        </w:tc>
        <w:tc>
          <w:tcPr>
            <w:tcW w:w="64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1,307,873</w:t>
            </w:r>
          </w:p>
        </w:tc>
        <w:tc>
          <w:tcPr>
            <w:tcW w:w="64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19,013,693</w:t>
            </w:r>
          </w:p>
        </w:tc>
        <w:tc>
          <w:tcPr>
            <w:tcW w:w="120" w:type="dxa"/>
            <w:vAlign w:val="bottom"/>
            <w:tcBorders>
              <w:top w:val="single" w:sz="8" w:color="BDD7EE"/>
            </w:tcBorders>
            <w:shd w:val="clear" w:color="auto" w:fill="BDD7EE"/>
          </w:tcPr>
          <w:p>
            <w:pPr>
              <w:spacing w:after="0"/>
              <w:rPr>
                <w:sz w:val="13"/>
                <w:szCs w:val="13"/>
                <w:color w:val="auto"/>
              </w:rPr>
            </w:pPr>
          </w:p>
        </w:tc>
      </w:tr>
      <w:tr>
        <w:trPr>
          <w:trHeight w:val="162"/>
        </w:trPr>
        <w:tc>
          <w:tcPr>
            <w:tcW w:w="320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2840" w:type="dxa"/>
            <w:vAlign w:val="bottom"/>
            <w:gridSpan w:val="2"/>
          </w:tcPr>
          <w:p>
            <w:pPr>
              <w:jc w:val="right"/>
              <w:ind w:right="520"/>
              <w:spacing w:after="0"/>
              <w:rPr>
                <w:sz w:val="20"/>
                <w:szCs w:val="20"/>
                <w:color w:val="auto"/>
              </w:rPr>
            </w:pPr>
            <w:r>
              <w:rPr>
                <w:rFonts w:ascii="Arial" w:cs="Arial" w:eastAsia="Arial" w:hAnsi="Arial"/>
                <w:sz w:val="14"/>
                <w:szCs w:val="14"/>
                <w:color w:val="auto"/>
              </w:rPr>
              <w:t>90.56%</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9.44%</w:t>
            </w: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r>
      <w:tr>
        <w:trPr>
          <w:trHeight w:val="162"/>
        </w:trPr>
        <w:tc>
          <w:tcPr>
            <w:tcW w:w="3200" w:type="dxa"/>
            <w:vAlign w:val="bottom"/>
            <w:gridSpan w:val="2"/>
            <w:shd w:val="clear" w:color="auto" w:fill="BDD7EE"/>
          </w:tcPr>
          <w:p>
            <w:pPr>
              <w:spacing w:after="0"/>
              <w:rPr>
                <w:sz w:val="20"/>
                <w:szCs w:val="20"/>
                <w:color w:val="auto"/>
              </w:rPr>
            </w:pPr>
            <w:r>
              <w:rPr>
                <w:rFonts w:ascii="Arial" w:cs="Arial" w:eastAsia="Arial" w:hAnsi="Arial"/>
                <w:sz w:val="14"/>
                <w:szCs w:val="14"/>
                <w:color w:val="auto"/>
              </w:rPr>
              <w:t>Samuel L. Katz</w:t>
            </w:r>
          </w:p>
        </w:tc>
        <w:tc>
          <w:tcPr>
            <w:tcW w:w="220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13,402,531</w:t>
            </w:r>
          </w:p>
        </w:tc>
        <w:tc>
          <w:tcPr>
            <w:tcW w:w="640" w:type="dxa"/>
            <w:vAlign w:val="bottom"/>
            <w:shd w:val="clear" w:color="auto" w:fill="BDD7EE"/>
          </w:tcPr>
          <w:p>
            <w:pPr>
              <w:spacing w:after="0"/>
              <w:rPr>
                <w:sz w:val="14"/>
                <w:szCs w:val="14"/>
                <w:color w:val="auto"/>
              </w:rPr>
            </w:pPr>
          </w:p>
        </w:tc>
        <w:tc>
          <w:tcPr>
            <w:tcW w:w="22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457,919</w:t>
            </w:r>
          </w:p>
        </w:tc>
        <w:tc>
          <w:tcPr>
            <w:tcW w:w="640" w:type="dxa"/>
            <w:vAlign w:val="bottom"/>
            <w:shd w:val="clear" w:color="auto" w:fill="BDD7EE"/>
          </w:tcPr>
          <w:p>
            <w:pPr>
              <w:spacing w:after="0"/>
              <w:rPr>
                <w:sz w:val="14"/>
                <w:szCs w:val="14"/>
                <w:color w:val="auto"/>
              </w:rPr>
            </w:pPr>
          </w:p>
        </w:tc>
        <w:tc>
          <w:tcPr>
            <w:tcW w:w="22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19,013,693</w:t>
            </w:r>
          </w:p>
        </w:tc>
        <w:tc>
          <w:tcPr>
            <w:tcW w:w="120" w:type="dxa"/>
            <w:vAlign w:val="bottom"/>
            <w:shd w:val="clear" w:color="auto" w:fill="BDD7EE"/>
          </w:tcPr>
          <w:p>
            <w:pPr>
              <w:spacing w:after="0"/>
              <w:rPr>
                <w:sz w:val="14"/>
                <w:szCs w:val="14"/>
                <w:color w:val="auto"/>
              </w:rPr>
            </w:pPr>
          </w:p>
        </w:tc>
      </w:tr>
      <w:tr>
        <w:trPr>
          <w:trHeight w:val="182"/>
        </w:trPr>
        <w:tc>
          <w:tcPr>
            <w:tcW w:w="320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2840" w:type="dxa"/>
            <w:vAlign w:val="bottom"/>
            <w:gridSpan w:val="2"/>
          </w:tcPr>
          <w:p>
            <w:pPr>
              <w:jc w:val="right"/>
              <w:ind w:right="520"/>
              <w:spacing w:after="0"/>
              <w:rPr>
                <w:sz w:val="20"/>
                <w:szCs w:val="20"/>
                <w:color w:val="auto"/>
              </w:rPr>
            </w:pPr>
            <w:r>
              <w:rPr>
                <w:rFonts w:ascii="Arial" w:cs="Arial" w:eastAsia="Arial" w:hAnsi="Arial"/>
                <w:sz w:val="14"/>
                <w:szCs w:val="14"/>
                <w:color w:val="auto"/>
              </w:rPr>
              <w:t>96.70%</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3.30%</w:t>
            </w: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2018.</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6, 2018,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ind w:left="880"/>
              <w:spacing w:after="0"/>
              <w:rPr>
                <w:sz w:val="20"/>
                <w:szCs w:val="20"/>
                <w:color w:val="auto"/>
              </w:rPr>
            </w:pPr>
            <w:r>
              <w:rPr>
                <w:rFonts w:ascii="Arial" w:cs="Arial" w:eastAsia="Arial" w:hAnsi="Arial"/>
                <w:sz w:val="14"/>
                <w:szCs w:val="14"/>
                <w:color w:val="auto"/>
              </w:rPr>
              <w:t>Against</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gridSpan w:val="2"/>
          </w:tcPr>
          <w:p>
            <w:pPr>
              <w:jc w:val="right"/>
              <w:ind w:right="1020"/>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156"/>
        </w:trPr>
        <w:tc>
          <w:tcPr>
            <w:tcW w:w="320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380" w:type="dxa"/>
            <w:vAlign w:val="bottom"/>
            <w:tcBorders>
              <w:top w:val="single" w:sz="8" w:color="auto"/>
            </w:tcBorders>
            <w:shd w:val="clear" w:color="auto" w:fill="BDD7EE"/>
          </w:tcPr>
          <w:p>
            <w:pPr>
              <w:spacing w:after="0"/>
              <w:rPr>
                <w:sz w:val="13"/>
                <w:szCs w:val="13"/>
                <w:color w:val="auto"/>
              </w:rPr>
            </w:pPr>
          </w:p>
        </w:tc>
        <w:tc>
          <w:tcPr>
            <w:tcW w:w="8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32,525,376</w:t>
            </w:r>
          </w:p>
        </w:tc>
        <w:tc>
          <w:tcPr>
            <w:tcW w:w="640" w:type="dxa"/>
            <w:vAlign w:val="bottom"/>
            <w:tcBorders>
              <w:top w:val="single" w:sz="8" w:color="BDD7EE"/>
            </w:tcBorders>
            <w:shd w:val="clear" w:color="auto" w:fill="BDD7EE"/>
          </w:tcPr>
          <w:p>
            <w:pPr>
              <w:spacing w:after="0"/>
              <w:rPr>
                <w:sz w:val="13"/>
                <w:szCs w:val="13"/>
                <w:color w:val="auto"/>
              </w:rPr>
            </w:pPr>
          </w:p>
        </w:tc>
        <w:tc>
          <w:tcPr>
            <w:tcW w:w="1540" w:type="dxa"/>
            <w:vAlign w:val="bottom"/>
            <w:tcBorders>
              <w:top w:val="single" w:sz="8" w:color="auto"/>
            </w:tcBorders>
            <w:shd w:val="clear" w:color="auto" w:fill="BDD7EE"/>
          </w:tcPr>
          <w:p>
            <w:pPr>
              <w:spacing w:after="0"/>
              <w:rPr>
                <w:sz w:val="13"/>
                <w:szCs w:val="13"/>
                <w:color w:val="auto"/>
              </w:rPr>
            </w:pPr>
          </w:p>
        </w:tc>
        <w:tc>
          <w:tcPr>
            <w:tcW w:w="6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204,868</w:t>
            </w:r>
          </w:p>
        </w:tc>
        <w:tc>
          <w:tcPr>
            <w:tcW w:w="64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143,899</w:t>
            </w:r>
          </w:p>
        </w:tc>
        <w:tc>
          <w:tcPr>
            <w:tcW w:w="14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458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color w:val="auto"/>
              </w:rPr>
              <w:t>98.94%</w:t>
            </w:r>
          </w:p>
        </w:tc>
        <w:tc>
          <w:tcPr>
            <w:tcW w:w="154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rPr>
              <w:t>0.62%</w:t>
            </w:r>
          </w:p>
        </w:tc>
        <w:tc>
          <w:tcPr>
            <w:tcW w:w="2340" w:type="dxa"/>
            <w:vAlign w:val="bottom"/>
            <w:gridSpan w:val="2"/>
          </w:tcPr>
          <w:p>
            <w:pPr>
              <w:jc w:val="right"/>
              <w:ind w:right="20"/>
              <w:spacing w:after="0"/>
              <w:rPr>
                <w:sz w:val="20"/>
                <w:szCs w:val="20"/>
                <w:color w:val="auto"/>
              </w:rPr>
            </w:pPr>
            <w:r>
              <w:rPr>
                <w:rFonts w:ascii="Arial" w:cs="Arial" w:eastAsia="Arial" w:hAnsi="Arial"/>
                <w:sz w:val="14"/>
                <w:szCs w:val="14"/>
                <w:color w:val="auto"/>
              </w:rPr>
              <w:t>0.44%</w:t>
            </w:r>
          </w:p>
        </w:tc>
        <w:tc>
          <w:tcPr>
            <w:tcW w:w="20" w:type="dxa"/>
            <w:vAlign w:val="bottom"/>
          </w:tcPr>
          <w:p>
            <w:pPr>
              <w:spacing w:after="0"/>
              <w:rPr>
                <w:sz w:val="15"/>
                <w:szCs w:val="15"/>
                <w:color w:val="auto"/>
              </w:rPr>
            </w:pPr>
          </w:p>
        </w:tc>
      </w:tr>
      <w:tr>
        <w:trPr>
          <w:trHeight w:val="648"/>
        </w:trPr>
        <w:tc>
          <w:tcPr>
            <w:tcW w:w="3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6"/>
              </w:rPr>
              <w:t>PennantPark Floating Rate Capital Ltd.</w:t>
            </w:r>
          </w:p>
        </w:tc>
        <w:tc>
          <w:tcPr>
            <w:tcW w:w="0" w:type="dxa"/>
            <w:vAlign w:val="bottom"/>
          </w:tcPr>
          <w:p>
            <w:pPr>
              <w:spacing w:after="0"/>
              <w:rPr>
                <w:sz w:val="1"/>
                <w:szCs w:val="1"/>
                <w:color w:val="auto"/>
              </w:rPr>
            </w:pPr>
          </w:p>
        </w:tc>
      </w:tr>
      <w:tr>
        <w:trPr>
          <w:trHeight w:val="297"/>
        </w:trPr>
        <w:tc>
          <w:tcPr>
            <w:tcW w:w="4960" w:type="dxa"/>
            <w:vAlign w:val="bottom"/>
          </w:tcPr>
          <w:p>
            <w:pPr>
              <w:spacing w:after="0"/>
              <w:rPr>
                <w:sz w:val="20"/>
                <w:szCs w:val="20"/>
                <w:color w:val="auto"/>
              </w:rPr>
            </w:pPr>
            <w:r>
              <w:rPr>
                <w:rFonts w:ascii="Arial" w:cs="Arial" w:eastAsia="Arial" w:hAnsi="Arial"/>
                <w:sz w:val="14"/>
                <w:szCs w:val="14"/>
                <w:color w:val="auto"/>
              </w:rPr>
              <w:t>Dated: February 9, 2018</w:t>
            </w:r>
          </w:p>
        </w:tc>
        <w:tc>
          <w:tcPr>
            <w:tcW w:w="47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4"/>
                <w:szCs w:val="4"/>
                <w:color w:val="auto"/>
              </w:rPr>
            </w:pPr>
          </w:p>
        </w:tc>
        <w:tc>
          <w:tcPr>
            <w:tcW w:w="4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5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2020-05-05T12:06:26Z</dcterms:created>
  <dcterms:modified xsi:type="dcterms:W3CDTF">2020-05-05T12:06:26Z</dcterms:modified>
</cp:coreProperties>
</file>