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Date of Report: July 07, 2014</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60"/>
        <w:spacing w:after="0"/>
        <w:rPr>
          <w:sz w:val="20"/>
          <w:szCs w:val="20"/>
          <w:color w:val="auto"/>
        </w:rPr>
      </w:pPr>
      <w:r>
        <w:rPr>
          <w:rFonts w:ascii="Arial" w:cs="Arial" w:eastAsia="Arial" w:hAnsi="Arial"/>
          <w:sz w:val="22"/>
          <w:szCs w:val="22"/>
          <w:color w:val="auto"/>
        </w:rPr>
        <w:t>On July 7, 2014, PennantPark Floating Rate Capital Ltd. issued a press release announcing its scheduled earnings release for the third fiscal quarter ended June 30, 2014. A copy of the press release is furnished as Exhibit 99.1 to this report, pursuant to Item 7.01 and Regulation FD.</w:t>
      </w:r>
    </w:p>
    <w:p>
      <w:pPr>
        <w:spacing w:after="0" w:line="200" w:lineRule="exact"/>
        <w:rPr>
          <w:sz w:val="24"/>
          <w:szCs w:val="24"/>
          <w:color w:val="auto"/>
        </w:rPr>
      </w:pPr>
    </w:p>
    <w:p>
      <w:pPr>
        <w:spacing w:after="0" w:line="256"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ectPr>
          <w:pgSz w:w="11900" w:h="16838" w:orient="portrait"/>
          <w:cols w:equalWidth="0" w:num="1">
            <w:col w:w="11200"/>
          </w:cols>
          <w:pgMar w:left="320" w:top="828" w:right="379" w:bottom="67"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July 07,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00" w:type="dxa"/>
            <w:vAlign w:val="bottom"/>
          </w:tcPr>
          <w:p>
            <w:pPr>
              <w:spacing w:after="0"/>
              <w:rPr>
                <w:sz w:val="20"/>
                <w:szCs w:val="20"/>
                <w:color w:val="auto"/>
              </w:rPr>
            </w:pPr>
            <w:r>
              <w:rPr>
                <w:rFonts w:ascii="Arial" w:cs="Arial" w:eastAsia="Arial" w:hAnsi="Arial"/>
                <w:sz w:val="22"/>
                <w:szCs w:val="22"/>
                <w:color w:val="auto"/>
              </w:rPr>
              <w:t>Dated: July 07, 2014</w:t>
            </w:r>
          </w:p>
        </w:tc>
        <w:tc>
          <w:tcPr>
            <w:tcW w:w="6920" w:type="dxa"/>
            <w:vAlign w:val="bottom"/>
            <w:gridSpan w:val="3"/>
          </w:tcPr>
          <w:p>
            <w:pPr>
              <w:ind w:left="192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00" w:type="dxa"/>
            <w:vAlign w:val="bottom"/>
          </w:tcPr>
          <w:p>
            <w:pPr>
              <w:spacing w:after="0"/>
              <w:rPr>
                <w:sz w:val="24"/>
                <w:szCs w:val="24"/>
                <w:color w:val="auto"/>
              </w:rPr>
            </w:pPr>
          </w:p>
        </w:tc>
        <w:tc>
          <w:tcPr>
            <w:tcW w:w="6920" w:type="dxa"/>
            <w:vAlign w:val="bottom"/>
            <w:gridSpan w:val="3"/>
          </w:tcPr>
          <w:p>
            <w:pPr>
              <w:ind w:left="1920"/>
              <w:spacing w:after="0"/>
              <w:rPr>
                <w:sz w:val="20"/>
                <w:szCs w:val="20"/>
                <w:color w:val="auto"/>
              </w:rPr>
            </w:pPr>
            <w:r>
              <w:rPr>
                <w:rFonts w:ascii="Arial" w:cs="Arial" w:eastAsia="Arial" w:hAnsi="Arial"/>
                <w:sz w:val="22"/>
                <w:szCs w:val="22"/>
                <w:color w:val="auto"/>
              </w:rPr>
              <w:t>By: /s/ Aviv Efrat</w:t>
            </w:r>
          </w:p>
        </w:tc>
      </w:tr>
      <w:tr>
        <w:trPr>
          <w:trHeight w:val="20"/>
        </w:trPr>
        <w:tc>
          <w:tcPr>
            <w:tcW w:w="3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00" w:type="dxa"/>
            <w:vAlign w:val="bottom"/>
          </w:tcPr>
          <w:p>
            <w:pPr>
              <w:spacing w:after="0"/>
              <w:rPr>
                <w:sz w:val="21"/>
                <w:szCs w:val="21"/>
                <w:color w:val="auto"/>
              </w:rPr>
            </w:pPr>
          </w:p>
        </w:tc>
        <w:tc>
          <w:tcPr>
            <w:tcW w:w="6920" w:type="dxa"/>
            <w:vAlign w:val="bottom"/>
            <w:gridSpan w:val="3"/>
          </w:tcPr>
          <w:p>
            <w:pPr>
              <w:ind w:left="21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00" w:type="dxa"/>
            <w:vAlign w:val="bottom"/>
          </w:tcPr>
          <w:p>
            <w:pPr>
              <w:spacing w:after="0"/>
              <w:rPr>
                <w:sz w:val="23"/>
                <w:szCs w:val="23"/>
                <w:color w:val="auto"/>
              </w:rPr>
            </w:pPr>
          </w:p>
        </w:tc>
        <w:tc>
          <w:tcPr>
            <w:tcW w:w="6920" w:type="dxa"/>
            <w:vAlign w:val="bottom"/>
            <w:gridSpan w:val="3"/>
          </w:tcPr>
          <w:p>
            <w:pPr>
              <w:ind w:left="224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90"/>
              </w:rPr>
              <w:t>July 07,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Schedules Earnings Release of Third Fiscal Quarter 2014 Results</w:t>
      </w:r>
    </w:p>
    <w:p>
      <w:pPr>
        <w:spacing w:after="0" w:line="213"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NEW YORK, NY -- (Marketwired - July 07, 2014) - PennantPark Floating Rate Capital Ltd. (the "Company") (NASDAQ: PFLT) announced that it will report results for the third fiscal quarter ended June 30, 2014 on Wednesday, August 6, 2014 after the close of the financial markets.</w:t>
      </w:r>
    </w:p>
    <w:p>
      <w:pPr>
        <w:spacing w:after="0" w:line="186"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Company will also host a conference call at 10:00 a.m. (Eastern Time) on Thursday, August 7, 2014 to discuss its financial results. All interested parties are welcome to participate. You can access the conference call by dialing (888) 329-8877 approximately 5-10 minutes prior to the call. International callers should dial (719) 457-1035. All callers should reference PennantPark Floating Rate Capital Ltd. An archived replay of the call will be available through August 21, 2014 by calling (888) 203-1112. International callers please dial (719) 457-0820. For all phone replays, please reference conference ID #9871657.</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is a business development company which primarily invests in U.S. middle-market private companies in the form of floating rate senior secured loans. From time to time, the Company may also invest in mezzanine debt and equity investments. The Company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6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60"/>
      </w:cols>
      <w:pgMar w:left="320" w:top="11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2020-05-05T12:04:45Z</dcterms:created>
  <dcterms:modified xsi:type="dcterms:W3CDTF">2020-05-05T12:04:45Z</dcterms:modified>
</cp:coreProperties>
</file>