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1588770</wp:posOffset>
            </wp:positionH>
            <wp:positionV relativeFrom="paragraph">
              <wp:posOffset>31115</wp:posOffset>
            </wp:positionV>
            <wp:extent cx="3973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3195" cy="8255"/>
                    </a:xfrm>
                    <a:prstGeom prst="rect">
                      <a:avLst/>
                    </a:prstGeom>
                    <a:noFill/>
                  </pic:spPr>
                </pic:pic>
              </a:graphicData>
            </a:graphic>
          </wp:anchor>
        </w:drawing>
      </w:r>
    </w:p>
    <w:p>
      <w:pPr>
        <w:spacing w:after="0" w:line="11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61"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CURRENT REPORT</w:t>
      </w:r>
    </w:p>
    <w:p>
      <w:pPr>
        <w:spacing w:after="0" w:line="157"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Exchange Act of 1934</w:t>
      </w:r>
    </w:p>
    <w:p>
      <w:pPr>
        <w:spacing w:after="0" w:line="3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Date of Report: May 10, 2023</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166"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2"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3360" w:type="dxa"/>
            <w:vAlign w:val="bottom"/>
          </w:tcPr>
          <w:p>
            <w:pPr>
              <w:jc w:val="center"/>
              <w:ind w:right="688"/>
              <w:spacing w:after="0"/>
              <w:rPr>
                <w:sz w:val="20"/>
                <w:szCs w:val="20"/>
                <w:color w:val="auto"/>
              </w:rPr>
            </w:pPr>
            <w:r>
              <w:rPr>
                <w:rFonts w:ascii="Arial" w:cs="Arial" w:eastAsia="Arial" w:hAnsi="Arial"/>
                <w:sz w:val="14"/>
                <w:szCs w:val="14"/>
                <w:b w:val="1"/>
                <w:bCs w:val="1"/>
                <w:color w:val="auto"/>
                <w:w w:val="97"/>
              </w:rPr>
              <w:t>Maryland</w:t>
            </w:r>
          </w:p>
        </w:tc>
        <w:tc>
          <w:tcPr>
            <w:tcW w:w="3040" w:type="dxa"/>
            <w:vAlign w:val="bottom"/>
          </w:tcPr>
          <w:p>
            <w:pPr>
              <w:jc w:val="right"/>
              <w:ind w:right="1128"/>
              <w:spacing w:after="0"/>
              <w:rPr>
                <w:sz w:val="20"/>
                <w:szCs w:val="20"/>
                <w:color w:val="auto"/>
              </w:rPr>
            </w:pPr>
            <w:r>
              <w:rPr>
                <w:rFonts w:ascii="Arial" w:cs="Arial" w:eastAsia="Arial" w:hAnsi="Arial"/>
                <w:sz w:val="14"/>
                <w:szCs w:val="14"/>
                <w:b w:val="1"/>
                <w:bCs w:val="1"/>
                <w:color w:val="auto"/>
              </w:rPr>
              <w:t>814-00891</w:t>
            </w:r>
          </w:p>
        </w:tc>
        <w:tc>
          <w:tcPr>
            <w:tcW w:w="2980" w:type="dxa"/>
            <w:vAlign w:val="bottom"/>
          </w:tcPr>
          <w:p>
            <w:pPr>
              <w:jc w:val="right"/>
              <w:ind w:right="688"/>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82"/>
        </w:trPr>
        <w:tc>
          <w:tcPr>
            <w:tcW w:w="3360" w:type="dxa"/>
            <w:vAlign w:val="bottom"/>
          </w:tcPr>
          <w:p>
            <w:pPr>
              <w:jc w:val="center"/>
              <w:ind w:right="688"/>
              <w:spacing w:after="0"/>
              <w:rPr>
                <w:sz w:val="20"/>
                <w:szCs w:val="20"/>
                <w:color w:val="auto"/>
              </w:rPr>
            </w:pPr>
            <w:r>
              <w:rPr>
                <w:rFonts w:ascii="Arial" w:cs="Arial" w:eastAsia="Arial" w:hAnsi="Arial"/>
                <w:sz w:val="14"/>
                <w:szCs w:val="14"/>
                <w:color w:val="auto"/>
                <w:w w:val="95"/>
              </w:rPr>
              <w:t>(State or Other Jurisdiction of Incorporation)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6"/>
              </w:rPr>
              <w:t>(Commission File Number)</w:t>
            </w:r>
          </w:p>
        </w:tc>
        <w:tc>
          <w:tcPr>
            <w:tcW w:w="2980" w:type="dxa"/>
            <w:vAlign w:val="bottom"/>
          </w:tcPr>
          <w:p>
            <w:pPr>
              <w:jc w:val="center"/>
              <w:ind w:left="668"/>
              <w:spacing w:after="0"/>
              <w:rPr>
                <w:sz w:val="20"/>
                <w:szCs w:val="20"/>
                <w:color w:val="auto"/>
              </w:rPr>
            </w:pPr>
            <w:r>
              <w:rPr>
                <w:rFonts w:ascii="Arial" w:cs="Arial" w:eastAsia="Arial" w:hAnsi="Arial"/>
                <w:sz w:val="14"/>
                <w:szCs w:val="14"/>
                <w:color w:val="auto"/>
                <w:w w:val="96"/>
              </w:rPr>
              <w:t>(IRS Employer Identification Number)</w:t>
            </w:r>
          </w:p>
        </w:tc>
        <w:tc>
          <w:tcPr>
            <w:tcW w:w="0" w:type="dxa"/>
            <w:vAlign w:val="bottom"/>
          </w:tcPr>
          <w:p>
            <w:pPr>
              <w:spacing w:after="0"/>
              <w:rPr>
                <w:sz w:val="1"/>
                <w:szCs w:val="1"/>
                <w:color w:val="auto"/>
              </w:rPr>
            </w:pPr>
          </w:p>
        </w:tc>
      </w:tr>
      <w:tr>
        <w:trPr>
          <w:trHeight w:val="556"/>
        </w:trPr>
        <w:tc>
          <w:tcPr>
            <w:tcW w:w="336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1691 Michigan Avenue</w:t>
            </w:r>
          </w:p>
        </w:tc>
        <w:tc>
          <w:tcPr>
            <w:tcW w:w="3040" w:type="dxa"/>
            <w:vAlign w:val="bottom"/>
          </w:tcPr>
          <w:p>
            <w:pPr>
              <w:spacing w:after="0"/>
              <w:rPr>
                <w:sz w:val="24"/>
                <w:szCs w:val="24"/>
                <w:color w:val="auto"/>
              </w:rPr>
            </w:pPr>
          </w:p>
        </w:tc>
        <w:tc>
          <w:tcPr>
            <w:tcW w:w="2980" w:type="dxa"/>
            <w:vAlign w:val="bottom"/>
            <w:vMerge w:val="restart"/>
          </w:tcPr>
          <w:p>
            <w:pPr>
              <w:jc w:val="right"/>
              <w:ind w:right="1188"/>
              <w:spacing w:after="0"/>
              <w:rPr>
                <w:sz w:val="20"/>
                <w:szCs w:val="20"/>
                <w:color w:val="auto"/>
              </w:rPr>
            </w:pPr>
            <w:r>
              <w:rPr>
                <w:rFonts w:ascii="Arial" w:cs="Arial" w:eastAsia="Arial" w:hAnsi="Arial"/>
                <w:sz w:val="14"/>
                <w:szCs w:val="14"/>
                <w:b w:val="1"/>
                <w:bCs w:val="1"/>
                <w:color w:val="auto"/>
              </w:rPr>
              <w:t>33139</w:t>
            </w:r>
          </w:p>
        </w:tc>
        <w:tc>
          <w:tcPr>
            <w:tcW w:w="0" w:type="dxa"/>
            <w:vAlign w:val="bottom"/>
          </w:tcPr>
          <w:p>
            <w:pPr>
              <w:spacing w:after="0"/>
              <w:rPr>
                <w:sz w:val="1"/>
                <w:szCs w:val="1"/>
                <w:color w:val="auto"/>
              </w:rPr>
            </w:pPr>
          </w:p>
        </w:tc>
      </w:tr>
      <w:tr>
        <w:trPr>
          <w:trHeight w:val="71"/>
        </w:trPr>
        <w:tc>
          <w:tcPr>
            <w:tcW w:w="3360" w:type="dxa"/>
            <w:vAlign w:val="bottom"/>
            <w:vMerge w:val="restart"/>
          </w:tcPr>
          <w:p>
            <w:pPr>
              <w:jc w:val="center"/>
              <w:ind w:right="348"/>
              <w:spacing w:after="0" w:line="153" w:lineRule="exact"/>
              <w:rPr>
                <w:sz w:val="20"/>
                <w:szCs w:val="20"/>
                <w:color w:val="auto"/>
              </w:rPr>
            </w:pPr>
            <w:r>
              <w:rPr>
                <w:rFonts w:ascii="Arial" w:cs="Arial" w:eastAsia="Arial" w:hAnsi="Arial"/>
                <w:sz w:val="14"/>
                <w:szCs w:val="14"/>
                <w:b w:val="1"/>
                <w:bCs w:val="1"/>
                <w:color w:val="auto"/>
                <w:w w:val="95"/>
              </w:rPr>
              <w:t>Miami Beach, Florida</w:t>
            </w:r>
          </w:p>
        </w:tc>
        <w:tc>
          <w:tcPr>
            <w:tcW w:w="304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36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80" w:type="dxa"/>
            <w:vAlign w:val="bottom"/>
            <w:vMerge w:val="restart"/>
          </w:tcPr>
          <w:p>
            <w:pPr>
              <w:jc w:val="center"/>
              <w:ind w:left="2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01"/>
        </w:trPr>
        <w:tc>
          <w:tcPr>
            <w:tcW w:w="3360" w:type="dxa"/>
            <w:vAlign w:val="bottom"/>
            <w:vMerge w:val="restart"/>
          </w:tcPr>
          <w:p>
            <w:pPr>
              <w:jc w:val="center"/>
              <w:ind w:right="328"/>
              <w:spacing w:after="0"/>
              <w:rPr>
                <w:sz w:val="20"/>
                <w:szCs w:val="20"/>
                <w:color w:val="auto"/>
              </w:rPr>
            </w:pPr>
            <w:r>
              <w:rPr>
                <w:rFonts w:ascii="Arial" w:cs="Arial" w:eastAsia="Arial" w:hAnsi="Arial"/>
                <w:sz w:val="14"/>
                <w:szCs w:val="14"/>
                <w:color w:val="auto"/>
                <w:w w:val="95"/>
              </w:rPr>
              <w:t>(Address of Principal Executive Offices)</w:t>
            </w:r>
          </w:p>
        </w:tc>
        <w:tc>
          <w:tcPr>
            <w:tcW w:w="304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36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4"/>
          <w:szCs w:val="14"/>
          <w:color w:val="auto"/>
          <w:highlight w:val="black"/>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822" w:right="459" w:bottom="1440" w:gutter="0" w:footer="0" w:header="0"/>
        </w:sectPr>
      </w:pPr>
    </w:p>
    <w:p>
      <w:pPr>
        <w:spacing w:after="0" w:line="230"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380" w:space="720"/>
            <w:col w:w="2040" w:space="720"/>
            <w:col w:w="3260"/>
          </w:cols>
          <w:pgMar w:left="320" w:top="822" w:right="459" w:bottom="1440" w:gutter="0" w:footer="0" w:header="0"/>
          <w:type w:val="continuous"/>
        </w:sectPr>
      </w:pPr>
    </w:p>
    <w:p>
      <w:pPr>
        <w:ind w:left="80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PFLT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New York Stock Exchange</w:t>
      </w:r>
    </w:p>
    <w:p>
      <w:pPr>
        <w:spacing w:after="0" w:line="200" w:lineRule="exact"/>
        <w:rPr>
          <w:sz w:val="24"/>
          <w:szCs w:val="24"/>
          <w:color w:val="auto"/>
        </w:rPr>
      </w:pPr>
    </w:p>
    <w:p>
      <w:pPr>
        <w:sectPr>
          <w:pgSz w:w="11900" w:h="16838" w:orient="portrait"/>
          <w:cols w:equalWidth="0" w:num="3">
            <w:col w:w="4800" w:space="720"/>
            <w:col w:w="2120" w:space="720"/>
            <w:col w:w="2760"/>
          </w:cols>
          <w:pgMar w:left="320" w:top="822" w:right="459" w:bottom="1440" w:gutter="0" w:footer="0" w:header="0"/>
          <w:type w:val="continuous"/>
        </w:sectPr>
      </w:pPr>
    </w:p>
    <w:p>
      <w:pPr>
        <w:spacing w:after="0" w:line="2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57"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22"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551180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2.02. Results of Operations and Financial Condition</w:t>
      </w:r>
    </w:p>
    <w:p>
      <w:pPr>
        <w:spacing w:after="0" w:line="161" w:lineRule="exact"/>
        <w:rPr>
          <w:sz w:val="20"/>
          <w:szCs w:val="20"/>
          <w:color w:val="auto"/>
        </w:rPr>
      </w:pPr>
    </w:p>
    <w:p>
      <w:pPr>
        <w:jc w:val="both"/>
        <w:ind w:firstLine="388"/>
        <w:spacing w:after="0" w:line="279" w:lineRule="auto"/>
        <w:rPr>
          <w:sz w:val="20"/>
          <w:szCs w:val="20"/>
          <w:color w:val="auto"/>
        </w:rPr>
      </w:pPr>
      <w:r>
        <w:rPr>
          <w:rFonts w:ascii="Arial" w:cs="Arial" w:eastAsia="Arial" w:hAnsi="Arial"/>
          <w:sz w:val="17"/>
          <w:szCs w:val="17"/>
          <w:color w:val="auto"/>
        </w:rPr>
        <w:t>On May 10, 2023, PennantPark Floating Rate Capital Ltd. (the "Company"), issued a press release announcing its financial results for the second fiscal quarter ended March 31, 2023 and an increase of its monthly distribution. A copy of the press release is furnished as Exhibit 99.1 to this report pursuant to Item 2.02 on Form 8-K and Regulation FD. A copy of PennantPark Floating Rate Capital Ltd.'s schedule of investments as of March 31, 2023 and September 30, 2022 is furnished as Exhibit 99.2 to this report pursuant to Item 2.02 on Form 8-K and Regulation FD.</w:t>
      </w:r>
    </w:p>
    <w:p>
      <w:pPr>
        <w:spacing w:after="0" w:line="170" w:lineRule="exact"/>
        <w:rPr>
          <w:sz w:val="20"/>
          <w:szCs w:val="20"/>
          <w:color w:val="auto"/>
        </w:rPr>
      </w:pPr>
    </w:p>
    <w:p>
      <w:pPr>
        <w:jc w:val="both"/>
        <w:ind w:firstLine="388"/>
        <w:spacing w:after="0" w:line="279" w:lineRule="auto"/>
        <w:rPr>
          <w:sz w:val="20"/>
          <w:szCs w:val="20"/>
          <w:color w:val="auto"/>
        </w:rPr>
      </w:pPr>
      <w:r>
        <w:rPr>
          <w:rFonts w:ascii="Arial" w:cs="Arial" w:eastAsia="Arial" w:hAnsi="Arial"/>
          <w:sz w:val="17"/>
          <w:szCs w:val="17"/>
          <w:color w:val="auto"/>
        </w:rPr>
        <w:t>The information in this report on Form 8-K, including Exhibits 99.1 and 99.2,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This report on Form 8-K, including Exhibits 99.1 and 99.2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including Exhibits 99.1 and 99.2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8"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7" w:lineRule="exact"/>
        <w:rPr>
          <w:sz w:val="20"/>
          <w:szCs w:val="20"/>
          <w:color w:val="auto"/>
        </w:rPr>
      </w:pPr>
    </w:p>
    <w:p>
      <w:pPr>
        <w:ind w:left="580" w:right="9300" w:hanging="579"/>
        <w:spacing w:after="0" w:line="293" w:lineRule="auto"/>
        <w:tabs>
          <w:tab w:leader="none" w:pos="25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ind w:left="580" w:right="8400" w:hanging="579"/>
        <w:spacing w:after="0" w:line="250" w:lineRule="auto"/>
        <w:tabs>
          <w:tab w:leader="none" w:pos="2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80" w:right="8780" w:hanging="579"/>
        <w:spacing w:after="0" w:line="250" w:lineRule="auto"/>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60" w:hanging="259"/>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PennantPark Floating Rate Capital Ltd. dated 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-19685</wp:posOffset>
            </wp:positionV>
            <wp:extent cx="3543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ind w:left="580"/>
        <w:spacing w:after="0"/>
        <w:tabs>
          <w:tab w:leader="none" w:pos="11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FF"/>
        </w:rPr>
        <w:t>Schedule of Investments as of March 31, 2023 and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-19685</wp:posOffset>
            </wp:positionV>
            <wp:extent cx="3261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ind w:left="580"/>
        <w:spacing w:after="0"/>
        <w:tabs>
          <w:tab w:leader="none" w:pos="110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1" w:lineRule="exact"/>
        <w:rPr>
          <w:sz w:val="20"/>
          <w:szCs w:val="20"/>
          <w:color w:val="auto"/>
        </w:rPr>
      </w:pPr>
    </w:p>
    <w:p>
      <w:pPr>
        <w:ind w:right="300" w:firstLine="388"/>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489585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6" w:right="359" w:bottom="1440" w:gutter="0" w:footer="0" w:header="0"/>
        </w:sectPr>
      </w:pPr>
    </w:p>
    <w:bookmarkStart w:id="2" w:name="page3"/>
    <w:bookmarkEnd w:id="2"/>
    <w:p>
      <w:pPr>
        <w:spacing w:after="0"/>
        <w:tabs>
          <w:tab w:leader="none" w:pos="5340" w:val="left"/>
        </w:tabs>
        <w:rPr>
          <w:sz w:val="20"/>
          <w:szCs w:val="20"/>
          <w:color w:val="auto"/>
        </w:rPr>
      </w:pPr>
      <w:r>
        <w:rPr>
          <w:rFonts w:ascii="Arial" w:cs="Arial" w:eastAsia="Arial" w:hAnsi="Arial"/>
          <w:sz w:val="35"/>
          <w:szCs w:val="35"/>
          <w:color w:val="auto"/>
          <w:vertAlign w:val="superscript"/>
        </w:rPr>
        <w:t>Dated: May 10, 2023</w:t>
      </w:r>
      <w:r>
        <w:rPr>
          <w:sz w:val="20"/>
          <w:szCs w:val="20"/>
          <w:color w:val="auto"/>
        </w:rPr>
        <w:tab/>
      </w:r>
      <w:r>
        <w:rPr>
          <w:rFonts w:ascii="Arial" w:cs="Arial" w:eastAsia="Arial" w:hAnsi="Arial"/>
          <w:sz w:val="17"/>
          <w:szCs w:val="17"/>
          <w:b w:val="1"/>
          <w:bCs w:val="1"/>
          <w:color w:val="auto"/>
        </w:rPr>
        <w:t>PENNANTPARK FLOATING RATE CAPITAL LTD.</w:t>
      </w:r>
    </w:p>
    <w:p>
      <w:pPr>
        <w:sectPr>
          <w:pgSz w:w="11900" w:h="16838" w:orient="portrait"/>
          <w:cols w:equalWidth="0" w:num="1">
            <w:col w:w="10119"/>
          </w:cols>
          <w:pgMar w:left="340" w:top="139" w:right="1440" w:bottom="1440" w:gutter="0" w:footer="0" w:header="0"/>
        </w:sectPr>
      </w:pPr>
    </w:p>
    <w:p>
      <w:pPr>
        <w:spacing w:after="0" w:line="68" w:lineRule="exact"/>
        <w:rPr>
          <w:sz w:val="20"/>
          <w:szCs w:val="20"/>
          <w:color w:val="auto"/>
        </w:rPr>
      </w:pPr>
    </w:p>
    <w:p>
      <w:pPr>
        <w:jc w:val="center"/>
        <w:ind w:left="1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Richard T. Allorto, Jr.</w:t>
      </w:r>
    </w:p>
    <w:p>
      <w:pPr>
        <w:spacing w:after="0" w:line="23"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Richard T. Allorto, Jr.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710565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9" w:right="1440" w:bottom="1440" w:gutter="0" w:footer="0" w:header="0"/>
          <w:type w:val="continuous"/>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7165" cy="334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716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0"/>
        <w:spacing w:after="0" w:line="281" w:lineRule="auto"/>
        <w:rPr>
          <w:sz w:val="20"/>
          <w:szCs w:val="20"/>
          <w:color w:val="auto"/>
        </w:rPr>
      </w:pPr>
      <w:r>
        <w:rPr>
          <w:rFonts w:ascii="Arial" w:cs="Arial" w:eastAsia="Arial" w:hAnsi="Arial"/>
          <w:sz w:val="18"/>
          <w:szCs w:val="18"/>
          <w:b w:val="1"/>
          <w:bCs w:val="1"/>
          <w:color w:val="auto"/>
        </w:rPr>
        <w:t>PennantPark Floating Rate Capital Ltd. Announces 2.5% Increase of Its Monthly Distribution to $0.1025 Per Share and Financial Results for the Quarter Ended March 31, 2023</w:t>
      </w:r>
    </w:p>
    <w:p>
      <w:pPr>
        <w:spacing w:after="0" w:line="9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Miami, FL </w:t>
      </w:r>
      <w:r>
        <w:rPr>
          <w:rFonts w:ascii="Arial" w:cs="Arial" w:eastAsia="Arial" w:hAnsi="Arial"/>
          <w:sz w:val="14"/>
          <w:szCs w:val="14"/>
          <w:color w:val="auto"/>
        </w:rPr>
        <w:t>—</w:t>
      </w:r>
      <w:r>
        <w:rPr>
          <w:rFonts w:ascii="Arial" w:cs="Arial" w:eastAsia="Arial" w:hAnsi="Arial"/>
          <w:sz w:val="18"/>
          <w:szCs w:val="18"/>
          <w:color w:val="auto"/>
        </w:rPr>
        <w:t xml:space="preserve"> (GLOBE NEWSWIRE </w:t>
      </w:r>
      <w:r>
        <w:rPr>
          <w:rFonts w:ascii="Arial" w:cs="Arial" w:eastAsia="Arial" w:hAnsi="Arial"/>
          <w:sz w:val="14"/>
          <w:szCs w:val="14"/>
          <w:color w:val="auto"/>
        </w:rPr>
        <w:t>—</w:t>
      </w:r>
      <w:r>
        <w:rPr>
          <w:rFonts w:ascii="Arial" w:cs="Arial" w:eastAsia="Arial" w:hAnsi="Arial"/>
          <w:sz w:val="18"/>
          <w:szCs w:val="18"/>
          <w:color w:val="auto"/>
        </w:rPr>
        <w:t xml:space="preserve"> May 10, 2023) </w:t>
      </w:r>
      <w:r>
        <w:rPr>
          <w:rFonts w:ascii="Arial" w:cs="Arial" w:eastAsia="Arial" w:hAnsi="Arial"/>
          <w:sz w:val="14"/>
          <w:szCs w:val="14"/>
          <w:color w:val="auto"/>
        </w:rPr>
        <w:t>—</w:t>
      </w:r>
      <w:r>
        <w:rPr>
          <w:rFonts w:ascii="Arial" w:cs="Arial" w:eastAsia="Arial" w:hAnsi="Arial"/>
          <w:sz w:val="18"/>
          <w:szCs w:val="18"/>
          <w:color w:val="auto"/>
        </w:rPr>
        <w:t xml:space="preserve"> PennantPark Floating Rate Capital Ltd. (NYSE: PFLT) (TASE: PFLT) announced today its financial results for the second quarter ended March 31, 2023.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Quarter ended March 31, 2023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Assets and Liabilities:</w:t>
            </w:r>
          </w:p>
        </w:tc>
        <w:tc>
          <w:tcPr>
            <w:tcW w:w="316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 xml:space="preserve">Investment portfolio </w:t>
            </w:r>
            <w:r>
              <w:rPr>
                <w:rFonts w:ascii="Arial" w:cs="Arial" w:eastAsia="Arial" w:hAnsi="Arial"/>
                <w:sz w:val="24"/>
                <w:szCs w:val="24"/>
                <w:color w:val="auto"/>
                <w:vertAlign w:val="superscript"/>
              </w:rPr>
              <w:t>(1)</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21"/>
                <w:szCs w:val="21"/>
                <w:color w:val="auto"/>
              </w:rPr>
            </w:pPr>
          </w:p>
        </w:tc>
      </w:tr>
      <w:tr>
        <w:trPr>
          <w:trHeight w:val="243"/>
        </w:trPr>
        <w:tc>
          <w:tcPr>
            <w:tcW w:w="69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Net assets</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1"/>
                <w:szCs w:val="21"/>
                <w:color w:val="auto"/>
              </w:rPr>
            </w:pPr>
          </w:p>
        </w:tc>
      </w:tr>
      <w:tr>
        <w:trPr>
          <w:trHeight w:val="230"/>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GAAP net asset value per share</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r>
      <w:tr>
        <w:trPr>
          <w:trHeight w:val="232"/>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Quarterly decrease in GAAP net asset value per share</w:t>
            </w:r>
          </w:p>
        </w:tc>
        <w:tc>
          <w:tcPr>
            <w:tcW w:w="31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694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 xml:space="preserve">Adjusted net asset value per share </w:t>
            </w:r>
            <w:r>
              <w:rPr>
                <w:rFonts w:ascii="Arial" w:cs="Arial" w:eastAsia="Arial" w:hAnsi="Arial"/>
                <w:sz w:val="24"/>
                <w:szCs w:val="24"/>
                <w:color w:val="auto"/>
                <w:vertAlign w:val="superscript"/>
              </w:rPr>
              <w:t>(2)</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r>
      <w:tr>
        <w:trPr>
          <w:trHeight w:val="266"/>
        </w:trPr>
        <w:tc>
          <w:tcPr>
            <w:tcW w:w="6940" w:type="dxa"/>
            <w:vAlign w:val="bottom"/>
            <w:gridSpan w:val="2"/>
          </w:tcPr>
          <w:p>
            <w:pPr>
              <w:ind w:left="200"/>
              <w:spacing w:after="0" w:line="265" w:lineRule="exact"/>
              <w:rPr>
                <w:sz w:val="20"/>
                <w:szCs w:val="20"/>
                <w:color w:val="auto"/>
              </w:rPr>
            </w:pPr>
            <w:r>
              <w:rPr>
                <w:rFonts w:ascii="Arial" w:cs="Arial" w:eastAsia="Arial" w:hAnsi="Arial"/>
                <w:sz w:val="18"/>
                <w:szCs w:val="18"/>
                <w:color w:val="auto"/>
              </w:rPr>
              <w:t xml:space="preserve">Quarterly decrease in adjusted net asset value per share </w:t>
            </w:r>
            <w:r>
              <w:rPr>
                <w:rFonts w:ascii="Arial" w:cs="Arial" w:eastAsia="Arial" w:hAnsi="Arial"/>
                <w:sz w:val="24"/>
                <w:szCs w:val="24"/>
                <w:color w:val="auto"/>
                <w:vertAlign w:val="superscript"/>
              </w:rPr>
              <w:t>(2)</w:t>
            </w:r>
          </w:p>
        </w:tc>
        <w:tc>
          <w:tcPr>
            <w:tcW w:w="316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485"/>
        </w:trPr>
        <w:tc>
          <w:tcPr>
            <w:tcW w:w="27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9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Credit Facility</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2023 Notes</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r>
      <w:tr>
        <w:trPr>
          <w:trHeight w:val="249"/>
        </w:trPr>
        <w:tc>
          <w:tcPr>
            <w:tcW w:w="69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2026 Notes</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2031 Asset-Backed Debt</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0"/>
                <w:szCs w:val="20"/>
                <w:color w:val="auto"/>
              </w:rPr>
            </w:pPr>
          </w:p>
        </w:tc>
      </w:tr>
      <w:tr>
        <w:trPr>
          <w:trHeight w:val="255"/>
        </w:trPr>
        <w:tc>
          <w:tcPr>
            <w:tcW w:w="69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Regulatory Debt to Equity</w:t>
            </w:r>
          </w:p>
        </w:tc>
        <w:tc>
          <w:tcPr>
            <w:tcW w:w="3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1.17x</w:t>
            </w:r>
          </w:p>
        </w:tc>
        <w:tc>
          <w:tcPr>
            <w:tcW w:w="100" w:type="dxa"/>
            <w:vAlign w:val="bottom"/>
          </w:tcPr>
          <w:p>
            <w:pPr>
              <w:spacing w:after="0"/>
              <w:rPr>
                <w:sz w:val="22"/>
                <w:szCs w:val="22"/>
                <w:color w:val="auto"/>
              </w:rPr>
            </w:pP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Weighted average yield on debt investments at quarter-end</w:t>
            </w:r>
          </w:p>
        </w:tc>
        <w:tc>
          <w:tcPr>
            <w:tcW w:w="3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11.8 %</w:t>
            </w:r>
          </w:p>
        </w:tc>
      </w:tr>
      <w:tr>
        <w:trPr>
          <w:trHeight w:val="498"/>
        </w:trPr>
        <w:tc>
          <w:tcPr>
            <w:tcW w:w="27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9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Operating Results:</w:t>
            </w:r>
          </w:p>
        </w:tc>
        <w:tc>
          <w:tcPr>
            <w:tcW w:w="316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Net investment income</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r>
      <w:tr>
        <w:trPr>
          <w:trHeight w:val="249"/>
        </w:trPr>
        <w:tc>
          <w:tcPr>
            <w:tcW w:w="69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Net investment income per share</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Non-core investment income per share</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(0.01 )</w:t>
            </w:r>
          </w:p>
        </w:tc>
        <w:tc>
          <w:tcPr>
            <w:tcW w:w="100" w:type="dxa"/>
            <w:vAlign w:val="bottom"/>
          </w:tcPr>
          <w:p>
            <w:pPr>
              <w:spacing w:after="0"/>
              <w:rPr>
                <w:sz w:val="20"/>
                <w:szCs w:val="20"/>
                <w:color w:val="auto"/>
              </w:rPr>
            </w:pPr>
          </w:p>
        </w:tc>
      </w:tr>
      <w:tr>
        <w:trPr>
          <w:trHeight w:val="249"/>
        </w:trPr>
        <w:tc>
          <w:tcPr>
            <w:tcW w:w="6940" w:type="dxa"/>
            <w:vAlign w:val="bottom"/>
            <w:gridSpan w:val="2"/>
            <w:shd w:val="clear" w:color="auto" w:fill="CCECFF"/>
          </w:tcPr>
          <w:p>
            <w:pPr>
              <w:ind w:left="200"/>
              <w:spacing w:after="0" w:line="249" w:lineRule="exact"/>
              <w:rPr>
                <w:sz w:val="20"/>
                <w:szCs w:val="20"/>
                <w:color w:val="auto"/>
              </w:rPr>
            </w:pPr>
            <w:r>
              <w:rPr>
                <w:rFonts w:ascii="Arial" w:cs="Arial" w:eastAsia="Arial" w:hAnsi="Arial"/>
                <w:sz w:val="18"/>
                <w:szCs w:val="18"/>
                <w:color w:val="auto"/>
              </w:rPr>
              <w:t xml:space="preserve">Core net investment income per share </w:t>
            </w:r>
            <w:r>
              <w:rPr>
                <w:rFonts w:ascii="Arial" w:cs="Arial" w:eastAsia="Arial" w:hAnsi="Arial"/>
                <w:sz w:val="24"/>
                <w:szCs w:val="24"/>
                <w:color w:val="auto"/>
                <w:vertAlign w:val="superscript"/>
              </w:rPr>
              <w:t>(3)</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Distributions declared per share</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r>
      <w:tr>
        <w:trPr>
          <w:trHeight w:val="249"/>
        </w:trPr>
        <w:tc>
          <w:tcPr>
            <w:tcW w:w="2720" w:type="dxa"/>
            <w:vAlign w:val="bottom"/>
            <w:shd w:val="clear" w:color="auto" w:fill="CCECFF"/>
          </w:tcPr>
          <w:p>
            <w:pPr>
              <w:spacing w:after="0"/>
              <w:rPr>
                <w:sz w:val="21"/>
                <w:szCs w:val="21"/>
                <w:color w:val="auto"/>
              </w:rPr>
            </w:pPr>
          </w:p>
        </w:tc>
        <w:tc>
          <w:tcPr>
            <w:tcW w:w="4220" w:type="dxa"/>
            <w:vAlign w:val="bottom"/>
            <w:shd w:val="clear" w:color="auto" w:fill="CCECFF"/>
          </w:tcPr>
          <w:p>
            <w:pPr>
              <w:spacing w:after="0"/>
              <w:rPr>
                <w:sz w:val="21"/>
                <w:szCs w:val="21"/>
                <w:color w:val="auto"/>
              </w:rPr>
            </w:pPr>
          </w:p>
        </w:tc>
        <w:tc>
          <w:tcPr>
            <w:tcW w:w="316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Portfolio Activity:</w:t>
            </w: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Purchases of investments</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Sales and repayments of investments</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r>
      <w:tr>
        <w:trPr>
          <w:trHeight w:val="249"/>
        </w:trPr>
        <w:tc>
          <w:tcPr>
            <w:tcW w:w="2720" w:type="dxa"/>
            <w:vAlign w:val="bottom"/>
            <w:shd w:val="clear" w:color="auto" w:fill="CCECFF"/>
          </w:tcPr>
          <w:p>
            <w:pPr>
              <w:spacing w:after="0"/>
              <w:rPr>
                <w:sz w:val="21"/>
                <w:szCs w:val="21"/>
                <w:color w:val="auto"/>
              </w:rPr>
            </w:pPr>
          </w:p>
        </w:tc>
        <w:tc>
          <w:tcPr>
            <w:tcW w:w="4220" w:type="dxa"/>
            <w:vAlign w:val="bottom"/>
            <w:shd w:val="clear" w:color="auto" w:fill="CCECFF"/>
          </w:tcPr>
          <w:p>
            <w:pPr>
              <w:spacing w:after="0"/>
              <w:rPr>
                <w:sz w:val="21"/>
                <w:szCs w:val="21"/>
                <w:color w:val="auto"/>
              </w:rPr>
            </w:pPr>
          </w:p>
        </w:tc>
        <w:tc>
          <w:tcPr>
            <w:tcW w:w="316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PSSL Portfolio data:</w:t>
            </w: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PSSL investment portfolio</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21"/>
                <w:szCs w:val="21"/>
                <w:color w:val="auto"/>
              </w:rPr>
            </w:pPr>
          </w:p>
        </w:tc>
      </w:tr>
      <w:tr>
        <w:trPr>
          <w:trHeight w:val="236"/>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Purchases of investments</w:t>
            </w:r>
          </w:p>
        </w:tc>
        <w:tc>
          <w:tcPr>
            <w:tcW w:w="3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r>
      <w:tr>
        <w:trPr>
          <w:trHeight w:val="249"/>
        </w:trPr>
        <w:tc>
          <w:tcPr>
            <w:tcW w:w="69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Sales and repayments of investments</w:t>
            </w:r>
          </w:p>
        </w:tc>
        <w:tc>
          <w:tcPr>
            <w:tcW w:w="316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r>
      <w:tr>
        <w:trPr>
          <w:trHeight w:val="148"/>
        </w:trPr>
        <w:tc>
          <w:tcPr>
            <w:tcW w:w="2720" w:type="dxa"/>
            <w:vAlign w:val="bottom"/>
            <w:tcBorders>
              <w:bottom w:val="single" w:sz="8" w:color="auto"/>
            </w:tcBorders>
          </w:tcPr>
          <w:p>
            <w:pPr>
              <w:spacing w:after="0"/>
              <w:rPr>
                <w:sz w:val="12"/>
                <w:szCs w:val="12"/>
                <w:color w:val="auto"/>
              </w:rPr>
            </w:pPr>
          </w:p>
        </w:tc>
        <w:tc>
          <w:tcPr>
            <w:tcW w:w="4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-4417695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-4109085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9" w:lineRule="exact"/>
        <w:rPr>
          <w:sz w:val="20"/>
          <w:szCs w:val="20"/>
          <w:color w:val="auto"/>
        </w:rPr>
      </w:pPr>
    </w:p>
    <w:p>
      <w:pPr>
        <w:ind w:left="760" w:hanging="453"/>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investments in PennantPark Senior Secured Loan Fund I LLC, or PSSL, an unconsolidated joint venture, totaling $261.7 million, at fair value.</w:t>
      </w:r>
    </w:p>
    <w:p>
      <w:pPr>
        <w:spacing w:after="0" w:line="95" w:lineRule="exact"/>
        <w:rPr>
          <w:rFonts w:ascii="Arial" w:cs="Arial" w:eastAsia="Arial" w:hAnsi="Arial"/>
          <w:sz w:val="14"/>
          <w:szCs w:val="14"/>
          <w:color w:val="auto"/>
        </w:rPr>
      </w:pPr>
    </w:p>
    <w:p>
      <w:pPr>
        <w:jc w:val="both"/>
        <w:ind w:left="760" w:right="100" w:hanging="453"/>
        <w:spacing w:after="0" w:line="233" w:lineRule="auto"/>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is a non-GAAP financial measure. The Company believes that this number provides useful information to investors and management because it reflects the Company’s financial performance excluding the impact of the $2.6 million, or $0.05 per share,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75" w:lineRule="exact"/>
        <w:rPr>
          <w:rFonts w:ascii="Arial" w:cs="Arial" w:eastAsia="Arial" w:hAnsi="Arial"/>
          <w:sz w:val="14"/>
          <w:szCs w:val="14"/>
          <w:color w:val="auto"/>
        </w:rPr>
      </w:pPr>
    </w:p>
    <w:p>
      <w:pPr>
        <w:jc w:val="both"/>
        <w:ind w:left="760" w:right="100" w:hanging="453"/>
        <w:spacing w:after="0" w:line="255" w:lineRule="auto"/>
        <w:tabs>
          <w:tab w:leader="none" w:pos="7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Core net investment income (“Core NII”) is a non-GAAP financial measure. The Company believes that core net investment income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2023, Core NII excluded; i) $0.4 million of accelerated amortization income associated with the early repayment of one of our loans; and ii) and an addback of $0.1 million of incentive fee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AT 9:00 A.M. ET ON MAY 11, 2023</w:t>
      </w:r>
    </w:p>
    <w:p>
      <w:pPr>
        <w:spacing w:after="0" w:line="121"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PennantPark Floating Rate Capital Ltd. (“we,” “our,” “us” or the “Company”) will also host a conference call at 9:00 a.m. (Eastern Time) on Thursday May 11, 2023 to discuss its financial results. All interested parties are welcome to participate. You can access the conference call by dialing toll-free (888) 256-1007 approximately 5-10 minutes prior to the call. International callers should dial (929) 477-0448. All callers should reference conference ID #9075273 or PennantPark Floating Rate Capital Ltd. An archived replay will also be available on a webcast link located on the Quarterly Earnings page in the Investor section of PennantPark’s website.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QUARTERLY DISTRIBUTION TO $0.1025 PER SHARE</w:t>
      </w:r>
    </w:p>
    <w:p>
      <w:pPr>
        <w:spacing w:after="0" w:line="121" w:lineRule="exact"/>
        <w:rPr>
          <w:sz w:val="20"/>
          <w:szCs w:val="20"/>
          <w:color w:val="auto"/>
        </w:rPr>
      </w:pPr>
    </w:p>
    <w:p>
      <w:pPr>
        <w:ind w:right="60" w:firstLine="449"/>
        <w:spacing w:after="0" w:line="341" w:lineRule="auto"/>
        <w:rPr>
          <w:sz w:val="20"/>
          <w:szCs w:val="20"/>
          <w:color w:val="auto"/>
        </w:rPr>
      </w:pPr>
      <w:r>
        <w:rPr>
          <w:rFonts w:ascii="Arial" w:cs="Arial" w:eastAsia="Arial" w:hAnsi="Arial"/>
          <w:sz w:val="16"/>
          <w:szCs w:val="16"/>
          <w:color w:val="auto"/>
        </w:rPr>
        <w:t>On May 9, 2023, the Company declared a distribution of $0.1025 per share, an increase of 2.5% from the most recent distribution. The distribution is payable on July 3, 2023 to stockholders of record as of June 15, 2023. The distribution is expected to be paid from taxable net investment income.</w:t>
      </w:r>
    </w:p>
    <w:p>
      <w:pPr>
        <w:spacing w:after="0" w:line="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are pleased to announce an increase in our monthly dividend based on the continued strong underlying credit performance of our portfolio in this environment. With our primary focus on lower risk senior secured floating rate loans to U.S. companies, we are positioned to preserve capital and protect against rising interest rates and inflation," said Arthur Penn, Chairman and CEO. "We have a visible pathway to continue to optimize the balance sheets at both PFLT and PennantPark Senior Secured Loan Fund I LLC over the coming quarters, which we believe will increase net investment income.”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6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As of March 31, 2023, our portfolio totaled $1,164.0 million, and consisted of $1,006.7 million of first lien secured debt (including $210.1 million in PSSL), $0.1 million of second lien secured debt and $157.2 million of preferred and common equity (including $51.6 million in PSSL). Our debt portfolio consisted of 100% variable-rate investments. As of March 31, 2023, we had four portfolio companies on non-accrual, representing 2.0% and zero percent of our overall portfolio on a cost and fair value basis, respectively. As of March 31, 2023, the portfolio had net unrealized depreciation of $34.1 million. Our overall portfolio consisted of 130 companies with an average investment size of $9.0 million and a weighted average yield on debt investments of 11.8%.</w:t>
      </w:r>
    </w:p>
    <w:p>
      <w:pPr>
        <w:spacing w:after="0" w:line="110"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As of September 30, 2022, our portfolio totaled $1,164.3 million and consisted of $1,009.6 million of first lien secured debt (including $190.2 million in PSSL), $0.1million of second lien secured debt and $154.5 million of preferred and common equity (including $49.4 million in PSSL). Our debt portfolio consisted of 100% variable rate investments. As of September 30, 2022, we had two portfolio companies on non-accrual, representing 0.9% and zero percent of our overall portfolio on a cost and fair value basis, respectively. As of September 30, 2022, the portfolio had net unrealized depreciation of $13.1 million. Our overall portfolio consisted of 125 companies with an average investment size of $9.3 million and a weighted average yield on debt investments of 10.0%.</w:t>
      </w:r>
    </w:p>
    <w:p>
      <w:pPr>
        <w:spacing w:after="0" w:line="123" w:lineRule="exact"/>
        <w:rPr>
          <w:sz w:val="20"/>
          <w:szCs w:val="20"/>
          <w:color w:val="auto"/>
        </w:rPr>
      </w:pPr>
    </w:p>
    <w:p>
      <w:pPr>
        <w:ind w:right="360" w:firstLine="449"/>
        <w:spacing w:after="0" w:line="301" w:lineRule="auto"/>
        <w:rPr>
          <w:sz w:val="20"/>
          <w:szCs w:val="20"/>
          <w:color w:val="auto"/>
        </w:rPr>
      </w:pPr>
      <w:r>
        <w:rPr>
          <w:rFonts w:ascii="Arial" w:cs="Arial" w:eastAsia="Arial" w:hAnsi="Arial"/>
          <w:sz w:val="16"/>
          <w:szCs w:val="16"/>
          <w:color w:val="auto"/>
        </w:rPr>
        <w:t>For the three months ended March 31, 2023, we invested $85.4 million in five new and 38 existing portfolio companies with a weighted average yield on debt investments of 12.2%. For the three months ended March 31, 2023 sales and repayments of investments totaled $62.6 million. For the six months ended March 31, 2023, we invested $151.2 million in nine new and 67 existing portfolio companies with a weighted average yield on debt investments of 11.8%. For the six months ended March 31, 2023 sales and repayments of investments totaled $125.6 million.</w:t>
      </w:r>
    </w:p>
    <w:p>
      <w:pPr>
        <w:spacing w:after="0" w:line="88"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For the three months ended March 31, 2022, we invested $113.2 million in seven new and 29 existing portfolio companies with a weighted average yield on debt investments of 7.2%. For the three months ended March 31, 2022 sales and repayments of investments totaled $103.9 million. For the six months ended March 31, 2022, we invested $448.4 million in 23 new and 65 existing portfolio companies with a weighted average yield on debt investments of 7.7%. For the six months ended March 31, 2022 sales and repayments of investments totaled $342.2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As of March 31, 2023, PSSL’s portfolio totaled $771.4 million and consisted of 103 companies with an average investment size of $7.5 million and had a weighted average yield on debt investments of 11.4%.</w:t>
      </w:r>
    </w:p>
    <w:p>
      <w:pPr>
        <w:spacing w:after="0" w:line="62"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As of September 30, 2022, PSSL’s portfolio totaled $754.7 million, consisted of 95 companies with an average investment size of $8.0 million and had a weighted average yield on debt investments of 9.6%.</w:t>
      </w:r>
    </w:p>
    <w:p>
      <w:pPr>
        <w:spacing w:after="0" w:line="62"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For the three months ended March 31, 2023, PSSL invested $31.0 million (including $27.1 million purchased from the Company) in four new and two existing portfolio companies with a weighted average yield on debt investments of 11.5%. For the three months ended March 31, 2023 sales and repayments of investments totaled $9.2 million. For the six months ended March 31, 2023, PSSL invested $60.6 million (including $45.9 million purchased from the Company) in 11 new and nine existing portfolio companies with a weighted average yield on debt investments of 11.3%. For the six months ended March 31, 2023 sales and repayments of investments totaled $38.0 million.</w:t>
      </w:r>
    </w:p>
    <w:p>
      <w:pPr>
        <w:spacing w:after="0" w:line="83"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the three months ended March 31, 2022, PSSL invested $67.5 million (including $57.7 million purchased from the Company) in nine new and two existing portfolio companies with a weighted average yield on debt investments of 7.2%. For the three months ended March 31, 2022 sales and repayments of investments totaled $5.3 million. For the six months ended March 31, 2022, PSSL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line="307" w:lineRule="auto"/>
        <w:rPr>
          <w:sz w:val="20"/>
          <w:szCs w:val="20"/>
          <w:color w:val="auto"/>
        </w:rPr>
      </w:pPr>
      <w:r>
        <w:rPr>
          <w:rFonts w:ascii="Arial" w:cs="Arial" w:eastAsia="Arial" w:hAnsi="Arial"/>
          <w:sz w:val="17"/>
          <w:szCs w:val="17"/>
          <w:color w:val="auto"/>
        </w:rPr>
        <w:t>invested $197.1 million (including $180.4 million purchased from the Company) in 21 new and eight existing portfolio companies with a weighted average yield on debt investments of 7.8%. For the six months ended March 31, 2022 sales and repayments of investments totaled $55.7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2023 and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For the three and six months ended March 31, 2023 investment income was $34.6 million and $65.9 million, respectively, which was attributable to $30.6 million and $58.2 million from first lien secured debt and $4.0 million and $7.7 million from other investments, respectively. For the three and six months ended March 31, 2022 investment income was $24.6 million and $51.0 million, respectively, which was attributable to $19.9 million and $42.9 million from first lien secured debt and $4.7 million and $8.1 million from other investments, respectively. The increase in investment income compared to the same periods in the prior year was primarily due to the increase in the cost yield of our debt portfolio.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For the three and six months ended March 31, 2023, expenses totaled $17.8 million and $35.4 million, respectively and were comprised of; $9.8 million and $19.6 million of debt related interest and expenses, $2.9 million and $5.8 million of base management fees, $4.2 million and $7.6 million of incentive fees, $0.8 million and $1.7 million of general and administrative expenses and $0.2 million and $0.7 million of taxes. For the three and six months ended March 31, 2022, expenses totaled $13.3 million and $26.9 million, respectively and were comprised of; $6.7 million and $13.3 million of debt related interest and expenses, $2.9 million and $5.8 million of base management fees, $2.7 million and $5.9 million of incentive fees, $0.8 million and $1.6 million of administrative expenses and $0.1 million and $0.2 million of taxes. The increase in expenses compared to the same periods in the prior year was primarily due to the increase in financing costs of our debt liabilities.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the three and six months ended March 31, 2023, net investment income totaled $16.7 million and $30.5 million, or $0.35 and $0.65 per share, respectively. For the three and six months ended March 31, 2022, net investment income totaled $11.4 million and $24.1 million, or $0.29 and $0.61 per share, respectively. The increase in net investment income was primarily due to an increase in investment income partially offset by an increase in expenses compared to the same period in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For the three and six months ended March 31, 2023, net realized gains (losses) totaled $(7.5) million and $(7.5) million, respectively. For the three and six months ended March 31, 2022, net realized gains (losses) totaled $(15.5) million and $(12.3) million, respectively. The change in net realized gains (losses) compared to the same periods in the prior year was primarily due to changes in the market conditions of our investments and the values at which they were realized.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Debt</w:t>
      </w:r>
    </w:p>
    <w:p>
      <w:pPr>
        <w:spacing w:after="0" w:line="121"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For the three and six months ended March 31, 2023, we reported net change in unrealized appreciation (depreciation) on investments of $(4.2) million and $(20.9) million, respectively. For the three and six months ended March 31, 2022, we reported net change in unrealized appreciation (depreciation) on investments of $17.5 million and $14.0 million, respectively. As of March 31, 2023 and September 30, 2022, our net unrealized appreciation (depreciation) on investments totaled $(34.1) million and $(13.1) million, respectively. The net change in unrealized appreciation or depreciation on investments compared to the same periods in the prior year was primarily due to the operating performance of the portfolio companies with the portfolio and changes in the capital market conditions of our investments.</w:t>
      </w:r>
    </w:p>
    <w:p>
      <w:pPr>
        <w:spacing w:after="0" w:line="299"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For the three and six months ended March 31, 2023, our credit facility with Truist (the "Credit Facility") and the 2023 Notes had a net change in unrealized depreciation (appreciation) of $(1.2) million and $0.9 million, respectively. For the three and six months ended March 31, 2022, the Credit Facility and the 2023 Notes had a net change in unrealized (appreciation) depreciation of $(2.4) million and $1.2 million, respectively. As of March 31, 2023 and September 30, 2022, the net unrealized (appreciation) depreciation on the Credit Facility and the 2023 Notes totaled $(3.2) million and $(2.3) million, respectively. The net change in net unrealized appreciation or depreciation compared to the same periods in the prior year was primarily due to changes in the capital markets.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12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the three and six months ended March 31, 2023, the net increase (decrease) in net assets resulting from operations totaled $7.2 million and $5.6 million or $0.15 and $0.12 per share, respectively. For the three and six months ended March 31, 2022, the net increase (decrease) in net assets resulting from operations totaled $7.2 million and $21.7 million or $0.18 and $0.55 per share,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jc w:val="both"/>
        <w:ind w:firstLine="449"/>
        <w:spacing w:after="0" w:line="279" w:lineRule="auto"/>
        <w:rPr>
          <w:sz w:val="20"/>
          <w:szCs w:val="20"/>
          <w:color w:val="auto"/>
        </w:rPr>
      </w:pPr>
      <w:r>
        <w:rPr>
          <w:rFonts w:ascii="Arial" w:cs="Arial" w:eastAsia="Arial" w:hAnsi="Arial"/>
          <w:sz w:val="17"/>
          <w:szCs w:val="17"/>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spacing w:after="0" w:line="6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As of March 31, 2023 and September 30, 2022, we had $151.7 million and $169.7 million in outstanding borrowings under the Credit Facility, respectively and the weighted average interest rate, exclusive of the fee on undrawn commitments, was 7.0% and 4.9%, respectively. As of March 31, 2023 and September 30, 2022, we had $214.3 million and $196.3 million of unused borrowing capacity under the Credit Facility, as applicable, respectively, subject to leverage and borrowing base restrictions.</w:t>
      </w:r>
    </w:p>
    <w:p>
      <w:pPr>
        <w:spacing w:after="0" w:line="77" w:lineRule="exact"/>
        <w:rPr>
          <w:sz w:val="20"/>
          <w:szCs w:val="20"/>
          <w:color w:val="auto"/>
        </w:rPr>
      </w:pPr>
    </w:p>
    <w:p>
      <w:pPr>
        <w:jc w:val="both"/>
        <w:ind w:firstLine="449"/>
        <w:spacing w:after="0" w:line="307" w:lineRule="auto"/>
        <w:rPr>
          <w:sz w:val="20"/>
          <w:szCs w:val="20"/>
          <w:color w:val="auto"/>
        </w:rPr>
      </w:pPr>
      <w:r>
        <w:rPr>
          <w:rFonts w:ascii="Arial" w:cs="Arial" w:eastAsia="Arial" w:hAnsi="Arial"/>
          <w:sz w:val="17"/>
          <w:szCs w:val="17"/>
          <w:color w:val="auto"/>
        </w:rPr>
        <w:t>As of March 31, 2023 and September 30, 2022, we had cash equivalents of $50.2 million and $47.9 million, respectively, available for investing and general corporate purposes. We believe our liquidity and capital resources are sufficient to take advantage of market opportunities.</w:t>
      </w:r>
    </w:p>
    <w:p>
      <w:pPr>
        <w:spacing w:after="0" w:line="3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the six months ended March 31, 2023, our operating activities provided cash of $18.4 million and our financing activities used cash of $16.2 million. Our operating activities provided cash primarily from our investment activities and our financing activities used cash primarily to fund repayments under our Credit Facility and principal repayment of our 2023 Notes.</w:t>
      </w:r>
    </w:p>
    <w:p>
      <w:pPr>
        <w:spacing w:after="0" w:line="75"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For the six months ended March 31, 2022, our operating activities used cash of $102.0 million and our financing activities provided cash of $101.6 million. Our operating activities used cash primarily to fund our investment activities and our financing activities provided cash primarily from the issuance of $85 million of our 2026 Add-on Notes, borrowings under our Credit Facility and proceeds from the issuance of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On April 13, 2023 PSSL through its wholly-owned and consolidated subsidiary, PennantPark CLO VI, LLC (“CLO VI”) closed a $297.8 million debt securitization in the form of a collateralized loan obligation. PSSL retained all of the subordinated notes in the amount of $51.8 million through a consolidated subsidiary. The reinvestment period for the term debt securitization ends in April 2027 and the debt is scheduled to mature in April 2035.</w:t>
      </w:r>
    </w:p>
    <w:p>
      <w:pPr>
        <w:spacing w:after="0" w:line="40"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On April 18, 2023, Dominion Voting Systems (“Dominion”) and Fox News Network (“Fox News”) agreed to settle the defamation lawsuit filed by Dominion against Fox News. As part of the settlement Fox News agreed to pay Dominion $787.5 million. Dominion is a portfolio company of PFLT, which holds a minority equity interest in the company. While Dominion may retain some of the settlement proceeds for corporate purposes, the company communicated its intention to distribute a substantial portion of the proceeds, net of estimated taxes and expenses, to its equity holders and PFLT’s portion is estimated to be approximately $4.0 million. The timing and amount of any distribution is uncertain and subject to change.</w:t>
      </w:r>
    </w:p>
    <w:p>
      <w:pPr>
        <w:spacing w:after="0" w:line="6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Guy Talarico resigned as the Company's Chief Compliance Officer, effective as of the close of business on May 9, 2023. Mr. Talarico's resignation is not a result of any disagreement with the Company’s operations, policies, practices or accounting matters.</w:t>
      </w:r>
    </w:p>
    <w:p>
      <w:pPr>
        <w:spacing w:after="0" w:line="16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On May 9, 2023, the Company’s Board of Directors appointed Frank Galea as Chief Compliance Officer of the Company, effective as of the close of business on May 9, 2023.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During the three and six months ended March 31, 2023, we declared distributions of $0.29 and $0.575 per share for total distributions of $14.0 million and $26.9 million, respectively. For the three and six months ended March 31, 2022, we declared distributions of $0.285 and $0.57 per share for total distributions of $11.3 million and $22.4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makes available on its website its Quarterly Report on Form 10-Q filed with the SEC, and stockholders may find such report on its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ASSETS AND LIABILITIES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4"/>
                <w:szCs w:val="14"/>
                <w:color w:val="auto"/>
              </w:rPr>
            </w:pPr>
          </w:p>
        </w:tc>
        <w:tc>
          <w:tcPr>
            <w:tcW w:w="15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September 30, 2022</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CFF"/>
          </w:tcPr>
          <w:p>
            <w:pPr>
              <w:spacing w:after="0"/>
              <w:rPr>
                <w:sz w:val="14"/>
                <w:szCs w:val="14"/>
                <w:color w:val="auto"/>
              </w:rPr>
            </w:pPr>
          </w:p>
        </w:tc>
        <w:tc>
          <w:tcPr>
            <w:tcW w:w="1360" w:type="dxa"/>
            <w:vAlign w:val="bottom"/>
            <w:tcBorders>
              <w:top w:val="single" w:sz="8" w:color="auto"/>
            </w:tcBorders>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14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 (cost— $874,191 and $882,570, respectively)</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869,595</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893,249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Controlled, affiliated investments (cost— $323,905 and $294,787, respectively)</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294,437</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Total investments (cost— $1,198,096 and $1,177,357, respectively)</w:t>
            </w:r>
          </w:p>
        </w:tc>
        <w:tc>
          <w:tcPr>
            <w:tcW w:w="18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1,164,032</w:t>
            </w: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1,164,254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Cash and cash equivalents (cost— $50,168 and $47,916, respectively)</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50,155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47,880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receivable</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8,825</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7,543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Receivable for investments sold</w:t>
            </w:r>
          </w:p>
        </w:tc>
        <w:tc>
          <w:tcPr>
            <w:tcW w:w="18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3,441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receivable</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635</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1,224,439</w:t>
            </w:r>
          </w:p>
        </w:tc>
        <w:tc>
          <w:tcPr>
            <w:tcW w:w="28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1,223,866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payable</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4,973</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Payable for investments purchased</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13,289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Credit Facility payable, at fair value (cost— $151,654 and $169,654, respectively)</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147,698</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167,563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2023 Notes payable, at fair value (par—$76,219 and $97,006, respectively)</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76,981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2026 Notes payable, net (par—$185,000)</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182,665</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182,276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2031 Asset-Backed Debt, net (par—$228,000)</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226,443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226,128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debt</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8,651</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Base management fee payable</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2,873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Performance-based incentive fee payable</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4,186</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180" w:type="dxa"/>
            <w:vAlign w:val="bottom"/>
            <w:tcBorders>
              <w:bottom w:val="single" w:sz="8" w:color="auto"/>
            </w:tcBorders>
            <w:shd w:val="clear" w:color="auto" w:fill="CCECFF"/>
          </w:tcPr>
          <w:p>
            <w:pPr>
              <w:spacing w:after="0"/>
              <w:rPr>
                <w:sz w:val="15"/>
                <w:szCs w:val="15"/>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370</w:t>
            </w:r>
          </w:p>
        </w:tc>
        <w:tc>
          <w:tcPr>
            <w:tcW w:w="28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7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669,769</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8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Common stock, 49,731,815 and 45,345,638 shares issued and outstanding, respectively</w:t>
            </w:r>
          </w:p>
        </w:tc>
        <w:tc>
          <w:tcPr>
            <w:tcW w:w="18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Paid-in capital in excess of par value</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666,924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618,028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CFF"/>
          </w:tcPr>
          <w:p>
            <w:pPr>
              <w:spacing w:after="0"/>
              <w:rPr>
                <w:sz w:val="15"/>
                <w:szCs w:val="15"/>
                <w:color w:val="auto"/>
              </w:rPr>
            </w:pPr>
          </w:p>
        </w:tc>
        <w:tc>
          <w:tcPr>
            <w:tcW w:w="16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(112,304 )</w:t>
            </w:r>
          </w:p>
        </w:tc>
        <w:tc>
          <w:tcPr>
            <w:tcW w:w="14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(90,981 )</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Arial" w:cs="Arial" w:eastAsia="Arial" w:hAnsi="Arial"/>
                <w:sz w:val="14"/>
                <w:szCs w:val="14"/>
                <w:b w:val="1"/>
                <w:bCs w:val="1"/>
                <w:color w:val="auto"/>
              </w:rPr>
              <w:t>Total net assets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554,669</w:t>
            </w:r>
          </w:p>
        </w:tc>
        <w:tc>
          <w:tcPr>
            <w:tcW w:w="280" w:type="dxa"/>
            <w:vAlign w:val="bottom"/>
            <w:tcBorders>
              <w:top w:val="single" w:sz="8" w:color="CCEC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527,092</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1,224,439</w:t>
            </w:r>
          </w:p>
        </w:tc>
        <w:tc>
          <w:tcPr>
            <w:tcW w:w="2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1,223,866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11.15</w:t>
            </w: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7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-2876550</wp:posOffset>
            </wp:positionV>
            <wp:extent cx="7683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-1532255</wp:posOffset>
            </wp:positionV>
            <wp:extent cx="7683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-753110</wp:posOffset>
            </wp:positionV>
            <wp:extent cx="7683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-513080</wp:posOffset>
            </wp:positionV>
            <wp:extent cx="12160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6025"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0" w:type="dxa"/>
            <w:vAlign w:val="bottom"/>
            <w:gridSpan w:val="6"/>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38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Six Months Ended March 31,</w:t>
            </w:r>
          </w:p>
        </w:tc>
      </w:tr>
      <w:tr>
        <w:trPr>
          <w:trHeight w:val="185"/>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(Unaudited)</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(Unaudited)</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8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7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4"/>
                <w:szCs w:val="14"/>
                <w:color w:val="auto"/>
              </w:rPr>
              <w:t>From non-controlled, non-affiliated investments: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740" w:type="dxa"/>
            <w:vAlign w:val="bottom"/>
            <w:shd w:val="clear" w:color="auto" w:fill="CCECFF"/>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22,717</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16,195</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43,451</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33,052</w:t>
            </w: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Dividend</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635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5"/>
                <w:szCs w:val="15"/>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74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586</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686</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727</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4"/>
                <w:szCs w:val="14"/>
                <w:color w:val="auto"/>
              </w:rPr>
              <w:t>From non-controlled, affiliated investments: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7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740" w:type="dxa"/>
            <w:vAlign w:val="bottom"/>
          </w:tcPr>
          <w:p>
            <w:pPr>
              <w:spacing w:after="0"/>
              <w:rPr>
                <w:sz w:val="15"/>
                <w:szCs w:val="15"/>
                <w:color w:val="auto"/>
              </w:rPr>
            </w:pPr>
          </w:p>
        </w:tc>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From controlled, affiliated investments:</w:t>
            </w:r>
          </w:p>
        </w:tc>
        <w:tc>
          <w:tcPr>
            <w:tcW w:w="74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Interest</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7,642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3,240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14,550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6,405</w:t>
            </w:r>
          </w:p>
        </w:tc>
        <w:tc>
          <w:tcPr>
            <w:tcW w:w="100" w:type="dxa"/>
            <w:vAlign w:val="bottom"/>
          </w:tcPr>
          <w:p>
            <w:pPr>
              <w:spacing w:after="0"/>
              <w:rPr>
                <w:sz w:val="15"/>
                <w:szCs w:val="15"/>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Dividend</w:t>
            </w:r>
          </w:p>
        </w:tc>
        <w:tc>
          <w:tcPr>
            <w:tcW w:w="74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2,975</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3,938</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5,950</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6,738</w:t>
            </w: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740" w:type="dxa"/>
            <w:vAlign w:val="bottom"/>
          </w:tcPr>
          <w:p>
            <w:pPr>
              <w:spacing w:after="0"/>
              <w:rPr>
                <w:sz w:val="15"/>
                <w:szCs w:val="15"/>
                <w:color w:val="auto"/>
              </w:rPr>
            </w:pPr>
          </w:p>
        </w:tc>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58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740" w:type="dxa"/>
            <w:vAlign w:val="bottom"/>
            <w:tcBorders>
              <w:top w:val="single" w:sz="8" w:color="auto"/>
              <w:bottom w:val="single" w:sz="8" w:color="auto"/>
            </w:tcBorders>
            <w:shd w:val="clear" w:color="auto" w:fill="CCECFF"/>
          </w:tcPr>
          <w:p>
            <w:pPr>
              <w:spacing w:after="0"/>
              <w:rPr>
                <w:sz w:val="14"/>
                <w:szCs w:val="14"/>
                <w:color w:val="auto"/>
              </w:rPr>
            </w:pP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3"/>
              </w:rPr>
              <w:t>34,555</w:t>
            </w:r>
          </w:p>
        </w:tc>
        <w:tc>
          <w:tcPr>
            <w:tcW w:w="26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24,636</w:t>
            </w:r>
          </w:p>
        </w:tc>
        <w:tc>
          <w:tcPr>
            <w:tcW w:w="24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65,890</w:t>
            </w:r>
          </w:p>
        </w:tc>
        <w:tc>
          <w:tcPr>
            <w:tcW w:w="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50,971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Base management fee</w:t>
            </w:r>
          </w:p>
        </w:tc>
        <w:tc>
          <w:tcPr>
            <w:tcW w:w="74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2,873</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2,945</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5,804</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5,841</w:t>
            </w: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Performance-based incentive fee</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4,186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7,619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5,885</w:t>
            </w:r>
          </w:p>
        </w:tc>
        <w:tc>
          <w:tcPr>
            <w:tcW w:w="100" w:type="dxa"/>
            <w:vAlign w:val="bottom"/>
          </w:tcPr>
          <w:p>
            <w:pPr>
              <w:spacing w:after="0"/>
              <w:rPr>
                <w:sz w:val="15"/>
                <w:szCs w:val="15"/>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and expenses on debt</w:t>
            </w:r>
          </w:p>
        </w:tc>
        <w:tc>
          <w:tcPr>
            <w:tcW w:w="74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9,752</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6,705</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19,610</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13,344</w:t>
            </w: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5"/>
                <w:szCs w:val="15"/>
                <w:color w:val="auto"/>
              </w:rPr>
            </w:pPr>
          </w:p>
        </w:tc>
      </w:tr>
      <w:tr>
        <w:trPr>
          <w:trHeight w:val="175"/>
        </w:trPr>
        <w:tc>
          <w:tcPr>
            <w:tcW w:w="58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740" w:type="dxa"/>
            <w:vAlign w:val="bottom"/>
            <w:tcBorders>
              <w:bottom w:val="single" w:sz="8" w:color="auto"/>
            </w:tcBorders>
            <w:shd w:val="clear" w:color="auto" w:fill="CCECFF"/>
          </w:tcPr>
          <w:p>
            <w:pPr>
              <w:spacing w:after="0"/>
              <w:rPr>
                <w:sz w:val="15"/>
                <w:szCs w:val="15"/>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705</w:t>
            </w:r>
          </w:p>
        </w:tc>
        <w:tc>
          <w:tcPr>
            <w:tcW w:w="26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655</w:t>
            </w:r>
          </w:p>
        </w:tc>
        <w:tc>
          <w:tcPr>
            <w:tcW w:w="2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22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5840" w:type="dxa"/>
            <w:vAlign w:val="bottom"/>
          </w:tcPr>
          <w:p>
            <w:pPr>
              <w:ind w:left="200"/>
              <w:spacing w:after="0"/>
              <w:rPr>
                <w:sz w:val="20"/>
                <w:szCs w:val="20"/>
                <w:color w:val="auto"/>
              </w:rPr>
            </w:pPr>
            <w:r>
              <w:rPr>
                <w:rFonts w:ascii="Arial" w:cs="Arial" w:eastAsia="Arial" w:hAnsi="Arial"/>
                <w:sz w:val="14"/>
                <w:szCs w:val="14"/>
                <w:b w:val="1"/>
                <w:bCs w:val="1"/>
                <w:color w:val="auto"/>
              </w:rPr>
              <w:t>Expenses before provision for taxes</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17,660</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34,731</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26,666</w:t>
            </w:r>
          </w:p>
        </w:tc>
        <w:tc>
          <w:tcPr>
            <w:tcW w:w="100" w:type="dxa"/>
            <w:vAlign w:val="bottom"/>
          </w:tcPr>
          <w:p>
            <w:pPr>
              <w:spacing w:after="0"/>
              <w:rPr>
                <w:sz w:val="14"/>
                <w:szCs w:val="14"/>
                <w:color w:val="auto"/>
              </w:rPr>
            </w:pPr>
          </w:p>
        </w:tc>
      </w:tr>
      <w:tr>
        <w:trPr>
          <w:trHeight w:val="169"/>
        </w:trPr>
        <w:tc>
          <w:tcPr>
            <w:tcW w:w="58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Provision for taxes on net investment income</w:t>
            </w:r>
          </w:p>
        </w:tc>
        <w:tc>
          <w:tcPr>
            <w:tcW w:w="74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w:t>
            </w:r>
          </w:p>
        </w:tc>
        <w:tc>
          <w:tcPr>
            <w:tcW w:w="26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684</w:t>
            </w:r>
          </w:p>
        </w:tc>
        <w:tc>
          <w:tcPr>
            <w:tcW w:w="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840" w:type="dxa"/>
            <w:vAlign w:val="bottom"/>
          </w:tcPr>
          <w:p>
            <w:pPr>
              <w:ind w:left="200"/>
              <w:spacing w:after="0"/>
              <w:rPr>
                <w:sz w:val="20"/>
                <w:szCs w:val="20"/>
                <w:color w:val="auto"/>
              </w:rPr>
            </w:pPr>
            <w:r>
              <w:rPr>
                <w:rFonts w:ascii="Arial" w:cs="Arial" w:eastAsia="Arial" w:hAnsi="Arial"/>
                <w:sz w:val="14"/>
                <w:szCs w:val="14"/>
                <w:b w:val="1"/>
                <w:bCs w:val="1"/>
                <w:color w:val="auto"/>
              </w:rPr>
              <w:t>Total expenses</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17,810</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35,415</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26,866</w:t>
            </w:r>
          </w:p>
        </w:tc>
        <w:tc>
          <w:tcPr>
            <w:tcW w:w="100" w:type="dxa"/>
            <w:vAlign w:val="bottom"/>
          </w:tcPr>
          <w:p>
            <w:pPr>
              <w:spacing w:after="0"/>
              <w:rPr>
                <w:sz w:val="14"/>
                <w:szCs w:val="14"/>
                <w:color w:val="auto"/>
              </w:rPr>
            </w:pPr>
          </w:p>
        </w:tc>
      </w:tr>
      <w:tr>
        <w:trPr>
          <w:trHeight w:val="169"/>
        </w:trPr>
        <w:tc>
          <w:tcPr>
            <w:tcW w:w="58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74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3"/>
              </w:rPr>
              <w:t>16,745</w:t>
            </w:r>
          </w:p>
        </w:tc>
        <w:tc>
          <w:tcPr>
            <w:tcW w:w="26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11,383</w:t>
            </w:r>
          </w:p>
        </w:tc>
        <w:tc>
          <w:tcPr>
            <w:tcW w:w="24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30,475</w:t>
            </w:r>
          </w:p>
        </w:tc>
        <w:tc>
          <w:tcPr>
            <w:tcW w:w="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24,105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Realized and unrealized gain (loss) on investments and debt:</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gain (loss) on:</w:t>
            </w:r>
          </w:p>
        </w:tc>
        <w:tc>
          <w:tcPr>
            <w:tcW w:w="74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740" w:type="dxa"/>
            <w:vAlign w:val="bottom"/>
          </w:tcPr>
          <w:p>
            <w:pPr>
              <w:spacing w:after="0"/>
              <w:rPr>
                <w:sz w:val="15"/>
                <w:szCs w:val="15"/>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color w:val="auto"/>
                <w:w w:val="95"/>
              </w:rPr>
              <w:t>(7,518 )</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6,920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(7,455 )</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9,993</w:t>
            </w:r>
          </w:p>
        </w:tc>
        <w:tc>
          <w:tcPr>
            <w:tcW w:w="100" w:type="dxa"/>
            <w:vAlign w:val="bottom"/>
          </w:tcPr>
          <w:p>
            <w:pPr>
              <w:spacing w:after="0"/>
              <w:rPr>
                <w:sz w:val="15"/>
                <w:szCs w:val="15"/>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7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(22,380 )</w:t>
            </w:r>
          </w:p>
        </w:tc>
        <w:tc>
          <w:tcPr>
            <w:tcW w:w="2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(22,315 )</w:t>
            </w: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Provision for taxes on realized gain on investments</w:t>
            </w:r>
          </w:p>
        </w:tc>
        <w:tc>
          <w:tcPr>
            <w:tcW w:w="740" w:type="dxa"/>
            <w:vAlign w:val="bottom"/>
          </w:tcPr>
          <w:p>
            <w:pPr>
              <w:spacing w:after="0"/>
              <w:rPr>
                <w:sz w:val="15"/>
                <w:szCs w:val="15"/>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color w:val="auto"/>
              </w:rPr>
              <w:t>(300 )</w:t>
            </w:r>
          </w:p>
        </w:tc>
        <w:tc>
          <w:tcPr>
            <w:tcW w:w="34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(300 )</w:t>
            </w:r>
          </w:p>
        </w:tc>
        <w:tc>
          <w:tcPr>
            <w:tcW w:w="34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58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realized gain (loss) on investments</w:t>
            </w:r>
          </w:p>
        </w:tc>
        <w:tc>
          <w:tcPr>
            <w:tcW w:w="740" w:type="dxa"/>
            <w:vAlign w:val="bottom"/>
            <w:tcBorders>
              <w:top w:val="single" w:sz="8" w:color="auto"/>
              <w:bottom w:val="single" w:sz="8" w:color="auto"/>
            </w:tcBorders>
            <w:shd w:val="clear" w:color="auto" w:fill="CCECFF"/>
          </w:tcPr>
          <w:p>
            <w:pPr>
              <w:spacing w:after="0"/>
              <w:rPr>
                <w:sz w:val="14"/>
                <w:szCs w:val="14"/>
                <w:color w:val="auto"/>
              </w:rPr>
            </w:pP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(7,818</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(15,460</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(7,755</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(12,322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color w:val="auto"/>
              </w:rPr>
              <w:t>Net change in unrealized appreciation (depreciation) on:</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7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w w:val="95"/>
              </w:rPr>
              <w:t>(2,561 )</w:t>
            </w:r>
          </w:p>
        </w:tc>
        <w:tc>
          <w:tcPr>
            <w:tcW w:w="3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(5,425 )</w:t>
            </w:r>
          </w:p>
        </w:tc>
        <w:tc>
          <w:tcPr>
            <w:tcW w:w="2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(15,254 )</w:t>
            </w:r>
          </w:p>
        </w:tc>
        <w:tc>
          <w:tcPr>
            <w:tcW w:w="34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(1,038 )</w:t>
            </w: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Controlled and non-controlled, affiliated investments</w:t>
            </w:r>
          </w:p>
        </w:tc>
        <w:tc>
          <w:tcPr>
            <w:tcW w:w="740" w:type="dxa"/>
            <w:vAlign w:val="bottom"/>
          </w:tcPr>
          <w:p>
            <w:pPr>
              <w:spacing w:after="0"/>
              <w:rPr>
                <w:sz w:val="15"/>
                <w:szCs w:val="15"/>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color w:val="auto"/>
                <w:w w:val="95"/>
              </w:rPr>
              <w:t>(1,618 )</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22,913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(5,682 )</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15,029</w:t>
            </w:r>
          </w:p>
        </w:tc>
        <w:tc>
          <w:tcPr>
            <w:tcW w:w="100" w:type="dxa"/>
            <w:vAlign w:val="bottom"/>
          </w:tcPr>
          <w:p>
            <w:pPr>
              <w:spacing w:after="0"/>
              <w:rPr>
                <w:sz w:val="15"/>
                <w:szCs w:val="15"/>
                <w:color w:val="auto"/>
              </w:rPr>
            </w:pPr>
          </w:p>
        </w:tc>
      </w:tr>
      <w:tr>
        <w:trPr>
          <w:trHeight w:val="175"/>
        </w:trPr>
        <w:tc>
          <w:tcPr>
            <w:tcW w:w="58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Provision for taxes on unrealized appreciation (depreciation) on investments</w:t>
            </w:r>
          </w:p>
        </w:tc>
        <w:tc>
          <w:tcPr>
            <w:tcW w:w="74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3,654</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(3,800 )</w:t>
            </w: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2,929</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(5,340 )</w:t>
            </w:r>
          </w:p>
        </w:tc>
      </w:tr>
      <w:tr>
        <w:trPr>
          <w:trHeight w:val="175"/>
        </w:trPr>
        <w:tc>
          <w:tcPr>
            <w:tcW w:w="5840" w:type="dxa"/>
            <w:vAlign w:val="bottom"/>
          </w:tcPr>
          <w:p>
            <w:pPr>
              <w:ind w:left="200"/>
              <w:spacing w:after="0"/>
              <w:rPr>
                <w:sz w:val="20"/>
                <w:szCs w:val="20"/>
                <w:color w:val="auto"/>
              </w:rPr>
            </w:pPr>
            <w:r>
              <w:rPr>
                <w:rFonts w:ascii="Arial" w:cs="Arial" w:eastAsia="Arial" w:hAnsi="Arial"/>
                <w:sz w:val="14"/>
                <w:szCs w:val="14"/>
                <w:color w:val="auto"/>
              </w:rPr>
              <w:t>Debt (appreciation) depreciation</w:t>
            </w:r>
          </w:p>
        </w:tc>
        <w:tc>
          <w:tcPr>
            <w:tcW w:w="740" w:type="dxa"/>
            <w:vAlign w:val="bottom"/>
          </w:tcPr>
          <w:p>
            <w:pPr>
              <w:spacing w:after="0"/>
              <w:rPr>
                <w:sz w:val="15"/>
                <w:szCs w:val="15"/>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color w:val="auto"/>
                <w:w w:val="95"/>
              </w:rPr>
              <w:t>(1,158 )</w:t>
            </w:r>
          </w:p>
        </w:tc>
        <w:tc>
          <w:tcPr>
            <w:tcW w:w="34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(2,363 )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5"/>
                <w:szCs w:val="15"/>
                <w:color w:val="auto"/>
              </w:rPr>
            </w:pPr>
          </w:p>
        </w:tc>
      </w:tr>
      <w:tr>
        <w:trPr>
          <w:trHeight w:val="169"/>
        </w:trPr>
        <w:tc>
          <w:tcPr>
            <w:tcW w:w="58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740" w:type="dxa"/>
            <w:vAlign w:val="bottom"/>
            <w:tcBorders>
              <w:top w:val="single" w:sz="8" w:color="auto"/>
              <w:bottom w:val="single" w:sz="8" w:color="auto"/>
            </w:tcBorders>
            <w:shd w:val="clear" w:color="auto" w:fill="CCECFF"/>
          </w:tcPr>
          <w:p>
            <w:pPr>
              <w:spacing w:after="0"/>
              <w:rPr>
                <w:sz w:val="14"/>
                <w:szCs w:val="14"/>
                <w:color w:val="auto"/>
              </w:rPr>
            </w:pP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(1,683</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11,325</w:t>
            </w:r>
          </w:p>
        </w:tc>
        <w:tc>
          <w:tcPr>
            <w:tcW w:w="24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(17,098</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9,898</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740" w:type="dxa"/>
            <w:vAlign w:val="bottom"/>
          </w:tcPr>
          <w:p>
            <w:pPr>
              <w:spacing w:after="0"/>
              <w:rPr>
                <w:sz w:val="14"/>
                <w:szCs w:val="14"/>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color w:val="auto"/>
                <w:w w:val="95"/>
              </w:rPr>
              <w:t>(9,501 )</w:t>
            </w:r>
          </w:p>
        </w:tc>
        <w:tc>
          <w:tcPr>
            <w:tcW w:w="3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(4,135 )</w:t>
            </w:r>
          </w:p>
        </w:tc>
        <w:tc>
          <w:tcPr>
            <w:tcW w:w="220" w:type="dxa"/>
            <w:vAlign w:val="bottom"/>
          </w:tcPr>
          <w:p>
            <w:pPr>
              <w:spacing w:after="0"/>
              <w:rPr>
                <w:sz w:val="14"/>
                <w:szCs w:val="14"/>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(24,853 )</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(2,424 )</w:t>
            </w:r>
          </w:p>
        </w:tc>
      </w:tr>
      <w:tr>
        <w:trPr>
          <w:trHeight w:val="209"/>
        </w:trPr>
        <w:tc>
          <w:tcPr>
            <w:tcW w:w="5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740" w:type="dxa"/>
            <w:vAlign w:val="bottom"/>
            <w:tcBorders>
              <w:top w:val="single" w:sz="8" w:color="auto"/>
              <w:bottom w:val="single" w:sz="8" w:color="auto"/>
            </w:tcBorders>
            <w:shd w:val="clear" w:color="auto" w:fill="CCECFF"/>
          </w:tcPr>
          <w:p>
            <w:pPr>
              <w:spacing w:after="0"/>
              <w:rPr>
                <w:sz w:val="18"/>
                <w:szCs w:val="18"/>
                <w:color w:val="auto"/>
              </w:rPr>
            </w:pP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7,244</w:t>
            </w:r>
          </w:p>
        </w:tc>
        <w:tc>
          <w:tcPr>
            <w:tcW w:w="26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top w:val="single" w:sz="8" w:color="auto"/>
              <w:bottom w:val="single" w:sz="8" w:color="auto"/>
            </w:tcBorders>
            <w:shd w:val="clear" w:color="auto" w:fill="CCECFF"/>
          </w:tcPr>
          <w:p>
            <w:pPr>
              <w:spacing w:after="0"/>
              <w:rPr>
                <w:sz w:val="18"/>
                <w:szCs w:val="18"/>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7,248</w:t>
            </w:r>
          </w:p>
        </w:tc>
        <w:tc>
          <w:tcPr>
            <w:tcW w:w="2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5,622</w:t>
            </w:r>
          </w:p>
        </w:tc>
        <w:tc>
          <w:tcPr>
            <w:tcW w:w="22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top w:val="single" w:sz="8" w:color="auto"/>
              <w:bottom w:val="single" w:sz="8" w:color="auto"/>
            </w:tcBorders>
            <w:shd w:val="clear" w:color="auto" w:fill="CCECFF"/>
          </w:tcPr>
          <w:p>
            <w:pPr>
              <w:spacing w:after="0"/>
              <w:rPr>
                <w:sz w:val="18"/>
                <w:szCs w:val="18"/>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21,681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58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increase (decrease) in net assets resulting from operations per common share</w:t>
            </w:r>
          </w:p>
        </w:tc>
        <w:tc>
          <w:tcPr>
            <w:tcW w:w="740" w:type="dxa"/>
            <w:vAlign w:val="bottom"/>
            <w:tcBorders>
              <w:bottom w:val="single" w:sz="8" w:color="auto"/>
            </w:tcBorders>
          </w:tcPr>
          <w:p>
            <w:pPr>
              <w:jc w:val="right"/>
              <w:ind w:right="568"/>
              <w:spacing w:after="0" w:line="156"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0.15</w:t>
            </w:r>
          </w:p>
        </w:tc>
        <w:tc>
          <w:tcPr>
            <w:tcW w:w="26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0.18</w:t>
            </w:r>
          </w:p>
        </w:tc>
        <w:tc>
          <w:tcPr>
            <w:tcW w:w="24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0.12</w:t>
            </w:r>
          </w:p>
        </w:tc>
        <w:tc>
          <w:tcPr>
            <w:tcW w:w="22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0.55</w:t>
            </w:r>
          </w:p>
        </w:tc>
        <w:tc>
          <w:tcPr>
            <w:tcW w:w="100" w:type="dxa"/>
            <w:vAlign w:val="bottom"/>
          </w:tcPr>
          <w:p>
            <w:pPr>
              <w:spacing w:after="0"/>
              <w:rPr>
                <w:sz w:val="13"/>
                <w:szCs w:val="13"/>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40" w:type="dxa"/>
            <w:vAlign w:val="bottom"/>
            <w:tcBorders>
              <w:bottom w:val="single" w:sz="8" w:color="CCECFF"/>
            </w:tcBorders>
            <w:shd w:val="clear" w:color="auto" w:fill="CCECFF"/>
          </w:tcPr>
          <w:p>
            <w:pPr>
              <w:ind w:left="20"/>
              <w:spacing w:after="0" w:line="156" w:lineRule="exact"/>
              <w:rPr>
                <w:sz w:val="20"/>
                <w:szCs w:val="20"/>
                <w:color w:val="auto"/>
              </w:rPr>
            </w:pPr>
            <w:r>
              <w:rPr>
                <w:rFonts w:ascii="Arial" w:cs="Arial" w:eastAsia="Arial" w:hAnsi="Arial"/>
                <w:sz w:val="14"/>
                <w:szCs w:val="14"/>
                <w:color w:val="auto"/>
              </w:rPr>
              <w:t>Net investment income per common share</w:t>
            </w:r>
          </w:p>
        </w:tc>
        <w:tc>
          <w:tcPr>
            <w:tcW w:w="740" w:type="dxa"/>
            <w:vAlign w:val="bottom"/>
            <w:tcBorders>
              <w:bottom w:val="single" w:sz="8" w:color="auto"/>
            </w:tcBorders>
            <w:shd w:val="clear" w:color="auto" w:fill="CCECFF"/>
          </w:tcPr>
          <w:p>
            <w:pPr>
              <w:jc w:val="right"/>
              <w:ind w:right="568"/>
              <w:spacing w:after="0" w:line="156"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0.35</w:t>
            </w:r>
          </w:p>
        </w:tc>
        <w:tc>
          <w:tcPr>
            <w:tcW w:w="26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jc w:val="right"/>
              <w:ind w:right="18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0.29</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0.65</w:t>
            </w:r>
          </w:p>
        </w:tc>
        <w:tc>
          <w:tcPr>
            <w:tcW w:w="22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jc w:val="right"/>
              <w:ind w:right="18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0.61</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729"/>
        </w:trPr>
        <w:tc>
          <w:tcPr>
            <w:tcW w:w="5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-3552825</wp:posOffset>
            </wp:positionV>
            <wp:extent cx="7683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-3552825</wp:posOffset>
            </wp:positionV>
            <wp:extent cx="6858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-3552825</wp:posOffset>
            </wp:positionV>
            <wp:extent cx="6858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-3552825</wp:posOffset>
            </wp:positionV>
            <wp:extent cx="6858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-2876550</wp:posOffset>
            </wp:positionV>
            <wp:extent cx="7683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-2876550</wp:posOffset>
            </wp:positionV>
            <wp:extent cx="6858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-2876550</wp:posOffset>
            </wp:positionV>
            <wp:extent cx="6858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-2636520</wp:posOffset>
            </wp:positionV>
            <wp:extent cx="7683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-2636520</wp:posOffset>
            </wp:positionV>
            <wp:extent cx="68580"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-2636520</wp:posOffset>
            </wp:positionV>
            <wp:extent cx="68580"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-2636520</wp:posOffset>
            </wp:positionV>
            <wp:extent cx="68580"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-2397125</wp:posOffset>
            </wp:positionV>
            <wp:extent cx="7683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-2397125</wp:posOffset>
            </wp:positionV>
            <wp:extent cx="6858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-2397125</wp:posOffset>
            </wp:positionV>
            <wp:extent cx="6858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-2397125</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-1711960</wp:posOffset>
            </wp:positionV>
            <wp:extent cx="76835"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-1711960</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-1711960</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-1026795</wp:posOffset>
            </wp:positionV>
            <wp:extent cx="76835" cy="128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-1026795</wp:posOffset>
            </wp:positionV>
            <wp:extent cx="68580"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-1026795</wp:posOffset>
            </wp:positionV>
            <wp:extent cx="68580"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-787400</wp:posOffset>
            </wp:positionV>
            <wp:extent cx="268859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8590" cy="16256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-513080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-495935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-513080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-495935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-513080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-495935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229"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PennantPark Floating Rate Capital Ltd., or the Company, is a business development company that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229"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color w:val="auto"/>
        </w:rPr>
        <w:t>PennantPark Investment Advisers, LLC is a leading middle-market credit platform, managing $6.2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59"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9"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4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CONTACT:</w:t>
        <w:tab/>
        <w:t>Richard T. Allorto, Jr.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PennantPark Floating Rate Capital Ltd.</w:t>
      </w:r>
    </w:p>
    <w:p>
      <w:pPr>
        <w:spacing w:after="0" w:line="22" w:lineRule="exact"/>
        <w:rPr>
          <w:sz w:val="20"/>
          <w:szCs w:val="20"/>
          <w:color w:val="auto"/>
        </w:rPr>
      </w:pPr>
    </w:p>
    <w:p>
      <w:pPr>
        <w:ind w:left="1160" w:right="8420" w:hanging="6"/>
        <w:spacing w:after="0" w:line="358" w:lineRule="auto"/>
        <w:tabs>
          <w:tab w:leader="none" w:pos="159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905-1000 </w:t>
      </w:r>
      <w:r>
        <w:rPr>
          <w:rFonts w:ascii="Arial" w:cs="Arial" w:eastAsia="Arial" w:hAnsi="Arial"/>
          <w:sz w:val="16"/>
          <w:szCs w:val="16"/>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jc w:val="center"/>
              <w:ind w:left="206"/>
              <w:spacing w:after="0" w:line="109" w:lineRule="exact"/>
              <w:rPr>
                <w:sz w:val="20"/>
                <w:szCs w:val="20"/>
                <w:color w:val="auto"/>
              </w:rPr>
            </w:pPr>
            <w:r>
              <w:rPr>
                <w:rFonts w:ascii="Arial" w:cs="Arial" w:eastAsia="Arial" w:hAnsi="Arial"/>
                <w:sz w:val="11"/>
                <w:szCs w:val="11"/>
                <w:b w:val="1"/>
                <w:bCs w:val="1"/>
                <w:color w:val="auto"/>
                <w:w w:val="95"/>
              </w:rPr>
              <w:t>Current</w:t>
            </w:r>
          </w:p>
        </w:tc>
        <w:tc>
          <w:tcPr>
            <w:tcW w:w="11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1020" w:type="dxa"/>
            <w:vAlign w:val="bottom"/>
          </w:tcPr>
          <w:p>
            <w:pPr>
              <w:jc w:val="center"/>
              <w:ind w:right="26"/>
              <w:spacing w:after="0" w:line="109" w:lineRule="exact"/>
              <w:rPr>
                <w:sz w:val="20"/>
                <w:szCs w:val="20"/>
                <w:color w:val="auto"/>
              </w:rPr>
            </w:pPr>
            <w:r>
              <w:rPr>
                <w:rFonts w:ascii="Arial" w:cs="Arial" w:eastAsia="Arial" w:hAnsi="Arial"/>
                <w:sz w:val="11"/>
                <w:szCs w:val="11"/>
                <w:b w:val="1"/>
                <w:bCs w:val="1"/>
                <w:color w:val="auto"/>
                <w:w w:val="92"/>
              </w:rPr>
              <w:t>Par /</w:t>
            </w:r>
          </w:p>
        </w:tc>
        <w:tc>
          <w:tcPr>
            <w:tcW w:w="900" w:type="dxa"/>
            <w:vAlign w:val="bottom"/>
          </w:tcPr>
          <w:p>
            <w:pPr>
              <w:spacing w:after="0"/>
              <w:rPr>
                <w:sz w:val="9"/>
                <w:szCs w:val="9"/>
                <w:color w:val="auto"/>
              </w:rPr>
            </w:pPr>
          </w:p>
        </w:tc>
        <w:tc>
          <w:tcPr>
            <w:tcW w:w="92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65"/>
        </w:trPr>
        <w:tc>
          <w:tcPr>
            <w:tcW w:w="18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2280" w:type="dxa"/>
            <w:vAlign w:val="bottom"/>
          </w:tcPr>
          <w:p>
            <w:pPr>
              <w:ind w:left="1300"/>
              <w:spacing w:after="0"/>
              <w:rPr>
                <w:sz w:val="20"/>
                <w:szCs w:val="20"/>
                <w:color w:val="auto"/>
              </w:rPr>
            </w:pPr>
            <w:r>
              <w:rPr>
                <w:rFonts w:ascii="Arial" w:cs="Arial" w:eastAsia="Arial" w:hAnsi="Arial"/>
                <w:sz w:val="11"/>
                <w:szCs w:val="11"/>
                <w:b w:val="1"/>
                <w:bCs w:val="1"/>
                <w:color w:val="auto"/>
              </w:rPr>
              <w:t>Maturity</w:t>
            </w:r>
          </w:p>
        </w:tc>
        <w:tc>
          <w:tcPr>
            <w:tcW w:w="1540" w:type="dxa"/>
            <w:vAlign w:val="bottom"/>
          </w:tcPr>
          <w:p>
            <w:pPr>
              <w:ind w:left="560"/>
              <w:spacing w:after="0"/>
              <w:rPr>
                <w:sz w:val="20"/>
                <w:szCs w:val="20"/>
                <w:color w:val="auto"/>
              </w:rPr>
            </w:pPr>
            <w:r>
              <w:rPr>
                <w:rFonts w:ascii="Arial" w:cs="Arial" w:eastAsia="Arial" w:hAnsi="Arial"/>
                <w:sz w:val="11"/>
                <w:szCs w:val="11"/>
                <w:b w:val="1"/>
                <w:bCs w:val="1"/>
                <w:color w:val="auto"/>
              </w:rPr>
              <w:t>Industry</w:t>
            </w:r>
          </w:p>
        </w:tc>
        <w:tc>
          <w:tcPr>
            <w:tcW w:w="1280" w:type="dxa"/>
            <w:vAlign w:val="bottom"/>
          </w:tcPr>
          <w:p>
            <w:pPr>
              <w:jc w:val="center"/>
              <w:ind w:left="246"/>
              <w:spacing w:after="0"/>
              <w:rPr>
                <w:sz w:val="20"/>
                <w:szCs w:val="20"/>
                <w:color w:val="auto"/>
              </w:rPr>
            </w:pPr>
            <w:r>
              <w:rPr>
                <w:rFonts w:ascii="Arial" w:cs="Arial" w:eastAsia="Arial" w:hAnsi="Arial"/>
                <w:sz w:val="11"/>
                <w:szCs w:val="11"/>
                <w:b w:val="1"/>
                <w:bCs w:val="1"/>
                <w:color w:val="auto"/>
                <w:w w:val="91"/>
              </w:rPr>
              <w:t>Coupon</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102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Shares</w:t>
            </w:r>
          </w:p>
        </w:tc>
        <w:tc>
          <w:tcPr>
            <w:tcW w:w="900" w:type="dxa"/>
            <w:vAlign w:val="bottom"/>
          </w:tcPr>
          <w:p>
            <w:pPr>
              <w:ind w:left="380"/>
              <w:spacing w:after="0"/>
              <w:rPr>
                <w:sz w:val="20"/>
                <w:szCs w:val="20"/>
                <w:color w:val="auto"/>
              </w:rPr>
            </w:pPr>
            <w:r>
              <w:rPr>
                <w:rFonts w:ascii="Arial" w:cs="Arial" w:eastAsia="Arial" w:hAnsi="Arial"/>
                <w:sz w:val="11"/>
                <w:szCs w:val="11"/>
                <w:b w:val="1"/>
                <w:bCs w:val="1"/>
                <w:color w:val="auto"/>
              </w:rPr>
              <w:t>Cost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7063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b w:val="1"/>
          <w:bCs w:val="1"/>
          <w:color w:val="auto"/>
        </w:rPr>
        <w:t xml:space="preserve">Investments in Non-Controlled, Non-Affiliated Portfolio Companies—156.8% </w:t>
      </w:r>
      <w:r>
        <w:rPr>
          <w:rFonts w:ascii="Arial" w:cs="Arial" w:eastAsia="Arial" w:hAnsi="Arial"/>
          <w:sz w:val="14"/>
          <w:szCs w:val="14"/>
          <w:b w:val="1"/>
          <w:bCs w:val="1"/>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3232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b w:val="1"/>
          <w:bCs w:val="1"/>
          <w:color w:val="auto"/>
        </w:rPr>
        <w:t>First Lien Secured Debt—138.1%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0" w:type="dxa"/>
            <w:vAlign w:val="bottom"/>
          </w:tcPr>
          <w:p>
            <w:pPr>
              <w:spacing w:after="0"/>
              <w:rPr>
                <w:sz w:val="20"/>
                <w:szCs w:val="20"/>
                <w:color w:val="auto"/>
              </w:rPr>
            </w:pPr>
            <w:r>
              <w:rPr>
                <w:rFonts w:ascii="Arial" w:cs="Arial" w:eastAsia="Arial" w:hAnsi="Arial"/>
                <w:sz w:val="11"/>
                <w:szCs w:val="11"/>
                <w:color w:val="auto"/>
              </w:rPr>
              <w:t>A1 Garage Merger Sub,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12/22/2028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11.49 %</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Arial" w:cs="Arial" w:eastAsia="Arial" w:hAnsi="Arial"/>
                <w:sz w:val="11"/>
                <w:szCs w:val="11"/>
                <w:color w:val="auto"/>
              </w:rPr>
              <w:t>A1 Garage Merger Sub, LLC - Unfunded Term Loan</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12/21/2024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A1 Garage Merger Sub, LLC LLC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12/22/2028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Ad.net Acquisition,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05/07/2026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11.16 %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05/07/2026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11.16 %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05/07/2026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IT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10.33 %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IT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10.55 %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IT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06/08/2023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Telecommunications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04/07/2023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Telecommunications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21"/>
        </w:trPr>
        <w:tc>
          <w:tcPr>
            <w:tcW w:w="3000" w:type="dxa"/>
            <w:vAlign w:val="bottom"/>
          </w:tcPr>
          <w:p>
            <w:pPr>
              <w:spacing w:after="0" w:line="122" w:lineRule="exact"/>
              <w:rPr>
                <w:sz w:val="20"/>
                <w:szCs w:val="20"/>
                <w:color w:val="auto"/>
              </w:rPr>
            </w:pPr>
            <w:r>
              <w:rPr>
                <w:rFonts w:ascii="Arial" w:cs="Arial" w:eastAsia="Arial" w:hAnsi="Arial"/>
                <w:sz w:val="11"/>
                <w:szCs w:val="11"/>
                <w:color w:val="auto"/>
              </w:rPr>
              <w:t>Amsive Holding Corporation (f/k/a Vision Purchaser</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06/10/2025</w:t>
            </w:r>
          </w:p>
        </w:tc>
        <w:tc>
          <w:tcPr>
            <w:tcW w:w="22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3"/>
              </w:rPr>
              <w:t>Media</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00" w:type="dxa"/>
            <w:vAlign w:val="bottom"/>
          </w:tcPr>
          <w:p>
            <w:pPr>
              <w:spacing w:after="0"/>
              <w:rPr>
                <w:sz w:val="20"/>
                <w:szCs w:val="20"/>
                <w:color w:val="auto"/>
              </w:rPr>
            </w:pPr>
            <w:r>
              <w:rPr>
                <w:rFonts w:ascii="Arial" w:cs="Arial" w:eastAsia="Arial" w:hAnsi="Arial"/>
                <w:sz w:val="11"/>
                <w:szCs w:val="11"/>
                <w:color w:val="auto"/>
              </w:rPr>
              <w:t>Corporation)</w:t>
            </w:r>
          </w:p>
        </w:tc>
        <w:tc>
          <w:tcPr>
            <w:tcW w:w="8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11.30 %</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1"/>
                <w:szCs w:val="11"/>
                <w:color w:val="auto"/>
              </w:rPr>
              <w:t>Anteriad, LLC (f/k/a MeritDirect,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05/23/2024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10.55 %</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Arial" w:cs="Arial" w:eastAsia="Arial" w:hAnsi="Arial"/>
                <w:sz w:val="11"/>
                <w:szCs w:val="11"/>
                <w:color w:val="auto"/>
                <w:w w:val="97"/>
              </w:rPr>
              <w:t>Anteriad, LLC (f/k/a MeritDirect, LLC) - Incremental Term Loan</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05/23/2024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11.46 %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Anteriad, LLC (f/k/a MeritDirect, LLC)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05/23/2024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Any Hour Services</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07/21/2027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7"/>
              </w:rPr>
              <w:t>Energy Equipment and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10.45 %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07/21/2027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7"/>
              </w:rPr>
              <w:t>Energy Equipment and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300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9.46 %</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1"/>
                <w:szCs w:val="11"/>
                <w:color w:val="auto"/>
              </w:rPr>
              <w:t>Apex Service Partners, LLC Term Loan B</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10.75 %</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Arial" w:cs="Arial" w:eastAsia="Arial" w:hAnsi="Arial"/>
                <w:sz w:val="11"/>
                <w:szCs w:val="11"/>
                <w:color w:val="auto"/>
              </w:rPr>
              <w:t>Apex Service Partners, LLC Term Loan 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10.04 %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10.26 %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000" w:type="dxa"/>
            <w:vAlign w:val="bottom"/>
          </w:tcPr>
          <w:p>
            <w:pPr>
              <w:spacing w:after="0" w:line="122" w:lineRule="exact"/>
              <w:rPr>
                <w:sz w:val="20"/>
                <w:szCs w:val="20"/>
                <w:color w:val="auto"/>
              </w:rPr>
            </w:pPr>
            <w:r>
              <w:rPr>
                <w:rFonts w:ascii="Arial" w:cs="Arial" w:eastAsia="Arial" w:hAnsi="Arial"/>
                <w:sz w:val="11"/>
                <w:szCs w:val="11"/>
                <w:color w:val="auto"/>
              </w:rPr>
              <w:t>API Holding III Corp.</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05/11/2026</w:t>
            </w:r>
          </w:p>
        </w:tc>
        <w:tc>
          <w:tcPr>
            <w:tcW w:w="2280" w:type="dxa"/>
            <w:vAlign w:val="bottom"/>
          </w:tcPr>
          <w:p>
            <w:pPr>
              <w:jc w:val="center"/>
              <w:ind w:right="66"/>
              <w:spacing w:after="0" w:line="122" w:lineRule="exact"/>
              <w:rPr>
                <w:sz w:val="20"/>
                <w:szCs w:val="20"/>
                <w:color w:val="auto"/>
              </w:rPr>
            </w:pPr>
            <w:r>
              <w:rPr>
                <w:rFonts w:ascii="Arial" w:cs="Arial" w:eastAsia="Arial" w:hAnsi="Arial"/>
                <w:sz w:val="11"/>
                <w:szCs w:val="11"/>
                <w:color w:val="auto"/>
                <w:w w:val="89"/>
              </w:rPr>
              <w:t>Electronic Equipment, Instruments, and</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9.41 %</w:t>
            </w:r>
          </w:p>
        </w:tc>
        <w:tc>
          <w:tcPr>
            <w:tcW w:w="0" w:type="dxa"/>
            <w:vAlign w:val="bottom"/>
          </w:tcPr>
          <w:p>
            <w:pPr>
              <w:spacing w:after="0"/>
              <w:rPr>
                <w:sz w:val="1"/>
                <w:szCs w:val="1"/>
                <w:color w:val="auto"/>
              </w:rPr>
            </w:pPr>
          </w:p>
        </w:tc>
      </w:tr>
      <w:tr>
        <w:trPr>
          <w:trHeight w:val="136"/>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1"/>
                <w:szCs w:val="11"/>
                <w:color w:val="auto"/>
              </w:rPr>
              <w:t>Applied Technical Services,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10.91 %</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Arial" w:cs="Arial" w:eastAsia="Arial" w:hAnsi="Arial"/>
                <w:sz w:val="11"/>
                <w:szCs w:val="11"/>
                <w:color w:val="auto"/>
              </w:rPr>
              <w:t>Applied Technical Services, LLC (Unfunded Term Loan)</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04/21/2023</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12.50 %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Arcfield Acquisition Corp. (Revolver) </w:t>
            </w:r>
            <w:r>
              <w:rPr>
                <w:rFonts w:ascii="Arial" w:cs="Arial" w:eastAsia="Arial" w:hAnsi="Arial"/>
                <w:sz w:val="14"/>
                <w:szCs w:val="14"/>
                <w:color w:val="auto"/>
                <w:vertAlign w:val="superscript"/>
              </w:rPr>
              <w:t>(9)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03/07/2028</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Aerospace and Defense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Beta Plus Technologies,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07/01/2029</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Internet Software and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10.42 %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BioDerm, Inc. (Revolver) </w:t>
            </w:r>
            <w:r>
              <w:rPr>
                <w:rFonts w:ascii="Arial" w:cs="Arial" w:eastAsia="Arial" w:hAnsi="Arial"/>
                <w:sz w:val="14"/>
                <w:szCs w:val="14"/>
                <w:color w:val="auto"/>
                <w:vertAlign w:val="superscript"/>
              </w:rPr>
              <w:t>(9)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01/31/2028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8"/>
              </w:rPr>
              <w:t>Healthcare Equipment and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10.04 %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(7),(9)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Blackhawk Industrial Distribution, Inc.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10.04 %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3000" w:type="dxa"/>
            <w:vAlign w:val="bottom"/>
          </w:tcPr>
          <w:p>
            <w:pPr>
              <w:spacing w:after="0"/>
              <w:rPr>
                <w:sz w:val="20"/>
                <w:szCs w:val="20"/>
                <w:color w:val="auto"/>
              </w:rPr>
            </w:pPr>
            <w:r>
              <w:rPr>
                <w:rFonts w:ascii="Arial" w:cs="Arial" w:eastAsia="Arial" w:hAnsi="Arial"/>
                <w:sz w:val="11"/>
                <w:szCs w:val="11"/>
                <w:color w:val="auto"/>
              </w:rPr>
              <w:t>Broder Bros., Co.</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12/04/2025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Textiles, Apparel and Luxury Goods</w:t>
            </w:r>
          </w:p>
        </w:tc>
        <w:tc>
          <w:tcPr>
            <w:tcW w:w="900" w:type="dxa"/>
            <w:vAlign w:val="bottom"/>
          </w:tcPr>
          <w:p>
            <w:pPr>
              <w:jc w:val="right"/>
              <w:spacing w:after="0"/>
              <w:rPr>
                <w:sz w:val="20"/>
                <w:szCs w:val="20"/>
                <w:color w:val="auto"/>
              </w:rPr>
            </w:pPr>
            <w:r>
              <w:rPr>
                <w:rFonts w:ascii="Arial" w:cs="Arial" w:eastAsia="Arial" w:hAnsi="Arial"/>
                <w:sz w:val="11"/>
                <w:szCs w:val="11"/>
                <w:color w:val="auto"/>
              </w:rPr>
              <w:t>10.73 %</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High Tech Industries</w:t>
            </w:r>
          </w:p>
        </w:tc>
        <w:tc>
          <w:tcPr>
            <w:tcW w:w="900" w:type="dxa"/>
            <w:vAlign w:val="bottom"/>
          </w:tcPr>
          <w:p>
            <w:pPr>
              <w:jc w:val="right"/>
              <w:spacing w:after="0"/>
              <w:rPr>
                <w:sz w:val="20"/>
                <w:szCs w:val="20"/>
                <w:color w:val="auto"/>
              </w:rPr>
            </w:pPr>
            <w:r>
              <w:rPr>
                <w:rFonts w:ascii="Arial" w:cs="Arial" w:eastAsia="Arial" w:hAnsi="Arial"/>
                <w:sz w:val="11"/>
                <w:szCs w:val="11"/>
                <w:color w:val="auto"/>
              </w:rPr>
              <w:t>11.64 %</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Arial" w:cs="Arial" w:eastAsia="Arial" w:hAnsi="Arial"/>
                <w:sz w:val="11"/>
                <w:szCs w:val="11"/>
                <w:color w:val="auto"/>
              </w:rPr>
              <w:t>By Light Professional IT Services, LLC (Revolver)</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High Tech Industries</w:t>
            </w:r>
          </w:p>
        </w:tc>
        <w:tc>
          <w:tcPr>
            <w:tcW w:w="900" w:type="dxa"/>
            <w:vAlign w:val="bottom"/>
          </w:tcPr>
          <w:p>
            <w:pPr>
              <w:jc w:val="right"/>
              <w:spacing w:after="0"/>
              <w:rPr>
                <w:sz w:val="20"/>
                <w:szCs w:val="20"/>
                <w:color w:val="auto"/>
              </w:rPr>
            </w:pPr>
            <w:r>
              <w:rPr>
                <w:rFonts w:ascii="Arial" w:cs="Arial" w:eastAsia="Arial" w:hAnsi="Arial"/>
                <w:sz w:val="11"/>
                <w:szCs w:val="11"/>
                <w:color w:val="auto"/>
              </w:rPr>
              <w:t>11.71 %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11/14/2023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Aerospace and Defense</w:t>
            </w:r>
          </w:p>
        </w:tc>
        <w:tc>
          <w:tcPr>
            <w:tcW w:w="900" w:type="dxa"/>
            <w:vAlign w:val="bottom"/>
          </w:tcPr>
          <w:p>
            <w:pPr>
              <w:jc w:val="right"/>
              <w:spacing w:after="0"/>
              <w:rPr>
                <w:sz w:val="20"/>
                <w:szCs w:val="20"/>
                <w:color w:val="auto"/>
              </w:rPr>
            </w:pPr>
            <w:r>
              <w:rPr>
                <w:rFonts w:ascii="Arial" w:cs="Arial" w:eastAsia="Arial" w:hAnsi="Arial"/>
                <w:sz w:val="11"/>
                <w:szCs w:val="11"/>
                <w:color w:val="auto"/>
              </w:rPr>
              <w:t>13.33 %</w:t>
            </w:r>
          </w:p>
        </w:tc>
        <w:tc>
          <w:tcPr>
            <w:tcW w:w="0" w:type="dxa"/>
            <w:vAlign w:val="bottom"/>
          </w:tcPr>
          <w:p>
            <w:pPr>
              <w:spacing w:after="0"/>
              <w:rPr>
                <w:sz w:val="1"/>
                <w:szCs w:val="1"/>
                <w:color w:val="auto"/>
              </w:rPr>
            </w:pPr>
          </w:p>
        </w:tc>
      </w:tr>
      <w:tr>
        <w:trPr>
          <w:trHeight w:val="136"/>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(PIK 9.50%)</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Arial" w:cs="Arial" w:eastAsia="Arial" w:hAnsi="Arial"/>
                <w:sz w:val="11"/>
                <w:szCs w:val="11"/>
                <w:color w:val="auto"/>
              </w:rPr>
              <w:t>Cartessa Aesthetics,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06/14/2028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10.90 %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06/14/2028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10.90 %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06/14/2028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CF512,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11.03 %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CHA Holdings,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04/10/2025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Environmental Industries</w:t>
            </w:r>
          </w:p>
        </w:tc>
        <w:tc>
          <w:tcPr>
            <w:tcW w:w="900" w:type="dxa"/>
            <w:vAlign w:val="bottom"/>
          </w:tcPr>
          <w:p>
            <w:pPr>
              <w:jc w:val="right"/>
              <w:spacing w:after="0"/>
              <w:rPr>
                <w:sz w:val="20"/>
                <w:szCs w:val="20"/>
                <w:color w:val="auto"/>
              </w:rPr>
            </w:pPr>
            <w:r>
              <w:rPr>
                <w:rFonts w:ascii="Arial" w:cs="Arial" w:eastAsia="Arial" w:hAnsi="Arial"/>
                <w:sz w:val="11"/>
                <w:szCs w:val="11"/>
                <w:color w:val="auto"/>
              </w:rPr>
              <w:t>9.66 %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08/31/2023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Business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Compex Legal Services,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02/09/2026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10.46 %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02/07/2025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10.43 %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02/07/2025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Connatix Buyer,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07/13/2027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10.23 %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07/14/2023</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07/13/2027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Crane 1 Services,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10.91 %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10.91 %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Dr. Squatch,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spacing w:after="0"/>
              <w:rPr>
                <w:sz w:val="20"/>
                <w:szCs w:val="20"/>
                <w:color w:val="auto"/>
              </w:rPr>
            </w:pPr>
            <w:r>
              <w:rPr>
                <w:rFonts w:ascii="Arial" w:cs="Arial" w:eastAsia="Arial" w:hAnsi="Arial"/>
                <w:sz w:val="11"/>
                <w:szCs w:val="11"/>
                <w:color w:val="auto"/>
              </w:rPr>
              <w:t>10.91 %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spacing w:after="0"/>
              <w:rPr>
                <w:sz w:val="20"/>
                <w:szCs w:val="20"/>
                <w:color w:val="auto"/>
              </w:rPr>
            </w:pPr>
            <w:r>
              <w:rPr>
                <w:rFonts w:ascii="Arial" w:cs="Arial" w:eastAsia="Arial" w:hAnsi="Arial"/>
                <w:sz w:val="11"/>
                <w:szCs w:val="11"/>
                <w:color w:val="auto"/>
              </w:rPr>
              <w:t>10.69 %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color w:val="auto"/>
              </w:rPr>
              <w:t>DRS Holdings III, Inc.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11/03/2025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00" w:type="dxa"/>
            <w:vAlign w:val="bottom"/>
          </w:tcPr>
          <w:p>
            <w:pPr>
              <w:jc w:val="right"/>
              <w:spacing w:after="0"/>
              <w:rPr>
                <w:sz w:val="20"/>
                <w:szCs w:val="20"/>
                <w:color w:val="auto"/>
              </w:rPr>
            </w:pPr>
            <w:r>
              <w:rPr>
                <w:rFonts w:ascii="Arial" w:cs="Arial" w:eastAsia="Arial" w:hAnsi="Arial"/>
                <w:sz w:val="11"/>
                <w:szCs w:val="11"/>
                <w:color w:val="auto"/>
              </w:rPr>
              <w:t>10.90 %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11/03/2025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3000" w:type="dxa"/>
            <w:vAlign w:val="bottom"/>
          </w:tcPr>
          <w:p>
            <w:pPr>
              <w:spacing w:after="0"/>
              <w:rPr>
                <w:sz w:val="20"/>
                <w:szCs w:val="20"/>
                <w:color w:val="auto"/>
              </w:rPr>
            </w:pPr>
            <w:r>
              <w:rPr>
                <w:rFonts w:ascii="Arial" w:cs="Arial" w:eastAsia="Arial" w:hAnsi="Arial"/>
                <w:sz w:val="11"/>
                <w:szCs w:val="11"/>
                <w:color w:val="auto"/>
              </w:rPr>
              <w:t>Duraco Specialty Tapes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06/30/2024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Containers and Packaging</w:t>
            </w:r>
          </w:p>
        </w:tc>
        <w:tc>
          <w:tcPr>
            <w:tcW w:w="900" w:type="dxa"/>
            <w:vAlign w:val="bottom"/>
          </w:tcPr>
          <w:p>
            <w:pPr>
              <w:jc w:val="right"/>
              <w:spacing w:after="0"/>
              <w:rPr>
                <w:sz w:val="20"/>
                <w:szCs w:val="20"/>
                <w:color w:val="auto"/>
              </w:rPr>
            </w:pPr>
            <w:r>
              <w:rPr>
                <w:rFonts w:ascii="Arial" w:cs="Arial" w:eastAsia="Arial" w:hAnsi="Arial"/>
                <w:sz w:val="11"/>
                <w:szCs w:val="11"/>
                <w:color w:val="auto"/>
              </w:rPr>
              <w:t>10.36 %</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1"/>
                <w:szCs w:val="11"/>
                <w:color w:val="auto"/>
              </w:rPr>
              <w:t>ECL Entertainment,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05/01/2028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Hotels, Restaurants and Leisure</w:t>
            </w:r>
          </w:p>
        </w:tc>
        <w:tc>
          <w:tcPr>
            <w:tcW w:w="900" w:type="dxa"/>
            <w:vAlign w:val="bottom"/>
          </w:tcPr>
          <w:p>
            <w:pPr>
              <w:jc w:val="right"/>
              <w:spacing w:after="0"/>
              <w:rPr>
                <w:sz w:val="20"/>
                <w:szCs w:val="20"/>
                <w:color w:val="auto"/>
              </w:rPr>
            </w:pPr>
            <w:r>
              <w:rPr>
                <w:rFonts w:ascii="Arial" w:cs="Arial" w:eastAsia="Arial" w:hAnsi="Arial"/>
                <w:sz w:val="11"/>
                <w:szCs w:val="11"/>
                <w:color w:val="auto"/>
              </w:rPr>
              <w:t>12.42 %</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12/23/2025</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w w:val="89"/>
              </w:rPr>
              <w:t>Electronic Equipment, Instruments, and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0" w:type="dxa"/>
            <w:vAlign w:val="bottom"/>
            <w:vMerge w:val="restart"/>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(9)</w:t>
            </w:r>
          </w:p>
        </w:tc>
        <w:tc>
          <w:tcPr>
            <w:tcW w:w="82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jc w:val="right"/>
              <w:spacing w:after="0"/>
              <w:rPr>
                <w:sz w:val="20"/>
                <w:szCs w:val="20"/>
                <w:color w:val="auto"/>
              </w:rPr>
            </w:pPr>
            <w:r>
              <w:rPr>
                <w:rFonts w:ascii="Arial" w:cs="Arial" w:eastAsia="Arial" w:hAnsi="Arial"/>
                <w:sz w:val="11"/>
                <w:szCs w:val="11"/>
                <w:color w:val="auto"/>
              </w:rPr>
              <w:t>9.77 %</w:t>
            </w:r>
          </w:p>
        </w:tc>
        <w:tc>
          <w:tcPr>
            <w:tcW w:w="0" w:type="dxa"/>
            <w:vAlign w:val="bottom"/>
          </w:tcPr>
          <w:p>
            <w:pPr>
              <w:spacing w:after="0"/>
              <w:rPr>
                <w:sz w:val="1"/>
                <w:szCs w:val="1"/>
                <w:color w:val="auto"/>
              </w:rPr>
            </w:pPr>
          </w:p>
        </w:tc>
      </w:tr>
      <w:tr>
        <w:trPr>
          <w:trHeight w:val="134"/>
        </w:trPr>
        <w:tc>
          <w:tcPr>
            <w:tcW w:w="3000" w:type="dxa"/>
            <w:vAlign w:val="bottom"/>
            <w:vMerge w:val="continue"/>
          </w:tcPr>
          <w:p>
            <w:pPr>
              <w:spacing w:after="0"/>
              <w:rPr>
                <w:sz w:val="11"/>
                <w:szCs w:val="11"/>
                <w:color w:val="auto"/>
              </w:rPr>
            </w:pP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12/23/2025</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w w:val="89"/>
              </w:rPr>
              <w:t>Electronic Equipment, Instruments, and</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3000" w:type="dxa"/>
            <w:vAlign w:val="bottom"/>
            <w:vMerge w:val="restart"/>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82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vMerge w:val="continue"/>
          </w:tcPr>
          <w:p>
            <w:pPr>
              <w:spacing w:after="0"/>
              <w:rPr>
                <w:sz w:val="12"/>
                <w:szCs w:val="12"/>
                <w:color w:val="auto"/>
              </w:rPr>
            </w:pP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8"/>
              </w:rPr>
              <w:t>Banking, Finance, Insurance &amp; Real Estate</w:t>
            </w:r>
          </w:p>
        </w:tc>
        <w:tc>
          <w:tcPr>
            <w:tcW w:w="900" w:type="dxa"/>
            <w:vAlign w:val="bottom"/>
          </w:tcPr>
          <w:p>
            <w:pPr>
              <w:jc w:val="right"/>
              <w:spacing w:after="0"/>
              <w:rPr>
                <w:sz w:val="20"/>
                <w:szCs w:val="20"/>
                <w:color w:val="auto"/>
              </w:rPr>
            </w:pPr>
            <w:r>
              <w:rPr>
                <w:rFonts w:ascii="Arial" w:cs="Arial" w:eastAsia="Arial" w:hAnsi="Arial"/>
                <w:sz w:val="11"/>
                <w:szCs w:val="11"/>
                <w:color w:val="auto"/>
              </w:rPr>
              <w:t>9.70 %</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(9), (10)</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8"/>
              </w:rPr>
              <w:t>Banking, Finance, Insurance &amp; Real Estate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000" w:type="dxa"/>
            <w:vAlign w:val="bottom"/>
          </w:tcPr>
          <w:p>
            <w:pPr>
              <w:spacing w:after="0" w:line="122" w:lineRule="exact"/>
              <w:rPr>
                <w:sz w:val="20"/>
                <w:szCs w:val="20"/>
                <w:color w:val="auto"/>
              </w:rPr>
            </w:pPr>
            <w:r>
              <w:rPr>
                <w:rFonts w:ascii="Arial" w:cs="Arial" w:eastAsia="Arial" w:hAnsi="Arial"/>
                <w:sz w:val="11"/>
                <w:szCs w:val="11"/>
                <w:color w:val="auto"/>
              </w:rPr>
              <w:t>EDS Buyer, LLC - Unfunded Term Loan</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01/10/2029</w:t>
            </w:r>
          </w:p>
        </w:tc>
        <w:tc>
          <w:tcPr>
            <w:tcW w:w="2280" w:type="dxa"/>
            <w:vAlign w:val="bottom"/>
          </w:tcPr>
          <w:p>
            <w:pPr>
              <w:jc w:val="center"/>
              <w:ind w:right="66"/>
              <w:spacing w:after="0" w:line="122" w:lineRule="exact"/>
              <w:rPr>
                <w:sz w:val="20"/>
                <w:szCs w:val="20"/>
                <w:color w:val="auto"/>
              </w:rPr>
            </w:pPr>
            <w:r>
              <w:rPr>
                <w:rFonts w:ascii="Arial" w:cs="Arial" w:eastAsia="Arial" w:hAnsi="Arial"/>
                <w:sz w:val="11"/>
                <w:szCs w:val="11"/>
                <w:color w:val="auto"/>
                <w:w w:val="89"/>
              </w:rPr>
              <w:t>Electronic Equipment, Instruments, and</w:t>
            </w: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3000" w:type="dxa"/>
            <w:vAlign w:val="bottom"/>
            <w:vMerge w:val="restart"/>
          </w:tcPr>
          <w:p>
            <w:pPr>
              <w:spacing w:after="0"/>
              <w:rPr>
                <w:sz w:val="20"/>
                <w:szCs w:val="20"/>
                <w:color w:val="auto"/>
              </w:rPr>
            </w:pPr>
            <w:r>
              <w:rPr>
                <w:rFonts w:ascii="Arial" w:cs="Arial" w:eastAsia="Arial" w:hAnsi="Arial"/>
                <w:sz w:val="11"/>
                <w:szCs w:val="11"/>
                <w:color w:val="auto"/>
              </w:rPr>
              <w:t xml:space="preserve">EDS Buyer, LLC. (Revolver) </w:t>
            </w:r>
            <w:r>
              <w:rPr>
                <w:rFonts w:ascii="Arial" w:cs="Arial" w:eastAsia="Arial" w:hAnsi="Arial"/>
                <w:sz w:val="14"/>
                <w:szCs w:val="14"/>
                <w:color w:val="auto"/>
                <w:vertAlign w:val="superscript"/>
              </w:rPr>
              <w:t>(7), (9)</w:t>
            </w:r>
          </w:p>
        </w:tc>
        <w:tc>
          <w:tcPr>
            <w:tcW w:w="82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0" w:type="dxa"/>
            <w:vAlign w:val="bottom"/>
            <w:vMerge w:val="continue"/>
          </w:tcPr>
          <w:p>
            <w:pPr>
              <w:spacing w:after="0"/>
              <w:rPr>
                <w:sz w:val="11"/>
                <w:szCs w:val="11"/>
                <w:color w:val="auto"/>
              </w:rPr>
            </w:pP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01/10/2029</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w w:val="89"/>
              </w:rPr>
              <w:t>Electronic Equipment, Instruments, and</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06/15/2024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tcPr>
          <w:p>
            <w:pPr>
              <w:jc w:val="right"/>
              <w:spacing w:after="0"/>
              <w:rPr>
                <w:sz w:val="20"/>
                <w:szCs w:val="20"/>
                <w:color w:val="auto"/>
              </w:rPr>
            </w:pPr>
            <w:r>
              <w:rPr>
                <w:rFonts w:ascii="Arial" w:cs="Arial" w:eastAsia="Arial" w:hAnsi="Arial"/>
                <w:sz w:val="11"/>
                <w:szCs w:val="11"/>
                <w:color w:val="auto"/>
              </w:rPr>
              <w:t>12.07 %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Exigo Intermediate II, LLC </w:t>
            </w:r>
            <w:r>
              <w:rPr>
                <w:rFonts w:ascii="Arial" w:cs="Arial" w:eastAsia="Arial" w:hAnsi="Arial"/>
                <w:sz w:val="14"/>
                <w:szCs w:val="14"/>
                <w:color w:val="auto"/>
                <w:vertAlign w:val="superscript"/>
              </w:rPr>
              <w:t>(9)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03/15/2024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20"/>
                <w:szCs w:val="20"/>
                <w:color w:val="auto"/>
              </w:rPr>
            </w:pPr>
            <w:r>
              <w:rPr>
                <w:rFonts w:ascii="Arial" w:cs="Arial" w:eastAsia="Arial" w:hAnsi="Arial"/>
                <w:sz w:val="11"/>
                <w:szCs w:val="11"/>
                <w:color w:val="auto"/>
              </w:rPr>
              <w:t xml:space="preserve">Exigo Intermediate II, LLC (Revolver) </w:t>
            </w:r>
            <w:r>
              <w:rPr>
                <w:rFonts w:ascii="Arial" w:cs="Arial" w:eastAsia="Arial" w:hAnsi="Arial"/>
                <w:sz w:val="14"/>
                <w:szCs w:val="14"/>
                <w:color w:val="auto"/>
                <w:vertAlign w:val="superscript"/>
              </w:rPr>
              <w:t>(9)</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03/15/2027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-6974840</wp:posOffset>
            </wp:positionV>
            <wp:extent cx="713232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-6786245</wp:posOffset>
            </wp:positionV>
            <wp:extent cx="713232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-6597650</wp:posOffset>
            </wp:positionV>
            <wp:extent cx="713232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-6409690</wp:posOffset>
            </wp:positionV>
            <wp:extent cx="713232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-6221095</wp:posOffset>
            </wp:positionV>
            <wp:extent cx="7132320"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-5955665</wp:posOffset>
            </wp:positionV>
            <wp:extent cx="713232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-5767705</wp:posOffset>
            </wp:positionV>
            <wp:extent cx="713232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-5579110</wp:posOffset>
            </wp:positionV>
            <wp:extent cx="7132320" cy="93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-5390515</wp:posOffset>
            </wp:positionV>
            <wp:extent cx="7132320"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-5202555</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-5013960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-4748530</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-4559935</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-4371975</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-4183380</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-3994785</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-3806825</wp:posOffset>
            </wp:positionV>
            <wp:extent cx="7132320"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-3618230</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-3335655</wp:posOffset>
            </wp:positionV>
            <wp:extent cx="7132320"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-3147060</wp:posOffset>
            </wp:positionV>
            <wp:extent cx="713232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-2959100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-2770505</wp:posOffset>
            </wp:positionV>
            <wp:extent cx="713232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-2581910</wp:posOffset>
            </wp:positionV>
            <wp:extent cx="713232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-2393950</wp:posOffset>
            </wp:positionV>
            <wp:extent cx="713232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-2205355</wp:posOffset>
            </wp:positionV>
            <wp:extent cx="713232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-2016760</wp:posOffset>
            </wp:positionV>
            <wp:extent cx="713232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-1828800</wp:posOffset>
            </wp:positionV>
            <wp:extent cx="7132320"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-1640205</wp:posOffset>
            </wp:positionV>
            <wp:extent cx="7132320" cy="93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-1452245</wp:posOffset>
            </wp:positionV>
            <wp:extent cx="713232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-1263650</wp:posOffset>
            </wp:positionV>
            <wp:extent cx="7132320"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-998220</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-732790</wp:posOffset>
            </wp:positionV>
            <wp:extent cx="713232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7132320" cy="93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80" w:type="dxa"/>
            <w:vAlign w:val="bottom"/>
          </w:tcPr>
          <w:p>
            <w:pPr>
              <w:spacing w:after="0"/>
              <w:rPr>
                <w:sz w:val="11"/>
                <w:szCs w:val="11"/>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504</w:t>
            </w:r>
          </w:p>
        </w:tc>
        <w:tc>
          <w:tcPr>
            <w:tcW w:w="3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497</w:t>
            </w:r>
          </w:p>
        </w:tc>
        <w:tc>
          <w:tcPr>
            <w:tcW w:w="4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1,552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748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4,913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4,864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4,876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498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494</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747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4,656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4,625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4,656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575</w:t>
            </w:r>
          </w:p>
        </w:tc>
        <w:tc>
          <w:tcPr>
            <w:tcW w:w="0" w:type="dxa"/>
            <w:vAlign w:val="bottom"/>
          </w:tcPr>
          <w:p>
            <w:pPr>
              <w:spacing w:after="0"/>
              <w:rPr>
                <w:sz w:val="1"/>
                <w:szCs w:val="1"/>
                <w:color w:val="auto"/>
              </w:rPr>
            </w:pPr>
          </w:p>
        </w:tc>
      </w:tr>
      <w:tr>
        <w:trPr>
          <w:trHeight w:val="148"/>
        </w:trPr>
        <w:tc>
          <w:tcPr>
            <w:tcW w:w="280" w:type="dxa"/>
            <w:vAlign w:val="bottom"/>
            <w:vMerge w:val="restart"/>
          </w:tcPr>
          <w:p>
            <w:pPr>
              <w:jc w:val="right"/>
              <w:ind w:right="170"/>
              <w:spacing w:after="0"/>
              <w:rPr>
                <w:sz w:val="20"/>
                <w:szCs w:val="20"/>
                <w:color w:val="auto"/>
              </w:rPr>
            </w:pPr>
            <w:r>
              <w:rPr>
                <w:rFonts w:ascii="Arial" w:cs="Arial" w:eastAsia="Arial" w:hAnsi="Arial"/>
                <w:sz w:val="6"/>
                <w:szCs w:val="6"/>
                <w:color w:val="auto"/>
                <w:w w:val="81"/>
              </w:rPr>
              <w:t>(6)</w:t>
            </w: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1,581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5"/>
        </w:trPr>
        <w:tc>
          <w:tcPr>
            <w:tcW w:w="280" w:type="dxa"/>
            <w:vAlign w:val="bottom"/>
            <w:vMerge w:val="continue"/>
          </w:tcPr>
          <w:p>
            <w:pPr>
              <w:spacing w:after="0"/>
              <w:rPr>
                <w:sz w:val="4"/>
                <w:szCs w:val="4"/>
                <w:color w:val="auto"/>
              </w:rPr>
            </w:pPr>
          </w:p>
        </w:tc>
        <w:tc>
          <w:tcPr>
            <w:tcW w:w="1040" w:type="dxa"/>
            <w:vAlign w:val="bottom"/>
            <w:vMerge w:val="restart"/>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7,986</w:t>
            </w:r>
          </w:p>
        </w:tc>
        <w:tc>
          <w:tcPr>
            <w:tcW w:w="380" w:type="dxa"/>
            <w:vAlign w:val="bottom"/>
          </w:tcPr>
          <w:p>
            <w:pPr>
              <w:spacing w:after="0"/>
              <w:rPr>
                <w:sz w:val="4"/>
                <w:szCs w:val="4"/>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7,915</w:t>
            </w:r>
          </w:p>
        </w:tc>
        <w:tc>
          <w:tcPr>
            <w:tcW w:w="40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93"/>
        </w:trPr>
        <w:tc>
          <w:tcPr>
            <w:tcW w:w="280" w:type="dxa"/>
            <w:vAlign w:val="bottom"/>
            <w:vMerge w:val="restart"/>
          </w:tcPr>
          <w:p>
            <w:pPr>
              <w:jc w:val="right"/>
              <w:ind w:right="170"/>
              <w:spacing w:after="0"/>
              <w:rPr>
                <w:sz w:val="20"/>
                <w:szCs w:val="20"/>
                <w:color w:val="auto"/>
              </w:rPr>
            </w:pPr>
            <w:r>
              <w:rPr>
                <w:rFonts w:ascii="Arial" w:cs="Arial" w:eastAsia="Arial" w:hAnsi="Arial"/>
                <w:sz w:val="6"/>
                <w:szCs w:val="6"/>
                <w:color w:val="auto"/>
                <w:w w:val="81"/>
              </w:rPr>
              <w:t>(6)</w:t>
            </w:r>
          </w:p>
        </w:tc>
        <w:tc>
          <w:tcPr>
            <w:tcW w:w="10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80" w:type="dxa"/>
            <w:vAlign w:val="bottom"/>
            <w:vMerge w:val="continue"/>
          </w:tcPr>
          <w:p>
            <w:pPr>
              <w:spacing w:after="0"/>
              <w:rPr>
                <w:sz w:val="4"/>
                <w:szCs w:val="4"/>
                <w:color w:val="auto"/>
              </w:rPr>
            </w:pPr>
          </w:p>
        </w:tc>
        <w:tc>
          <w:tcPr>
            <w:tcW w:w="1040" w:type="dxa"/>
            <w:vAlign w:val="bottom"/>
            <w:vMerge w:val="restart"/>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1,656</w:t>
            </w:r>
          </w:p>
        </w:tc>
        <w:tc>
          <w:tcPr>
            <w:tcW w:w="380" w:type="dxa"/>
            <w:vAlign w:val="bottom"/>
          </w:tcPr>
          <w:p>
            <w:pPr>
              <w:spacing w:after="0"/>
              <w:rPr>
                <w:sz w:val="4"/>
                <w:szCs w:val="4"/>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1,642</w:t>
            </w:r>
          </w:p>
        </w:tc>
        <w:tc>
          <w:tcPr>
            <w:tcW w:w="40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14,031</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13,905</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13,820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14,177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14,121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13,752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7,268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7,123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7,123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2,869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10,492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10,416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10,203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1,147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L+525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6,176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6,141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6,145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L+550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295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L+525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12,858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12,798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12,794</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L+525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922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923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918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922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L+425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5,775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5,757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4,023</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L+575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8,347</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8,238</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8,180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1,059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L+475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923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923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904</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350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887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L+525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4,975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4,881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4,378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1,071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211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3,045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183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183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2,561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3,368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3,368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3,368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26,236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26,093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25,843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L+663</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3,506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3,507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3,454</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L+850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3,050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3,045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3,050</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13,143</w:t>
            </w:r>
          </w:p>
        </w:tc>
        <w:tc>
          <w:tcPr>
            <w:tcW w:w="380" w:type="dxa"/>
            <w:vAlign w:val="bottom"/>
          </w:tcPr>
          <w:p>
            <w:pPr>
              <w:spacing w:after="0"/>
              <w:rPr>
                <w:sz w:val="24"/>
                <w:szCs w:val="2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12,908</w:t>
            </w:r>
          </w:p>
        </w:tc>
        <w:tc>
          <w:tcPr>
            <w:tcW w:w="40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13,011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511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511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927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8,057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7,964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7,896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955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L+450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1,573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1,569</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1,573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714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7,997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7,973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7,997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L+525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843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843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843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562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3,835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3,776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3,691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2,105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1,234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L+575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887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873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878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L+575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90</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247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L+600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4,406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4,342</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4,340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L+575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2,236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2,236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2,202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1,118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L+575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16,489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16,342</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16,010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1,426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L+550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3,231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3,203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3,160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L+750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8,668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8,591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8,587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L+475</w:t>
            </w: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171</w:t>
            </w:r>
          </w:p>
        </w:tc>
        <w:tc>
          <w:tcPr>
            <w:tcW w:w="380" w:type="dxa"/>
            <w:vAlign w:val="bottom"/>
          </w:tcPr>
          <w:p>
            <w:pPr>
              <w:spacing w:after="0"/>
              <w:rPr>
                <w:sz w:val="12"/>
                <w:szCs w:val="12"/>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171</w:t>
            </w:r>
          </w:p>
        </w:tc>
        <w:tc>
          <w:tcPr>
            <w:tcW w:w="40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164</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743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1M L+500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5,218</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5,218</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5,218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5,000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6,750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2,025</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3M L+750</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7,139</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7,128</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6,639</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2,758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689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bl>
    <w:p>
      <w:pPr>
        <w:sectPr>
          <w:pgSz w:w="11900" w:h="16838" w:orient="portrait"/>
          <w:cols w:equalWidth="0" w:num="2">
            <w:col w:w="7000" w:space="40"/>
            <w:col w:w="4180"/>
          </w:cols>
          <w:pgMar w:left="34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right"/>
              <w:ind w:right="480"/>
              <w:spacing w:after="0" w:line="109"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Five Star Buyer,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02/23/2028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11.92 %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L+710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5,173</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5,070</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Five Star Buyer, Inc. - DDTL A Unfunded</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02/23/2028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Five Star Buyer, Inc. - DDTL B Unfunded</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02/23/2028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Five Star Buyer, Inc.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02/23/2028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11.09 %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21,757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21,450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11.09 %</w:t>
            </w:r>
          </w:p>
        </w:tc>
        <w:tc>
          <w:tcPr>
            <w:tcW w:w="840" w:type="dxa"/>
            <w:vAlign w:val="bottom"/>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2,116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(74 )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03/16/2026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11.23 %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Graffiti Buyer,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08/10/2027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10.57 %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08/10/2023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12/31/2026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10.42 %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4,435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4,363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4,346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10.30 %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9"/>
              </w:rPr>
              <w:t xml:space="preserve">Hancock Roofing and Construction L.L.C. (Revolver) </w:t>
            </w:r>
            <w:r>
              <w:rPr>
                <w:rFonts w:ascii="Arial" w:cs="Arial" w:eastAsia="Arial" w:hAnsi="Arial"/>
                <w:sz w:val="14"/>
                <w:szCs w:val="14"/>
                <w:color w:val="auto"/>
                <w:w w:val="99"/>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12/31/2026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11/23/2028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11.21 %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4,938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11/23/2027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1,791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10.07 %</w:t>
            </w:r>
          </w:p>
        </w:tc>
        <w:tc>
          <w:tcPr>
            <w:tcW w:w="840" w:type="dxa"/>
            <w:vAlign w:val="bottom"/>
          </w:tcPr>
          <w:p>
            <w:pPr>
              <w:jc w:val="right"/>
              <w:spacing w:after="0"/>
              <w:rPr>
                <w:sz w:val="20"/>
                <w:szCs w:val="20"/>
                <w:color w:val="auto"/>
              </w:rPr>
            </w:pPr>
            <w:r>
              <w:rPr>
                <w:rFonts w:ascii="Arial" w:cs="Arial" w:eastAsia="Arial" w:hAnsi="Arial"/>
                <w:sz w:val="11"/>
                <w:szCs w:val="11"/>
                <w:color w:val="auto"/>
              </w:rPr>
              <w:t>1M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8,962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8,865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HW Holdco, LLC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12/10/2024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1,028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IDC Infusion Services,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12/30/2026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11.64 %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5,694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5,606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IDC Infusion Services, Inc.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12/30/2026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(146 )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09/22/2028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10.86 %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4,451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Acquisitionco,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11/15/2027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10.37 %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3,895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11/15/2027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11/15/2027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Inception Fertility Ventures,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12/07/2023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11.94 %</w:t>
            </w:r>
          </w:p>
        </w:tc>
        <w:tc>
          <w:tcPr>
            <w:tcW w:w="840" w:type="dxa"/>
            <w:vAlign w:val="bottom"/>
          </w:tcPr>
          <w:p>
            <w:pPr>
              <w:jc w:val="right"/>
              <w:spacing w:after="0"/>
              <w:rPr>
                <w:sz w:val="20"/>
                <w:szCs w:val="20"/>
                <w:color w:val="auto"/>
              </w:rPr>
            </w:pPr>
            <w:r>
              <w:rPr>
                <w:rFonts w:ascii="Arial" w:cs="Arial" w:eastAsia="Arial" w:hAnsi="Arial"/>
                <w:sz w:val="11"/>
                <w:szCs w:val="11"/>
                <w:color w:val="auto"/>
              </w:rPr>
              <w:t>3M L+715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14,879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14,766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Infinity Home Services Holdco,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12/28/2028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11.73 %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L+685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517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Infinity Home Services Holdco, Inc. - Unfunded Term Loan</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12/28/2023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2,713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(54 )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Infinity Home Services Holdco, Inc.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12/28/2028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11.73 %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Infinity Home Services Holdco, Inc.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12/28/2028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Infolinks Media Buyco,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11/01/2026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2,611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Infolinks Media Buyco, LLC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11/01/2023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09/29/2023</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9.91 %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15,531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15,513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09/29/2023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08/27/2025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15,745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15,637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ITI Holdings, Inc. (Revolver)</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12.16 %</w:t>
            </w:r>
          </w:p>
        </w:tc>
        <w:tc>
          <w:tcPr>
            <w:tcW w:w="840" w:type="dxa"/>
            <w:vAlign w:val="bottom"/>
          </w:tcPr>
          <w:p>
            <w:pPr>
              <w:jc w:val="right"/>
              <w:spacing w:after="0"/>
              <w:rPr>
                <w:sz w:val="20"/>
                <w:szCs w:val="20"/>
                <w:color w:val="auto"/>
              </w:rPr>
            </w:pPr>
            <w:r>
              <w:rPr>
                <w:rFonts w:ascii="Arial" w:cs="Arial" w:eastAsia="Arial" w:hAnsi="Arial"/>
                <w:sz w:val="11"/>
                <w:szCs w:val="11"/>
                <w:color w:val="auto"/>
              </w:rPr>
              <w:t>3M L+450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ITI Holdings,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03/03/2028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K2 Pure Solutions NoCal, L.P. (Revolver)</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12.81 %</w:t>
            </w:r>
          </w:p>
        </w:tc>
        <w:tc>
          <w:tcPr>
            <w:tcW w:w="840" w:type="dxa"/>
            <w:vAlign w:val="bottom"/>
          </w:tcPr>
          <w:p>
            <w:pPr>
              <w:jc w:val="right"/>
              <w:spacing w:after="0"/>
              <w:rPr>
                <w:sz w:val="20"/>
                <w:szCs w:val="20"/>
                <w:color w:val="auto"/>
              </w:rPr>
            </w:pPr>
            <w:r>
              <w:rPr>
                <w:rFonts w:ascii="Arial" w:cs="Arial" w:eastAsia="Arial" w:hAnsi="Arial"/>
                <w:sz w:val="11"/>
                <w:szCs w:val="11"/>
                <w:color w:val="auto"/>
              </w:rPr>
              <w:t>3M L+800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12/20/2023</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1,071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Kinetic Purchaser,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11.16 %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17,340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17,059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17,080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Kinetic Purchaser, LLC -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11/10/2026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2,748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2,748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Kinetic Purchaser, LLC -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11/10/2026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687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02/18/2027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11.84 %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10,457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10,294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11.89 %</w:t>
            </w:r>
          </w:p>
        </w:tc>
        <w:tc>
          <w:tcPr>
            <w:tcW w:w="840" w:type="dxa"/>
            <w:vAlign w:val="bottom"/>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08/16/2026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768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11.23 %</w:t>
            </w:r>
          </w:p>
        </w:tc>
        <w:tc>
          <w:tcPr>
            <w:tcW w:w="840" w:type="dxa"/>
            <w:vAlign w:val="bottom"/>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9,766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9,630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(PIK 5.50%)</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 - Unfunded Term Loan</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10/31/2024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52"/>
        </w:trPr>
        <w:tc>
          <w:tcPr>
            <w:tcW w:w="2900" w:type="dxa"/>
            <w:vAlign w:val="bottom"/>
          </w:tcPr>
          <w:p>
            <w:pPr>
              <w:ind w:left="20"/>
              <w:spacing w:after="0" w:line="152"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10/31/2024</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10.55 %</w:t>
            </w:r>
          </w:p>
        </w:tc>
        <w:tc>
          <w:tcPr>
            <w:tcW w:w="840" w:type="dxa"/>
            <w:vAlign w:val="bottom"/>
          </w:tcPr>
          <w:p>
            <w:pPr>
              <w:jc w:val="right"/>
              <w:spacing w:after="0"/>
              <w:rPr>
                <w:sz w:val="20"/>
                <w:szCs w:val="20"/>
                <w:color w:val="auto"/>
              </w:rPr>
            </w:pPr>
            <w:r>
              <w:rPr>
                <w:rFonts w:ascii="Arial" w:cs="Arial" w:eastAsia="Arial" w:hAnsi="Arial"/>
                <w:sz w:val="11"/>
                <w:szCs w:val="11"/>
                <w:color w:val="auto"/>
              </w:rPr>
              <w:t>1M L+565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(PIK 5.50%)</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Ledge Lounger,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11/09/2026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11.30 %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3,728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3,680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3,654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11.30 %</w:t>
            </w:r>
          </w:p>
        </w:tc>
        <w:tc>
          <w:tcPr>
            <w:tcW w:w="840" w:type="dxa"/>
            <w:vAlign w:val="bottom"/>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11/09/2026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Lightspeed Buyer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10.34 %</w:t>
            </w:r>
          </w:p>
        </w:tc>
        <w:tc>
          <w:tcPr>
            <w:tcW w:w="840" w:type="dxa"/>
            <w:vAlign w:val="bottom"/>
          </w:tcPr>
          <w:p>
            <w:pPr>
              <w:jc w:val="right"/>
              <w:spacing w:after="0"/>
              <w:rPr>
                <w:sz w:val="20"/>
                <w:szCs w:val="20"/>
                <w:color w:val="auto"/>
              </w:rPr>
            </w:pPr>
            <w:r>
              <w:rPr>
                <w:rFonts w:ascii="Arial" w:cs="Arial" w:eastAsia="Arial" w:hAnsi="Arial"/>
                <w:sz w:val="11"/>
                <w:szCs w:val="11"/>
                <w:color w:val="auto"/>
              </w:rPr>
              <w:t>1M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24,233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23,978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02/03/2026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2,499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LJ Avalon Holdings, LLC - Unfunded Term Loan</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07/31/2024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2,824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LJ Avalon Holdings,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01/31/2030</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1,130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Lucky Bucks, LLC </w:t>
            </w:r>
            <w:r>
              <w:rPr>
                <w:rFonts w:ascii="Arial" w:cs="Arial" w:eastAsia="Arial" w:hAnsi="Arial"/>
                <w:sz w:val="14"/>
                <w:szCs w:val="14"/>
                <w:color w:val="auto"/>
                <w:vertAlign w:val="superscript"/>
              </w:rPr>
              <w:t>(6)</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0.00 %</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4,275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04/01/2027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10.50 %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3,694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3,570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10.55 %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8,772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8,684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04/16/2027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MDI Buyer, Inc. - Unfunded Term Loan</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07/25/2028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10.61 %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2,052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MDI Buyer,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07/25/2028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Commodity Chemicals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10.37 %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MDI Buyer,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07/25/2028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Meadowlark Acquirer,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10.41 %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1,988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Meadowlark Acquirer, LLC - Term Loan I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1,103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Meadowlark Acquirer, LLC - Term Loan II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9,483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9.69 %</w:t>
            </w:r>
          </w:p>
        </w:tc>
        <w:tc>
          <w:tcPr>
            <w:tcW w:w="840" w:type="dxa"/>
            <w:vAlign w:val="bottom"/>
          </w:tcPr>
          <w:p>
            <w:pPr>
              <w:jc w:val="right"/>
              <w:spacing w:after="0"/>
              <w:rPr>
                <w:sz w:val="20"/>
                <w:szCs w:val="20"/>
                <w:color w:val="auto"/>
              </w:rPr>
            </w:pPr>
            <w:r>
              <w:rPr>
                <w:rFonts w:ascii="Arial" w:cs="Arial" w:eastAsia="Arial" w:hAnsi="Arial"/>
                <w:sz w:val="11"/>
                <w:szCs w:val="11"/>
                <w:color w:val="auto"/>
              </w:rPr>
              <w:t>SOFR +500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3,574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Mission Critical Electronics, Inc.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12.00 %</w:t>
            </w:r>
          </w:p>
        </w:tc>
        <w:tc>
          <w:tcPr>
            <w:tcW w:w="840" w:type="dxa"/>
            <w:vAlign w:val="bottom"/>
          </w:tcPr>
          <w:p>
            <w:pPr>
              <w:jc w:val="right"/>
              <w:spacing w:after="0"/>
              <w:rPr>
                <w:sz w:val="20"/>
                <w:szCs w:val="20"/>
                <w:color w:val="auto"/>
              </w:rPr>
            </w:pPr>
            <w:r>
              <w:rPr>
                <w:rFonts w:ascii="Arial" w:cs="Arial" w:eastAsia="Arial" w:hAnsi="Arial"/>
                <w:sz w:val="11"/>
                <w:szCs w:val="11"/>
                <w:color w:val="auto"/>
              </w:rPr>
              <w:t>1M L+400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10.49 %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w w:val="95"/>
              </w:rPr>
              <w:t>Municipal Emergency Services, Inc. - Unfunded Term Loan A</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06/16/2023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w w:val="95"/>
              </w:rPr>
              <w:t>Municipal Emergency Services, Inc. - Unfunded Term Loan B</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12/16/2024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(53 )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11.05 %</w:t>
            </w:r>
          </w:p>
        </w:tc>
        <w:tc>
          <w:tcPr>
            <w:tcW w:w="840" w:type="dxa"/>
            <w:vAlign w:val="bottom"/>
          </w:tcPr>
          <w:p>
            <w:pPr>
              <w:jc w:val="right"/>
              <w:spacing w:after="0"/>
              <w:rPr>
                <w:sz w:val="20"/>
                <w:szCs w:val="20"/>
                <w:color w:val="auto"/>
              </w:rPr>
            </w:pPr>
            <w:r>
              <w:rPr>
                <w:rFonts w:ascii="Arial" w:cs="Arial" w:eastAsia="Arial" w:hAnsi="Arial"/>
                <w:sz w:val="11"/>
                <w:szCs w:val="11"/>
                <w:color w:val="auto"/>
              </w:rPr>
              <w:t>3M L+615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08/19/2026</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1,677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08"/>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b w:val="1"/>
                <w:bCs w:val="1"/>
                <w:color w:val="auto"/>
              </w:rPr>
              <w:t>Basis Point</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ind w:left="280"/>
              <w:spacing w:after="0" w:line="122" w:lineRule="exact"/>
              <w:rPr>
                <w:sz w:val="20"/>
                <w:szCs w:val="20"/>
                <w:color w:val="auto"/>
              </w:rPr>
            </w:pPr>
            <w:r>
              <w:rPr>
                <w:rFonts w:ascii="Arial" w:cs="Arial" w:eastAsia="Arial" w:hAnsi="Arial"/>
                <w:sz w:val="11"/>
                <w:szCs w:val="11"/>
                <w:b w:val="1"/>
                <w:bCs w:val="1"/>
                <w:color w:val="auto"/>
              </w:rPr>
              <w:t>Spread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right"/>
              <w:ind w:right="480"/>
              <w:spacing w:after="0" w:line="109"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ind w:left="280"/>
              <w:spacing w:after="0" w:line="109" w:lineRule="exact"/>
              <w:rPr>
                <w:sz w:val="20"/>
                <w:szCs w:val="20"/>
                <w:color w:val="auto"/>
              </w:rPr>
            </w:pPr>
            <w:r>
              <w:rPr>
                <w:rFonts w:ascii="Arial" w:cs="Arial" w:eastAsia="Arial" w:hAnsi="Arial"/>
                <w:sz w:val="11"/>
                <w:szCs w:val="11"/>
                <w:b w:val="1"/>
                <w:bCs w:val="1"/>
                <w:color w:val="auto"/>
              </w:rPr>
              <w:t>Above</w:t>
            </w:r>
          </w:p>
        </w:tc>
        <w:tc>
          <w:tcPr>
            <w:tcW w:w="220" w:type="dxa"/>
            <w:vAlign w:val="bottom"/>
          </w:tcPr>
          <w:p>
            <w:pPr>
              <w:spacing w:after="0"/>
              <w:rPr>
                <w:sz w:val="9"/>
                <w:szCs w:val="9"/>
                <w:color w:val="auto"/>
              </w:rPr>
            </w:pPr>
          </w:p>
        </w:tc>
        <w:tc>
          <w:tcPr>
            <w:tcW w:w="800" w:type="dxa"/>
            <w:vAlign w:val="bottom"/>
          </w:tcPr>
          <w:p>
            <w:pPr>
              <w:jc w:val="right"/>
              <w:ind w:right="22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4"/>
                <w:szCs w:val="14"/>
                <w:b w:val="1"/>
                <w:bCs w:val="1"/>
                <w:color w:val="auto"/>
                <w:vertAlign w:val="superscript"/>
              </w:rPr>
              <w:t>(1)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05/07/2027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Air Freight and Logistics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11.09 %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8,714</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8,580</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10.41 %</w:t>
            </w:r>
          </w:p>
        </w:tc>
        <w:tc>
          <w:tcPr>
            <w:tcW w:w="840" w:type="dxa"/>
            <w:vAlign w:val="bottom"/>
          </w:tcPr>
          <w:p>
            <w:pPr>
              <w:jc w:val="right"/>
              <w:spacing w:after="0"/>
              <w:rPr>
                <w:sz w:val="20"/>
                <w:szCs w:val="20"/>
                <w:color w:val="auto"/>
              </w:rPr>
            </w:pPr>
            <w:r>
              <w:rPr>
                <w:rFonts w:ascii="Arial" w:cs="Arial" w:eastAsia="Arial" w:hAnsi="Arial"/>
                <w:sz w:val="11"/>
                <w:szCs w:val="11"/>
                <w:color w:val="auto"/>
              </w:rPr>
              <w:t>3M L+525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7,159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7,087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09/03/2027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Output Services Group, Inc. </w:t>
            </w:r>
            <w:r>
              <w:rPr>
                <w:rFonts w:ascii="Arial" w:cs="Arial" w:eastAsia="Arial" w:hAnsi="Arial"/>
                <w:sz w:val="14"/>
                <w:szCs w:val="14"/>
                <w:color w:val="auto"/>
                <w:vertAlign w:val="superscript"/>
              </w:rPr>
              <w:t>(6)</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06/27/2026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0.00 %</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4,885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Owl Acquisition,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02/04/2028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10.16 %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3,892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3,789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12.41 %</w:t>
            </w:r>
          </w:p>
        </w:tc>
        <w:tc>
          <w:tcPr>
            <w:tcW w:w="840" w:type="dxa"/>
            <w:vAlign w:val="bottom"/>
          </w:tcPr>
          <w:p>
            <w:pPr>
              <w:jc w:val="right"/>
              <w:spacing w:after="0"/>
              <w:rPr>
                <w:sz w:val="20"/>
                <w:szCs w:val="20"/>
                <w:color w:val="auto"/>
              </w:rPr>
            </w:pPr>
            <w:r>
              <w:rPr>
                <w:rFonts w:ascii="Arial" w:cs="Arial" w:eastAsia="Arial" w:hAnsi="Arial"/>
                <w:sz w:val="11"/>
                <w:szCs w:val="11"/>
                <w:color w:val="auto"/>
              </w:rPr>
              <w:t>1M L+725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25,641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25,351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24,872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05/18/2026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(101 )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Pequod Merger Sub,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12/02/2026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11.32 %</w:t>
            </w:r>
          </w:p>
        </w:tc>
        <w:tc>
          <w:tcPr>
            <w:tcW w:w="840" w:type="dxa"/>
            <w:vAlign w:val="bottom"/>
          </w:tcPr>
          <w:p>
            <w:pPr>
              <w:jc w:val="right"/>
              <w:spacing w:after="0"/>
              <w:rPr>
                <w:sz w:val="20"/>
                <w:szCs w:val="20"/>
                <w:color w:val="auto"/>
              </w:rPr>
            </w:pPr>
            <w:r>
              <w:rPr>
                <w:rFonts w:ascii="Arial" w:cs="Arial" w:eastAsia="Arial" w:hAnsi="Arial"/>
                <w:sz w:val="11"/>
                <w:szCs w:val="11"/>
                <w:color w:val="auto"/>
              </w:rPr>
              <w:t>3M L+640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11,532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11,301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Pequod Merger Sub, Inc. - Unfunded Term Loan</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12/02/2026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2,847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Pequod Merger Sub, Inc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12/02/2026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 Acquisitionco,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11/09/2027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11.34 %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6,079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5,992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PL Acquisitionco, LLC -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11/09/2027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(103 )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05/08/2026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10.25 %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3,420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Pragmatic Institute, LLC - Unfunded Term Loan</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07/06/2028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Pragmatic Institute, LLC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07/06/2028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10.64 %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Pragmatic Institute, LLC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07/06/2028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25"/>
        </w:trPr>
        <w:tc>
          <w:tcPr>
            <w:tcW w:w="290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Quantic Electronics, LLC</w:t>
            </w:r>
          </w:p>
        </w:tc>
        <w:tc>
          <w:tcPr>
            <w:tcW w:w="88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90"/>
              </w:rPr>
              <w:t>11/19/2026</w:t>
            </w:r>
          </w:p>
        </w:tc>
        <w:tc>
          <w:tcPr>
            <w:tcW w:w="16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20" w:type="dxa"/>
            <w:vAlign w:val="bottom"/>
            <w:gridSpan w:val="3"/>
            <w:shd w:val="clear" w:color="auto" w:fill="CCECFF"/>
          </w:tcPr>
          <w:p>
            <w:pPr>
              <w:jc w:val="right"/>
              <w:ind w:right="140"/>
              <w:spacing w:after="0" w:line="125" w:lineRule="exact"/>
              <w:rPr>
                <w:sz w:val="20"/>
                <w:szCs w:val="20"/>
                <w:color w:val="auto"/>
              </w:rPr>
            </w:pPr>
            <w:r>
              <w:rPr>
                <w:rFonts w:ascii="Arial" w:cs="Arial" w:eastAsia="Arial" w:hAnsi="Arial"/>
                <w:sz w:val="11"/>
                <w:szCs w:val="11"/>
                <w:color w:val="auto"/>
              </w:rPr>
              <w:t>11.22 %</w:t>
            </w:r>
          </w:p>
        </w:tc>
        <w:tc>
          <w:tcPr>
            <w:tcW w:w="8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L+600</w:t>
            </w:r>
          </w:p>
        </w:tc>
        <w:tc>
          <w:tcPr>
            <w:tcW w:w="10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6,681</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6,601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6,581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Quantic Electronics, LLC - Unfunded Term Loan</w:t>
            </w:r>
          </w:p>
        </w:tc>
        <w:tc>
          <w:tcPr>
            <w:tcW w:w="8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11/19/2026</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783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CECFF"/>
          </w:tcPr>
          <w:p>
            <w:pPr>
              <w:ind w:left="20"/>
              <w:spacing w:after="0" w:line="129"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11/19/2026</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11.19 %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536</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11/19/2026</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134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Questex,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09/09/2024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9.28 %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7,163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1,197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12/18/2025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10.48 %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Recteq,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01/29/2026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11.41 %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11.41 %</w:t>
            </w:r>
          </w:p>
        </w:tc>
        <w:tc>
          <w:tcPr>
            <w:tcW w:w="840" w:type="dxa"/>
            <w:vAlign w:val="bottom"/>
          </w:tcPr>
          <w:p>
            <w:pPr>
              <w:jc w:val="right"/>
              <w:spacing w:after="0"/>
              <w:rPr>
                <w:sz w:val="20"/>
                <w:szCs w:val="20"/>
                <w:color w:val="auto"/>
              </w:rPr>
            </w:pPr>
            <w:r>
              <w:rPr>
                <w:rFonts w:ascii="Arial" w:cs="Arial" w:eastAsia="Arial" w:hAnsi="Arial"/>
                <w:sz w:val="11"/>
                <w:szCs w:val="11"/>
                <w:color w:val="auto"/>
              </w:rPr>
              <w:t>3M L+625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01/29/2026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(43 )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Research Now Group, Inc. and Dynata,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10.31 %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17,052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16,929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12,928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Riverpoint Medical,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06/20/2025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9.86 %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7,980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7,933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06/20/2025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03/10/2025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10.80 %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15,278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15,153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01/03/2025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11.16 %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7,105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7,048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7,069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01/03/2025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Sargent &amp; Greenleaf Inc.</w:t>
            </w:r>
          </w:p>
        </w:tc>
        <w:tc>
          <w:tcPr>
            <w:tcW w:w="8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12/20/2024</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2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12.26 %</w:t>
            </w: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1M L+750</w:t>
            </w:r>
          </w:p>
        </w:tc>
        <w:tc>
          <w:tcPr>
            <w:tcW w:w="10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3,467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3,447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3,406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12/20/2024</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12.26 %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800</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12/20/2024</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273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07/14/2025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11.41 %</w:t>
            </w:r>
          </w:p>
        </w:tc>
        <w:tc>
          <w:tcPr>
            <w:tcW w:w="840" w:type="dxa"/>
            <w:vAlign w:val="bottom"/>
            <w:shd w:val="clear" w:color="auto" w:fill="CCECFF"/>
          </w:tcPr>
          <w:p>
            <w:pPr>
              <w:ind w:left="280"/>
              <w:spacing w:after="0"/>
              <w:rPr>
                <w:sz w:val="20"/>
                <w:szCs w:val="20"/>
                <w:color w:val="auto"/>
              </w:rPr>
            </w:pPr>
            <w:r>
              <w:rPr>
                <w:rFonts w:ascii="Arial" w:cs="Arial" w:eastAsia="Arial" w:hAnsi="Arial"/>
                <w:sz w:val="11"/>
                <w:szCs w:val="11"/>
                <w:color w:val="auto"/>
                <w:w w:val="87"/>
              </w:rPr>
              <w:t>SOFR + 700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14,523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Schlesinger Global, Inc. (Revolver)</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11.41 %</w:t>
            </w:r>
          </w:p>
        </w:tc>
        <w:tc>
          <w:tcPr>
            <w:tcW w:w="840" w:type="dxa"/>
            <w:vAlign w:val="bottom"/>
          </w:tcPr>
          <w:p>
            <w:pPr>
              <w:jc w:val="right"/>
              <w:spacing w:after="0"/>
              <w:rPr>
                <w:sz w:val="20"/>
                <w:szCs w:val="20"/>
                <w:color w:val="auto"/>
              </w:rPr>
            </w:pPr>
            <w:r>
              <w:rPr>
                <w:rFonts w:ascii="Arial" w:cs="Arial" w:eastAsia="Arial" w:hAnsi="Arial"/>
                <w:sz w:val="11"/>
                <w:szCs w:val="11"/>
                <w:color w:val="auto"/>
              </w:rPr>
              <w:t>1M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1,490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07/14/2025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Seaway Buyer,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06/13/2029</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11.05 %</w:t>
            </w:r>
          </w:p>
        </w:tc>
        <w:tc>
          <w:tcPr>
            <w:tcW w:w="84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1,930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Sigma Defense Systems,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12/18/2025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13.66 %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10,828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10,634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13.66 %</w:t>
            </w:r>
          </w:p>
        </w:tc>
        <w:tc>
          <w:tcPr>
            <w:tcW w:w="840" w:type="dxa"/>
            <w:vAlign w:val="bottom"/>
          </w:tcPr>
          <w:p>
            <w:pPr>
              <w:jc w:val="right"/>
              <w:spacing w:after="0"/>
              <w:rPr>
                <w:sz w:val="20"/>
                <w:szCs w:val="20"/>
                <w:color w:val="auto"/>
              </w:rPr>
            </w:pPr>
            <w:r>
              <w:rPr>
                <w:rFonts w:ascii="Arial" w:cs="Arial" w:eastAsia="Arial" w:hAnsi="Arial"/>
                <w:sz w:val="11"/>
                <w:szCs w:val="11"/>
                <w:color w:val="auto"/>
              </w:rPr>
              <w:t>3M L+850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1,966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12/18/2025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Signature Systems Holding Company</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11.55 %</w:t>
            </w:r>
          </w:p>
        </w:tc>
        <w:tc>
          <w:tcPr>
            <w:tcW w:w="840" w:type="dxa"/>
            <w:vAlign w:val="bottom"/>
          </w:tcPr>
          <w:p>
            <w:pPr>
              <w:jc w:val="right"/>
              <w:spacing w:after="0"/>
              <w:rPr>
                <w:sz w:val="20"/>
                <w:szCs w:val="20"/>
                <w:color w:val="auto"/>
              </w:rPr>
            </w:pPr>
            <w:r>
              <w:rPr>
                <w:rFonts w:ascii="Arial" w:cs="Arial" w:eastAsia="Arial" w:hAnsi="Arial"/>
                <w:sz w:val="11"/>
                <w:szCs w:val="11"/>
                <w:color w:val="auto"/>
              </w:rPr>
              <w:t>1M L+650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10,033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10,033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05/03/2024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Smile Brands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9.34 %</w:t>
            </w:r>
          </w:p>
        </w:tc>
        <w:tc>
          <w:tcPr>
            <w:tcW w:w="840" w:type="dxa"/>
            <w:vAlign w:val="bottom"/>
          </w:tcPr>
          <w:p>
            <w:pPr>
              <w:jc w:val="right"/>
              <w:spacing w:after="0"/>
              <w:rPr>
                <w:sz w:val="20"/>
                <w:szCs w:val="20"/>
                <w:color w:val="auto"/>
              </w:rPr>
            </w:pPr>
            <w:r>
              <w:rPr>
                <w:rFonts w:ascii="Arial" w:cs="Arial" w:eastAsia="Arial" w:hAnsi="Arial"/>
                <w:sz w:val="11"/>
                <w:szCs w:val="11"/>
                <w:color w:val="auto"/>
              </w:rPr>
              <w:t>1M L+450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2,450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10/14/2025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10.23 %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Smile Brands Inc. 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01/17/2024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10.59 %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5,706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5,685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5,432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01/17/2024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1,665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(80 )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Spendmend Holdings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03/01/2028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10.61 %</w:t>
            </w:r>
          </w:p>
        </w:tc>
        <w:tc>
          <w:tcPr>
            <w:tcW w:w="840" w:type="dxa"/>
            <w:vAlign w:val="bottom"/>
            <w:shd w:val="clear" w:color="auto" w:fill="CCECFF"/>
          </w:tcPr>
          <w:p>
            <w:pPr>
              <w:ind w:left="280"/>
              <w:spacing w:after="0"/>
              <w:rPr>
                <w:sz w:val="20"/>
                <w:szCs w:val="20"/>
                <w:color w:val="auto"/>
              </w:rPr>
            </w:pPr>
            <w:r>
              <w:rPr>
                <w:rFonts w:ascii="Arial" w:cs="Arial" w:eastAsia="Arial" w:hAnsi="Arial"/>
                <w:sz w:val="11"/>
                <w:szCs w:val="11"/>
                <w:color w:val="auto"/>
                <w:w w:val="87"/>
              </w:rPr>
              <w:t>SOFR + 575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3,166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Spendmend Holdings LLC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Spendmend Holdings LLC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03/01/2028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Spendmend Holdings LLC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12/11/2026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10.16 %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4,752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System Planning and Analysis, Inc.</w:t>
            </w:r>
          </w:p>
        </w:tc>
        <w:tc>
          <w:tcPr>
            <w:tcW w:w="8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08/16/2027</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22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10.69 %</w:t>
            </w: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SOFR+600</w:t>
            </w:r>
          </w:p>
        </w:tc>
        <w:tc>
          <w:tcPr>
            <w:tcW w:w="10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18,466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18,173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18,189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System Planning and Analysis, Inc.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08/16/2027</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1,482</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System Planning and Analysis, Inc.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08/16/2027</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0"/>
                <w:szCs w:val="10"/>
                <w:color w:val="auto"/>
              </w:rPr>
            </w:pP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3,706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(58 )</w:t>
            </w:r>
          </w:p>
        </w:tc>
        <w:tc>
          <w:tcPr>
            <w:tcW w:w="0" w:type="dxa"/>
            <w:vAlign w:val="bottom"/>
          </w:tcPr>
          <w:p>
            <w:pPr>
              <w:spacing w:after="0"/>
              <w:rPr>
                <w:sz w:val="1"/>
                <w:szCs w:val="1"/>
                <w:color w:val="auto"/>
              </w:rPr>
            </w:pPr>
          </w:p>
        </w:tc>
      </w:tr>
      <w:tr>
        <w:trPr>
          <w:trHeight w:val="140"/>
        </w:trPr>
        <w:tc>
          <w:tcPr>
            <w:tcW w:w="2900" w:type="dxa"/>
            <w:vAlign w:val="bottom"/>
          </w:tcPr>
          <w:p>
            <w:pPr>
              <w:ind w:left="100"/>
              <w:spacing w:after="0"/>
              <w:rPr>
                <w:sz w:val="20"/>
                <w:szCs w:val="20"/>
                <w:color w:val="auto"/>
              </w:rPr>
            </w:pPr>
            <w:r>
              <w:rPr>
                <w:rFonts w:ascii="Arial" w:cs="Arial" w:eastAsia="Arial" w:hAnsi="Arial"/>
                <w:sz w:val="11"/>
                <w:szCs w:val="11"/>
                <w:color w:val="auto"/>
              </w:rPr>
              <w:t>(f/k/a Management Consulting &amp; Research, LLC)</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07/18/2025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10.16 %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5,763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11.51 %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5,449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5,340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07/28/2026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12.15 %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6,202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6,105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Infosoft Group,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09/16/2024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10.42 %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15,056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14,954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9.96 %</w:t>
            </w:r>
          </w:p>
        </w:tc>
        <w:tc>
          <w:tcPr>
            <w:tcW w:w="84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2,148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08/30/2027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The Vertex Companies, LLC (Revolver)</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10.00 %</w:t>
            </w:r>
          </w:p>
        </w:tc>
        <w:tc>
          <w:tcPr>
            <w:tcW w:w="84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08/30/2027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(5), (10)</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11/24/2025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10.25 %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4,838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03/26/2026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10.59 %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24,206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23,904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23,843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06/16/2025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5,468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06/16/2025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2,628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04/01/2028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10.24 %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12,581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(97 )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04/03/2024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9.66 %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17,879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17,850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04/03/2024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2,933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Unique Indoor Comfort,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05/24/2027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10.30 %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 + 525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15,539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15,336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Unique Indoor Comfort, LLC Term Loan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05/24/2027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4,360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Unique Indoor Comfort,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05/24/2027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546"/>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032"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8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LLC - Term Loan</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03/31/2027</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11.52 %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L+635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3,132</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Walker Edison Furniture Company, LLC - Funded Junior</w:t>
            </w:r>
          </w:p>
        </w:tc>
        <w:tc>
          <w:tcPr>
            <w:tcW w:w="82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03/31/2027</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Wholesale</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11.02 %</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3M L+635</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Revolver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1"/>
              </w:rPr>
              <w:t>Walker Edison Furniture Company, LLC - Unfunded Term Loan</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03/31/2027</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Wildcat Buyerco, Inc.</w:t>
            </w:r>
          </w:p>
        </w:tc>
        <w:tc>
          <w:tcPr>
            <w:tcW w:w="82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02/27/2026</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10.80 %</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9,803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9,688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9,558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Wildcat Buyerco, Inc. (Revolver)</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Electronic Equipment, Instruments, and</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12.75 %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(9)</w:t>
            </w:r>
          </w:p>
        </w:tc>
        <w:tc>
          <w:tcPr>
            <w:tcW w:w="82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02/27/2026</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448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Zips Car Wash, LLC</w:t>
            </w:r>
          </w:p>
        </w:tc>
        <w:tc>
          <w:tcPr>
            <w:tcW w:w="82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03/01/2024</w:t>
            </w: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1240" w:type="dxa"/>
            <w:vAlign w:val="bottom"/>
            <w:tcBorders>
              <w:bottom w:val="single" w:sz="8" w:color="CCECFF"/>
            </w:tcBorders>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12.14 %</w:t>
            </w:r>
          </w:p>
        </w:tc>
        <w:tc>
          <w:tcPr>
            <w:tcW w:w="8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L+725</w:t>
            </w:r>
          </w:p>
        </w:tc>
        <w:tc>
          <w:tcPr>
            <w:tcW w:w="10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13,360</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13,267</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13,059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796,060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766,255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Debt—0%</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 xml:space="preserve">0.00 % </w:t>
            </w:r>
            <w:r>
              <w:rPr>
                <w:rFonts w:ascii="Arial" w:cs="Arial" w:eastAsia="Arial" w:hAnsi="Arial"/>
                <w:sz w:val="14"/>
                <w:szCs w:val="14"/>
                <w:color w:val="auto"/>
                <w:vertAlign w:val="superscript"/>
              </w:rPr>
              <w:t>(6)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04/23/2025</w:t>
            </w: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240" w:type="dxa"/>
            <w:vAlign w:val="bottom"/>
            <w:gridSpan w:val="3"/>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82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02/04/2027</w:t>
            </w: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tcBorders>
              <w:bottom w:val="single" w:sz="8" w:color="CCECFF"/>
            </w:tcBorders>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14.71 %</w:t>
            </w:r>
          </w:p>
        </w:tc>
        <w:tc>
          <w:tcPr>
            <w:tcW w:w="8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10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150</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148</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1,113</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b w:val="1"/>
                <w:bCs w:val="1"/>
                <w:color w:val="auto"/>
              </w:rPr>
              <w:t xml:space="preserve">Preferred Equity— 2.0% </w:t>
            </w:r>
            <w:r>
              <w:rPr>
                <w:rFonts w:ascii="Arial" w:cs="Arial" w:eastAsia="Arial" w:hAnsi="Arial"/>
                <w:sz w:val="14"/>
                <w:szCs w:val="14"/>
                <w:b w:val="1"/>
                <w:bCs w:val="1"/>
                <w:color w:val="auto"/>
                <w:vertAlign w:val="superscript"/>
              </w:rPr>
              <w:t>(6)</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6,720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2,018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Cartessa Aesthetics, LLC (Preferred) </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Topco, LP</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8.00 %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12.00 %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(8), (10)</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5"/>
              </w:rPr>
              <w:t xml:space="preserve">TWD Parent Holdings, LLC (The Vertex Companies, LLC) </w:t>
            </w:r>
            <w:r>
              <w:rPr>
                <w:rFonts w:ascii="Arial" w:cs="Arial" w:eastAsia="Arial" w:hAnsi="Arial"/>
                <w:sz w:val="14"/>
                <w:szCs w:val="14"/>
                <w:color w:val="auto"/>
                <w:w w:val="95"/>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20.00 %</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343,861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19.00 %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13.50 %</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10,297</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10,838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1"/>
                <w:szCs w:val="11"/>
                <w:b w:val="1"/>
                <w:bCs w:val="1"/>
                <w:color w:val="auto"/>
              </w:rPr>
              <w:t xml:space="preserve">Common Equity/Warrants— 16.7% </w:t>
            </w:r>
            <w:r>
              <w:rPr>
                <w:rFonts w:ascii="Arial" w:cs="Arial" w:eastAsia="Arial" w:hAnsi="Arial"/>
                <w:sz w:val="14"/>
                <w:szCs w:val="14"/>
                <w:b w:val="1"/>
                <w:bCs w:val="1"/>
                <w:color w:val="auto"/>
                <w:vertAlign w:val="superscript"/>
              </w:rPr>
              <w:t>(6)</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A1 Garage Equity, LLC</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647,943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7,467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Affinion Group Holdings, Inc. (Warrants)</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04/10/2024</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1,436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2,018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Athletico Holdings, LLC </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4,678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BioDerm Holdings, LP</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1,313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Burgess Point Holdings, LP</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Auto Components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22,789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Connatix Parent,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38,278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615,484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6"/>
              </w:rPr>
              <w:t xml:space="preserve">Delta InvestCo LP (Sigma Defense Systems, LLC) </w:t>
            </w:r>
            <w:r>
              <w:rPr>
                <w:rFonts w:ascii="Arial" w:cs="Arial" w:eastAsia="Arial" w:hAnsi="Arial"/>
                <w:sz w:val="14"/>
                <w:szCs w:val="14"/>
                <w:color w:val="auto"/>
                <w:w w:val="96"/>
                <w:vertAlign w:val="superscript"/>
              </w:rPr>
              <w:t>(7), (8),(9)</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389,386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(7), (8)</w:t>
            </w: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295,982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65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869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EDS Topco, LP</w:t>
            </w: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1,125,000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1,125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1,125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Exigo, LLC</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541,667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Express Wash Topco, LLC</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20,000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21,083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9,488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Five Star Parent Holdings, LLC</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655,714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Gauge InfosoftCoInvest, LLC</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1,485,953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19,184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Go Dawgs Capital III, LP</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HV Watterson Holdings, LLC</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Icon Partners V C, L.P.</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1,863,863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 (9)</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636,137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IIN Group Holdings, LLC</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Topco, LP (Common)</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IHS Parent Holdngs, L.P.</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1,218,045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w w:val="93"/>
              </w:rPr>
              <w:t xml:space="preserve">Ironclad Holdco, LLC (Applied Technical Services, LLC) </w:t>
            </w:r>
            <w:r>
              <w:rPr>
                <w:rFonts w:ascii="Arial" w:cs="Arial" w:eastAsia="Arial" w:hAnsi="Arial"/>
                <w:sz w:val="14"/>
                <w:szCs w:val="14"/>
                <w:color w:val="auto"/>
                <w:w w:val="93"/>
                <w:vertAlign w:val="superscript"/>
              </w:rPr>
              <w:t>(7), (8)</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5,811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ITC Infusion Co-invest, LP </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116,032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46,763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546"/>
        </w:trPr>
        <w:tc>
          <w:tcPr>
            <w:tcW w:w="2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-6592570</wp:posOffset>
            </wp:positionV>
            <wp:extent cx="7132320"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-6198235</wp:posOffset>
            </wp:positionV>
            <wp:extent cx="68580" cy="111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-6198235</wp:posOffset>
            </wp:positionV>
            <wp:extent cx="68580" cy="111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-4572000</wp:posOffset>
            </wp:positionV>
            <wp:extent cx="6858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-4572000</wp:posOffset>
            </wp:positionV>
            <wp:extent cx="6858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Maturity</w:t>
            </w:r>
          </w:p>
        </w:tc>
        <w:tc>
          <w:tcPr>
            <w:tcW w:w="28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ind w:left="20"/>
              <w:spacing w:after="0" w:line="142" w:lineRule="exact"/>
              <w:rPr>
                <w:sz w:val="20"/>
                <w:szCs w:val="20"/>
                <w:color w:val="auto"/>
              </w:rPr>
            </w:pPr>
            <w:r>
              <w:rPr>
                <w:rFonts w:ascii="Arial" w:cs="Arial" w:eastAsia="Arial" w:hAnsi="Arial"/>
                <w:sz w:val="11"/>
                <w:szCs w:val="11"/>
                <w:color w:val="auto"/>
              </w:rPr>
              <w:t xml:space="preserve">Kentucky Racing Holdco, LLC </w:t>
            </w:r>
            <w:r>
              <w:rPr>
                <w:rFonts w:ascii="Arial" w:cs="Arial" w:eastAsia="Arial" w:hAnsi="Arial"/>
                <w:sz w:val="14"/>
                <w:szCs w:val="14"/>
                <w:color w:val="auto"/>
                <w:vertAlign w:val="superscript"/>
              </w:rPr>
              <w:t>(8)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87,345</w:t>
            </w:r>
          </w:p>
        </w:tc>
        <w:tc>
          <w:tcPr>
            <w:tcW w:w="400" w:type="dxa"/>
            <w:vAlign w:val="bottom"/>
            <w:gridSpan w:val="2"/>
            <w:shd w:val="clear" w:color="auto" w:fill="CCECFF"/>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Kinetic Purchaser, LLC</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1,734,775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LJ Avalon, LP</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1,638,043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MDI Aggregator, LP</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10,761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Meadowlark Title, LLC </w:t>
            </w:r>
            <w:r>
              <w:rPr>
                <w:rFonts w:ascii="Arial" w:cs="Arial" w:eastAsia="Arial" w:hAnsi="Arial"/>
                <w:sz w:val="14"/>
                <w:szCs w:val="14"/>
                <w:color w:val="auto"/>
                <w:vertAlign w:val="superscript"/>
              </w:rPr>
              <w:t>(8)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819,231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MSpark, LLC</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3,988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1,973,370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North Haven Saints Equity Holdings, LP </w:t>
            </w:r>
            <w:r>
              <w:rPr>
                <w:rFonts w:ascii="Arial" w:cs="Arial" w:eastAsia="Arial" w:hAnsi="Arial"/>
                <w:sz w:val="14"/>
                <w:szCs w:val="14"/>
                <w:color w:val="auto"/>
                <w:vertAlign w:val="superscript"/>
              </w:rPr>
              <w:t>(8)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223,602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4"/>
              </w:rPr>
              <w:t>OceanSound Discovery Equity, LP (Holdco Sands Intermediate,</w:t>
            </w:r>
          </w:p>
        </w:tc>
        <w:tc>
          <w:tcPr>
            <w:tcW w:w="700" w:type="dxa"/>
            <w:vAlign w:val="bottom"/>
          </w:tcPr>
          <w:p>
            <w:pPr>
              <w:ind w:left="580"/>
              <w:spacing w:after="0" w:line="108"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9"/>
                <w:szCs w:val="9"/>
                <w:color w:val="auto"/>
              </w:rPr>
            </w:pPr>
          </w:p>
        </w:tc>
        <w:tc>
          <w:tcPr>
            <w:tcW w:w="1120" w:type="dxa"/>
            <w:vAlign w:val="bottom"/>
            <w:gridSpan w:val="2"/>
          </w:tcPr>
          <w:p>
            <w:pPr>
              <w:jc w:val="right"/>
              <w:ind w:right="260"/>
              <w:spacing w:after="0" w:line="108"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173,638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1,697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1"/>
                <w:szCs w:val="11"/>
                <w:color w:val="auto"/>
              </w:rPr>
              <w:t>3,445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80" w:type="dxa"/>
            <w:vAlign w:val="bottom"/>
            <w:gridSpan w:val="2"/>
          </w:tcPr>
          <w:p>
            <w:pPr>
              <w:ind w:left="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(7), (8)</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OHCP V BC COI, L.P.</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743,750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(8) (9)</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506,250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11,167,847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LEP Pequod Holdings, LP</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864,865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Pink Lily Holdco, LLC (PL Acquisitions, LLC) </w:t>
            </w:r>
            <w:r>
              <w:rPr>
                <w:rFonts w:ascii="Arial" w:cs="Arial" w:eastAsia="Arial" w:hAnsi="Arial"/>
                <w:sz w:val="14"/>
                <w:szCs w:val="14"/>
                <w:color w:val="auto"/>
                <w:vertAlign w:val="superscript"/>
              </w:rPr>
              <w:t>(8)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Pragmatic Institute, LLC</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610,583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Quad (U.S.) Co-Invest, L.P.</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266,864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267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955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shd w:val="clear" w:color="auto" w:fill="CCECFF"/>
          </w:tcPr>
          <w:p>
            <w:pPr>
              <w:ind w:left="20"/>
              <w:spacing w:after="0" w:line="108" w:lineRule="exact"/>
              <w:rPr>
                <w:sz w:val="20"/>
                <w:szCs w:val="20"/>
                <w:color w:val="auto"/>
              </w:rPr>
            </w:pPr>
            <w:r>
              <w:rPr>
                <w:rFonts w:ascii="Arial" w:cs="Arial" w:eastAsia="Arial" w:hAnsi="Arial"/>
                <w:sz w:val="11"/>
                <w:szCs w:val="11"/>
                <w:color w:val="auto"/>
                <w:w w:val="98"/>
              </w:rPr>
              <w:t>SBI Holdings Investments LLC (Sales Benchmark Index LLC)</w:t>
            </w:r>
          </w:p>
        </w:tc>
        <w:tc>
          <w:tcPr>
            <w:tcW w:w="700" w:type="dxa"/>
            <w:vAlign w:val="bottom"/>
            <w:shd w:val="clear" w:color="auto" w:fill="CCECFF"/>
          </w:tcPr>
          <w:p>
            <w:pPr>
              <w:ind w:left="580"/>
              <w:spacing w:after="0" w:line="108" w:lineRule="exact"/>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08" w:lineRule="exact"/>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9"/>
                <w:szCs w:val="9"/>
                <w:color w:val="auto"/>
              </w:rPr>
            </w:pPr>
          </w:p>
        </w:tc>
        <w:tc>
          <w:tcPr>
            <w:tcW w:w="11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08" w:lineRule="exact"/>
              <w:rPr>
                <w:sz w:val="20"/>
                <w:szCs w:val="20"/>
                <w:color w:val="auto"/>
              </w:rPr>
            </w:pPr>
            <w:r>
              <w:rPr>
                <w:rFonts w:ascii="Arial" w:cs="Arial" w:eastAsia="Arial" w:hAnsi="Arial"/>
                <w:sz w:val="11"/>
                <w:szCs w:val="11"/>
                <w:color w:val="auto"/>
              </w:rPr>
              <w:t>64,634</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646</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651</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7"/>
                <w:szCs w:val="7"/>
                <w:color w:val="auto"/>
              </w:rPr>
              <w:t>(7), (8)</w:t>
            </w:r>
          </w:p>
        </w:tc>
        <w:tc>
          <w:tcPr>
            <w:tcW w:w="12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280" w:type="dxa"/>
            <w:vAlign w:val="bottom"/>
            <w:tcBorders>
              <w:bottom w:val="single" w:sz="8" w:color="CCECFF"/>
            </w:tcBorders>
            <w:shd w:val="clear" w:color="auto" w:fill="CCECFF"/>
          </w:tcPr>
          <w:p>
            <w:pPr>
              <w:spacing w:after="0"/>
              <w:rPr>
                <w:sz w:val="8"/>
                <w:szCs w:val="8"/>
                <w:color w:val="auto"/>
              </w:rPr>
            </w:pPr>
          </w:p>
        </w:tc>
        <w:tc>
          <w:tcPr>
            <w:tcW w:w="20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8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8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Seaway Topco, LP</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SP L2 Holdings, LLC (Ledge Lounger, Inc.)</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360,103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SSC Dominion Holdings, LLC</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gridSpan w:val="2"/>
          </w:tcPr>
          <w:p>
            <w:pPr>
              <w:ind w:left="10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14"/>
                <w:szCs w:val="14"/>
                <w:color w:val="auto"/>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161,538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533,833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shd w:val="clear" w:color="auto" w:fill="CCECFF"/>
          </w:tcPr>
          <w:p>
            <w:pPr>
              <w:ind w:left="20"/>
              <w:spacing w:after="0" w:line="108" w:lineRule="exact"/>
              <w:rPr>
                <w:sz w:val="20"/>
                <w:szCs w:val="20"/>
                <w:color w:val="auto"/>
              </w:rPr>
            </w:pPr>
            <w:r>
              <w:rPr>
                <w:rFonts w:ascii="Arial" w:cs="Arial" w:eastAsia="Arial" w:hAnsi="Arial"/>
                <w:sz w:val="11"/>
                <w:szCs w:val="11"/>
                <w:color w:val="auto"/>
                <w:w w:val="99"/>
              </w:rPr>
              <w:t>Tower Arch Infolinks Media, LP (Infolinks Media Buyco, LLC)</w:t>
            </w:r>
          </w:p>
        </w:tc>
        <w:tc>
          <w:tcPr>
            <w:tcW w:w="700" w:type="dxa"/>
            <w:vAlign w:val="bottom"/>
            <w:shd w:val="clear" w:color="auto" w:fill="CCECFF"/>
          </w:tcPr>
          <w:p>
            <w:pPr>
              <w:ind w:left="580"/>
              <w:spacing w:after="0" w:line="108" w:lineRule="exact"/>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08" w:lineRule="exact"/>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9"/>
                <w:szCs w:val="9"/>
                <w:color w:val="auto"/>
              </w:rPr>
            </w:pPr>
          </w:p>
        </w:tc>
        <w:tc>
          <w:tcPr>
            <w:tcW w:w="11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08" w:lineRule="exact"/>
              <w:rPr>
                <w:sz w:val="20"/>
                <w:szCs w:val="20"/>
                <w:color w:val="auto"/>
              </w:rPr>
            </w:pPr>
            <w:r>
              <w:rPr>
                <w:rFonts w:ascii="Arial" w:cs="Arial" w:eastAsia="Arial" w:hAnsi="Arial"/>
                <w:sz w:val="11"/>
                <w:szCs w:val="11"/>
                <w:color w:val="auto"/>
              </w:rPr>
              <w:t>217,991</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209</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433</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7"/>
                <w:szCs w:val="7"/>
                <w:color w:val="auto"/>
              </w:rPr>
              <w:t>(8)</w:t>
            </w:r>
          </w:p>
        </w:tc>
        <w:tc>
          <w:tcPr>
            <w:tcW w:w="12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280" w:type="dxa"/>
            <w:vAlign w:val="bottom"/>
            <w:tcBorders>
              <w:bottom w:val="single" w:sz="8" w:color="CCECFF"/>
            </w:tcBorders>
            <w:shd w:val="clear" w:color="auto" w:fill="CCECFF"/>
          </w:tcPr>
          <w:p>
            <w:pPr>
              <w:spacing w:after="0"/>
              <w:rPr>
                <w:sz w:val="8"/>
                <w:szCs w:val="8"/>
                <w:color w:val="auto"/>
              </w:rPr>
            </w:pPr>
          </w:p>
        </w:tc>
        <w:tc>
          <w:tcPr>
            <w:tcW w:w="20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8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8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9"/>
              </w:rPr>
              <w:t>Tower Arch Infolinks Media, LP (Infolinks Media Buyco, LLC)</w:t>
            </w:r>
          </w:p>
        </w:tc>
        <w:tc>
          <w:tcPr>
            <w:tcW w:w="700" w:type="dxa"/>
            <w:vAlign w:val="bottom"/>
          </w:tcPr>
          <w:p>
            <w:pPr>
              <w:ind w:left="580"/>
              <w:spacing w:after="0" w:line="108"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1120" w:type="dxa"/>
            <w:vAlign w:val="bottom"/>
            <w:gridSpan w:val="2"/>
          </w:tcPr>
          <w:p>
            <w:pPr>
              <w:jc w:val="right"/>
              <w:ind w:right="260"/>
              <w:spacing w:after="0" w:line="108"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147,616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0"/>
        </w:trPr>
        <w:tc>
          <w:tcPr>
            <w:tcW w:w="2860" w:type="dxa"/>
            <w:vAlign w:val="bottom"/>
          </w:tcPr>
          <w:p>
            <w:pPr>
              <w:ind w:left="20"/>
              <w:spacing w:after="0"/>
              <w:rPr>
                <w:sz w:val="20"/>
                <w:szCs w:val="20"/>
                <w:color w:val="auto"/>
              </w:rPr>
            </w:pPr>
            <w:r>
              <w:rPr>
                <w:rFonts w:ascii="Arial" w:cs="Arial" w:eastAsia="Arial" w:hAnsi="Arial"/>
                <w:sz w:val="7"/>
                <w:szCs w:val="7"/>
                <w:color w:val="auto"/>
              </w:rPr>
              <w:t>(8) (9)</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29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(8), (10)</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w w:val="99"/>
              </w:rPr>
              <w:t xml:space="preserve">TWD Parent Holdings, LLC (The Vertex Companies, LLC) </w:t>
            </w:r>
            <w:r>
              <w:rPr>
                <w:rFonts w:ascii="Arial" w:cs="Arial" w:eastAsia="Arial" w:hAnsi="Arial"/>
                <w:sz w:val="14"/>
                <w:szCs w:val="14"/>
                <w:color w:val="auto"/>
                <w:w w:val="99"/>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213,739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23,889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Urology Partners Co., L.P.</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694,444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Walker Edison Furniture , LLC</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36,458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3,309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WCP IvyRehab QP CF Feeder, LP</w:t>
            </w:r>
            <w:r>
              <w:rPr>
                <w:rFonts w:ascii="Arial" w:cs="Arial" w:eastAsia="Arial" w:hAnsi="Arial"/>
                <w:sz w:val="14"/>
                <w:szCs w:val="14"/>
                <w:color w:val="auto"/>
                <w:vertAlign w:val="superscript"/>
              </w:rPr>
              <w:t>(8)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3,762,257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WCP IvyRehab QP CF Feeder, LP </w:t>
            </w:r>
            <w:r>
              <w:rPr>
                <w:rFonts w:ascii="Arial" w:cs="Arial" w:eastAsia="Arial" w:hAnsi="Arial"/>
                <w:sz w:val="14"/>
                <w:szCs w:val="14"/>
                <w:color w:val="auto"/>
                <w:vertAlign w:val="superscript"/>
              </w:rPr>
              <w:t>(8), (9)</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237,743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25"/>
        </w:trPr>
        <w:tc>
          <w:tcPr>
            <w:tcW w:w="298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2,240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224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745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Equity/Warrants</w:t>
            </w:r>
          </w:p>
        </w:tc>
        <w:tc>
          <w:tcPr>
            <w:tcW w:w="7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66,721</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92,353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80" w:type="dxa"/>
            <w:vAlign w:val="bottom"/>
            <w:gridSpan w:val="3"/>
          </w:tcPr>
          <w:p>
            <w:pPr>
              <w:ind w:left="20"/>
              <w:spacing w:after="0"/>
              <w:rPr>
                <w:sz w:val="20"/>
                <w:szCs w:val="20"/>
                <w:color w:val="auto"/>
              </w:rPr>
            </w:pPr>
            <w:r>
              <w:rPr>
                <w:rFonts w:ascii="Arial" w:cs="Arial" w:eastAsia="Arial" w:hAnsi="Arial"/>
                <w:sz w:val="11"/>
                <w:szCs w:val="11"/>
                <w:b w:val="1"/>
                <w:bCs w:val="1"/>
                <w:color w:val="auto"/>
                <w:w w:val="96"/>
              </w:rPr>
              <w:t>Total Investments in Non-Controlled, Non-Affiliated Portfolio Companies</w:t>
            </w: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874,191</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869,595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3"/>
            <w:shd w:val="clear" w:color="auto" w:fill="CCECFF"/>
          </w:tcPr>
          <w:p>
            <w:pPr>
              <w:ind w:left="20"/>
              <w:spacing w:after="0" w:line="149" w:lineRule="exact"/>
              <w:rPr>
                <w:sz w:val="20"/>
                <w:szCs w:val="20"/>
                <w:color w:val="auto"/>
              </w:rPr>
            </w:pPr>
            <w:r>
              <w:rPr>
                <w:rFonts w:ascii="Arial" w:cs="Arial" w:eastAsia="Arial" w:hAnsi="Arial"/>
                <w:sz w:val="11"/>
                <w:szCs w:val="11"/>
                <w:b w:val="1"/>
                <w:bCs w:val="1"/>
                <w:color w:val="auto"/>
                <w:w w:val="97"/>
              </w:rPr>
              <w:t xml:space="preserve">Investments in Controlled, Affiliated Portfolio Companies—53.1% </w:t>
            </w:r>
            <w:r>
              <w:rPr>
                <w:rFonts w:ascii="Arial" w:cs="Arial" w:eastAsia="Arial" w:hAnsi="Arial"/>
                <w:sz w:val="14"/>
                <w:szCs w:val="14"/>
                <w:b w:val="1"/>
                <w:bCs w:val="1"/>
                <w:color w:val="auto"/>
                <w:w w:val="97"/>
                <w:vertAlign w:val="superscript"/>
              </w:rPr>
              <w:t>(3), (4)</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First Lien Secured Debt—43.3%</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shd w:val="clear" w:color="auto" w:fill="CCECFF"/>
          </w:tcPr>
          <w:p>
            <w:pPr>
              <w:ind w:left="20"/>
              <w:spacing w:after="0" w:line="112" w:lineRule="exact"/>
              <w:rPr>
                <w:sz w:val="20"/>
                <w:szCs w:val="20"/>
                <w:color w:val="auto"/>
              </w:rPr>
            </w:pPr>
            <w:r>
              <w:rPr>
                <w:rFonts w:ascii="Arial" w:cs="Arial" w:eastAsia="Arial" w:hAnsi="Arial"/>
                <w:sz w:val="11"/>
                <w:szCs w:val="11"/>
                <w:color w:val="auto"/>
                <w:w w:val="92"/>
              </w:rPr>
              <w:t>Marketplace Events, LLC - Super Priority First Lien Term Loan</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ind w:left="100"/>
              <w:spacing w:after="0" w:line="112" w:lineRule="exact"/>
              <w:rPr>
                <w:sz w:val="20"/>
                <w:szCs w:val="20"/>
                <w:color w:val="auto"/>
              </w:rPr>
            </w:pPr>
            <w:r>
              <w:rPr>
                <w:rFonts w:ascii="Arial" w:cs="Arial" w:eastAsia="Arial" w:hAnsi="Arial"/>
                <w:sz w:val="11"/>
                <w:szCs w:val="11"/>
                <w:color w:val="auto"/>
              </w:rPr>
              <w:t>09/30/2025</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12" w:lineRule="exact"/>
              <w:rPr>
                <w:sz w:val="20"/>
                <w:szCs w:val="20"/>
                <w:color w:val="auto"/>
              </w:rPr>
            </w:pPr>
            <w:r>
              <w:rPr>
                <w:rFonts w:ascii="Arial" w:cs="Arial" w:eastAsia="Arial" w:hAnsi="Arial"/>
                <w:sz w:val="11"/>
                <w:szCs w:val="11"/>
                <w:color w:val="auto"/>
                <w:w w:val="91"/>
              </w:rPr>
              <w:t>Media: Diversified and Production</w:t>
            </w:r>
          </w:p>
        </w:tc>
        <w:tc>
          <w:tcPr>
            <w:tcW w:w="1240" w:type="dxa"/>
            <w:vAlign w:val="bottom"/>
            <w:gridSpan w:val="3"/>
            <w:shd w:val="clear" w:color="auto" w:fill="CCECFF"/>
          </w:tcPr>
          <w:p>
            <w:pPr>
              <w:jc w:val="right"/>
              <w:ind w:right="140"/>
              <w:spacing w:after="0" w:line="112" w:lineRule="exact"/>
              <w:rPr>
                <w:sz w:val="20"/>
                <w:szCs w:val="20"/>
                <w:color w:val="auto"/>
              </w:rPr>
            </w:pPr>
            <w:r>
              <w:rPr>
                <w:rFonts w:ascii="Arial" w:cs="Arial" w:eastAsia="Arial" w:hAnsi="Arial"/>
                <w:sz w:val="11"/>
                <w:szCs w:val="11"/>
                <w:color w:val="auto"/>
              </w:rPr>
              <w:t>10.43 %</w:t>
            </w:r>
          </w:p>
        </w:tc>
        <w:tc>
          <w:tcPr>
            <w:tcW w:w="80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3M L+525</w:t>
            </w:r>
          </w:p>
        </w:tc>
        <w:tc>
          <w:tcPr>
            <w:tcW w:w="1060" w:type="dxa"/>
            <w:vAlign w:val="bottom"/>
            <w:gridSpan w:val="2"/>
            <w:shd w:val="clear" w:color="auto" w:fill="CCECFF"/>
          </w:tcPr>
          <w:p>
            <w:pPr>
              <w:jc w:val="right"/>
              <w:spacing w:after="0" w:line="112" w:lineRule="exact"/>
              <w:rPr>
                <w:sz w:val="20"/>
                <w:szCs w:val="20"/>
                <w:color w:val="auto"/>
              </w:rPr>
            </w:pPr>
            <w:r>
              <w:rPr>
                <w:rFonts w:ascii="Arial" w:cs="Arial" w:eastAsia="Arial" w:hAnsi="Arial"/>
                <w:sz w:val="11"/>
                <w:szCs w:val="11"/>
                <w:color w:val="auto"/>
              </w:rPr>
              <w:t>3,582</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860" w:type="dxa"/>
            <w:vAlign w:val="bottom"/>
            <w:shd w:val="clear" w:color="auto" w:fill="CCECFF"/>
          </w:tcPr>
          <w:p>
            <w:pPr>
              <w:ind w:left="20"/>
              <w:spacing w:after="0"/>
              <w:rPr>
                <w:sz w:val="20"/>
                <w:szCs w:val="20"/>
                <w:color w:val="auto"/>
              </w:rPr>
            </w:pPr>
            <w:r>
              <w:rPr>
                <w:rFonts w:ascii="Arial" w:cs="Arial" w:eastAsia="Arial" w:hAnsi="Arial"/>
                <w:sz w:val="7"/>
                <w:szCs w:val="7"/>
                <w:color w:val="auto"/>
              </w:rPr>
              <w:t>(7)</w:t>
            </w:r>
          </w:p>
        </w:tc>
        <w:tc>
          <w:tcPr>
            <w:tcW w:w="120" w:type="dxa"/>
            <w:vAlign w:val="bottom"/>
            <w:shd w:val="clear" w:color="auto" w:fill="CCECFF"/>
          </w:tcPr>
          <w:p>
            <w:pPr>
              <w:spacing w:after="0"/>
              <w:rPr>
                <w:sz w:val="7"/>
                <w:szCs w:val="7"/>
                <w:color w:val="auto"/>
              </w:rPr>
            </w:pPr>
          </w:p>
        </w:tc>
        <w:tc>
          <w:tcPr>
            <w:tcW w:w="700" w:type="dxa"/>
            <w:vAlign w:val="bottom"/>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20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88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84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40" w:type="dxa"/>
            <w:vAlign w:val="bottom"/>
            <w:vMerge w:val="restart"/>
            <w:shd w:val="clear" w:color="auto" w:fill="CCECFF"/>
          </w:tcPr>
          <w:p>
            <w:pPr>
              <w:jc w:val="right"/>
              <w:spacing w:after="0" w:line="122" w:lineRule="exact"/>
              <w:rPr>
                <w:sz w:val="20"/>
                <w:szCs w:val="20"/>
                <w:color w:val="auto"/>
              </w:rPr>
            </w:pPr>
            <w:r>
              <w:rPr>
                <w:rFonts w:ascii="Arial" w:cs="Arial" w:eastAsia="Arial" w:hAnsi="Arial"/>
                <w:sz w:val="11"/>
                <w:szCs w:val="11"/>
                <w:color w:val="auto"/>
              </w:rPr>
              <w:t>3,582</w:t>
            </w:r>
          </w:p>
        </w:tc>
        <w:tc>
          <w:tcPr>
            <w:tcW w:w="2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740" w:type="dxa"/>
            <w:vAlign w:val="bottom"/>
            <w:vMerge w:val="restart"/>
            <w:shd w:val="clear" w:color="auto" w:fill="CCECFF"/>
          </w:tcPr>
          <w:p>
            <w:pPr>
              <w:jc w:val="right"/>
              <w:spacing w:after="0" w:line="122" w:lineRule="exact"/>
              <w:rPr>
                <w:sz w:val="20"/>
                <w:szCs w:val="20"/>
                <w:color w:val="auto"/>
              </w:rPr>
            </w:pPr>
            <w:r>
              <w:rPr>
                <w:rFonts w:ascii="Arial" w:cs="Arial" w:eastAsia="Arial" w:hAnsi="Arial"/>
                <w:sz w:val="11"/>
                <w:szCs w:val="11"/>
                <w:color w:val="auto"/>
              </w:rPr>
              <w:t>3,582</w:t>
            </w: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860" w:type="dxa"/>
            <w:vAlign w:val="bottom"/>
            <w:shd w:val="clear" w:color="auto" w:fill="CCECFF"/>
          </w:tcPr>
          <w:p>
            <w:pPr>
              <w:spacing w:after="0"/>
              <w:rPr>
                <w:sz w:val="3"/>
                <w:szCs w:val="3"/>
                <w:color w:val="auto"/>
              </w:rPr>
            </w:pPr>
          </w:p>
        </w:tc>
        <w:tc>
          <w:tcPr>
            <w:tcW w:w="120" w:type="dxa"/>
            <w:vAlign w:val="bottom"/>
            <w:shd w:val="clear" w:color="auto" w:fill="CCECFF"/>
          </w:tcPr>
          <w:p>
            <w:pPr>
              <w:spacing w:after="0"/>
              <w:rPr>
                <w:sz w:val="3"/>
                <w:szCs w:val="3"/>
                <w:color w:val="auto"/>
              </w:rPr>
            </w:pPr>
          </w:p>
        </w:tc>
        <w:tc>
          <w:tcPr>
            <w:tcW w:w="700" w:type="dxa"/>
            <w:vAlign w:val="bottom"/>
            <w:shd w:val="clear" w:color="auto" w:fill="CCECFF"/>
          </w:tcPr>
          <w:p>
            <w:pPr>
              <w:spacing w:after="0"/>
              <w:rPr>
                <w:sz w:val="3"/>
                <w:szCs w:val="3"/>
                <w:color w:val="auto"/>
              </w:rPr>
            </w:pPr>
          </w:p>
        </w:tc>
        <w:tc>
          <w:tcPr>
            <w:tcW w:w="280" w:type="dxa"/>
            <w:vAlign w:val="bottom"/>
            <w:shd w:val="clear" w:color="auto" w:fill="CCECFF"/>
          </w:tcPr>
          <w:p>
            <w:pPr>
              <w:spacing w:after="0"/>
              <w:rPr>
                <w:sz w:val="3"/>
                <w:szCs w:val="3"/>
                <w:color w:val="auto"/>
              </w:rPr>
            </w:pPr>
          </w:p>
        </w:tc>
        <w:tc>
          <w:tcPr>
            <w:tcW w:w="2000" w:type="dxa"/>
            <w:vAlign w:val="bottom"/>
            <w:shd w:val="clear" w:color="auto" w:fill="CCECFF"/>
          </w:tcPr>
          <w:p>
            <w:pPr>
              <w:spacing w:after="0"/>
              <w:rPr>
                <w:sz w:val="3"/>
                <w:szCs w:val="3"/>
                <w:color w:val="auto"/>
              </w:rPr>
            </w:pPr>
          </w:p>
        </w:tc>
        <w:tc>
          <w:tcPr>
            <w:tcW w:w="120" w:type="dxa"/>
            <w:vAlign w:val="bottom"/>
            <w:shd w:val="clear" w:color="auto" w:fill="CCECFF"/>
          </w:tcPr>
          <w:p>
            <w:pPr>
              <w:spacing w:after="0"/>
              <w:rPr>
                <w:sz w:val="3"/>
                <w:szCs w:val="3"/>
                <w:color w:val="auto"/>
              </w:rPr>
            </w:pPr>
          </w:p>
        </w:tc>
        <w:tc>
          <w:tcPr>
            <w:tcW w:w="880" w:type="dxa"/>
            <w:vAlign w:val="bottom"/>
            <w:shd w:val="clear" w:color="auto" w:fill="CCECFF"/>
          </w:tcPr>
          <w:p>
            <w:pPr>
              <w:spacing w:after="0"/>
              <w:rPr>
                <w:sz w:val="3"/>
                <w:szCs w:val="3"/>
                <w:color w:val="auto"/>
              </w:rPr>
            </w:pPr>
          </w:p>
        </w:tc>
        <w:tc>
          <w:tcPr>
            <w:tcW w:w="240" w:type="dxa"/>
            <w:vAlign w:val="bottom"/>
            <w:shd w:val="clear" w:color="auto" w:fill="CCECFF"/>
          </w:tcPr>
          <w:p>
            <w:pPr>
              <w:spacing w:after="0"/>
              <w:rPr>
                <w:sz w:val="3"/>
                <w:szCs w:val="3"/>
                <w:color w:val="auto"/>
              </w:rPr>
            </w:pPr>
          </w:p>
        </w:tc>
        <w:tc>
          <w:tcPr>
            <w:tcW w:w="800" w:type="dxa"/>
            <w:vAlign w:val="bottom"/>
            <w:shd w:val="clear" w:color="auto" w:fill="CCECFF"/>
          </w:tcPr>
          <w:p>
            <w:pPr>
              <w:spacing w:after="0"/>
              <w:rPr>
                <w:sz w:val="3"/>
                <w:szCs w:val="3"/>
                <w:color w:val="auto"/>
              </w:rPr>
            </w:pPr>
          </w:p>
        </w:tc>
        <w:tc>
          <w:tcPr>
            <w:tcW w:w="220" w:type="dxa"/>
            <w:vAlign w:val="bottom"/>
            <w:shd w:val="clear" w:color="auto" w:fill="CCECFF"/>
          </w:tcPr>
          <w:p>
            <w:pPr>
              <w:spacing w:after="0"/>
              <w:rPr>
                <w:sz w:val="3"/>
                <w:szCs w:val="3"/>
                <w:color w:val="auto"/>
              </w:rPr>
            </w:pPr>
          </w:p>
        </w:tc>
        <w:tc>
          <w:tcPr>
            <w:tcW w:w="840" w:type="dxa"/>
            <w:vAlign w:val="bottom"/>
            <w:shd w:val="clear" w:color="auto" w:fill="CCECFF"/>
          </w:tcPr>
          <w:p>
            <w:pPr>
              <w:spacing w:after="0"/>
              <w:rPr>
                <w:sz w:val="3"/>
                <w:szCs w:val="3"/>
                <w:color w:val="auto"/>
              </w:rPr>
            </w:pPr>
          </w:p>
        </w:tc>
        <w:tc>
          <w:tcPr>
            <w:tcW w:w="22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640" w:type="dxa"/>
            <w:vAlign w:val="bottom"/>
            <w:vMerge w:val="continue"/>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740" w:type="dxa"/>
            <w:vAlign w:val="bottom"/>
            <w:vMerge w:val="continue"/>
            <w:shd w:val="clear" w:color="auto" w:fill="CCECFF"/>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5.25%)</w:t>
            </w: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120" w:type="dxa"/>
            <w:vAlign w:val="bottom"/>
          </w:tcPr>
          <w:p>
            <w:pPr>
              <w:spacing w:after="0"/>
              <w:rPr>
                <w:sz w:val="12"/>
                <w:szCs w:val="12"/>
                <w:color w:val="auto"/>
              </w:rPr>
            </w:pPr>
          </w:p>
        </w:tc>
        <w:tc>
          <w:tcPr>
            <w:tcW w:w="700" w:type="dxa"/>
            <w:vAlign w:val="bottom"/>
          </w:tcPr>
          <w:p>
            <w:pPr>
              <w:ind w:left="100"/>
              <w:spacing w:after="0"/>
              <w:rPr>
                <w:sz w:val="20"/>
                <w:szCs w:val="20"/>
                <w:color w:val="auto"/>
              </w:rPr>
            </w:pPr>
            <w:r>
              <w:rPr>
                <w:rFonts w:ascii="Arial" w:cs="Arial" w:eastAsia="Arial" w:hAnsi="Arial"/>
                <w:sz w:val="11"/>
                <w:szCs w:val="11"/>
                <w:color w:val="auto"/>
              </w:rPr>
              <w:t>09/30/2025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3,261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Marketplace Events, LLC</w:t>
            </w:r>
          </w:p>
        </w:tc>
        <w:tc>
          <w:tcPr>
            <w:tcW w:w="700" w:type="dxa"/>
            <w:vAlign w:val="bottom"/>
            <w:shd w:val="clear" w:color="auto" w:fill="CCECFF"/>
          </w:tcPr>
          <w:p>
            <w:pPr>
              <w:ind w:left="100"/>
              <w:spacing w:after="0"/>
              <w:rPr>
                <w:sz w:val="20"/>
                <w:szCs w:val="20"/>
                <w:color w:val="auto"/>
              </w:rPr>
            </w:pPr>
            <w:r>
              <w:rPr>
                <w:rFonts w:ascii="Arial" w:cs="Arial" w:eastAsia="Arial" w:hAnsi="Arial"/>
                <w:sz w:val="11"/>
                <w:szCs w:val="11"/>
                <w:color w:val="auto"/>
              </w:rPr>
              <w:t>09/30/2026</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10.43 %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26,771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20,197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00" w:type="dxa"/>
            <w:vAlign w:val="bottom"/>
          </w:tcPr>
          <w:p>
            <w:pPr>
              <w:ind w:left="100"/>
              <w:spacing w:after="0"/>
              <w:rPr>
                <w:sz w:val="20"/>
                <w:szCs w:val="20"/>
                <w:color w:val="auto"/>
              </w:rPr>
            </w:pPr>
            <w:r>
              <w:rPr>
                <w:rFonts w:ascii="Arial" w:cs="Arial" w:eastAsia="Arial" w:hAnsi="Arial"/>
                <w:sz w:val="11"/>
                <w:szCs w:val="11"/>
                <w:color w:val="auto"/>
              </w:rPr>
              <w:t>05/06/2024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12.81 %</w:t>
            </w:r>
          </w:p>
        </w:tc>
        <w:tc>
          <w:tcPr>
            <w:tcW w:w="800" w:type="dxa"/>
            <w:vAlign w:val="bottom"/>
          </w:tcPr>
          <w:p>
            <w:pPr>
              <w:jc w:val="right"/>
              <w:spacing w:after="0"/>
              <w:rPr>
                <w:sz w:val="20"/>
                <w:szCs w:val="20"/>
                <w:color w:val="auto"/>
              </w:rPr>
            </w:pPr>
            <w:r>
              <w:rPr>
                <w:rFonts w:ascii="Arial" w:cs="Arial" w:eastAsia="Arial" w:hAnsi="Arial"/>
                <w:sz w:val="11"/>
                <w:szCs w:val="11"/>
                <w:color w:val="auto"/>
              </w:rPr>
              <w:t>3M L+800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210,088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210,088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7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233,867</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240,441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Equity Interests—9.7%</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90,038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90,038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7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90,038</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53,996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323,905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294,437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Investments—209.9%</w:t>
            </w:r>
          </w:p>
        </w:tc>
        <w:tc>
          <w:tcPr>
            <w:tcW w:w="70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1,198,096</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1,164,032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Cash and Cash Equivalents—9.0%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Money Market - BlackRock Federal FD Institutional 30</w:t>
            </w:r>
          </w:p>
        </w:tc>
        <w:tc>
          <w:tcPr>
            <w:tcW w:w="7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26,729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26,729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Non-Money Market Cash</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23,439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70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50,168</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50,155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 and Cash Equivalents—218.9%</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1,248,264</w:t>
            </w: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1,214,187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Liabilities in Excess of Other Assets—(118.9)%</w:t>
            </w:r>
          </w:p>
        </w:tc>
        <w:tc>
          <w:tcPr>
            <w:tcW w:w="7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(659,518 )</w:t>
            </w:r>
          </w:p>
        </w:tc>
        <w:tc>
          <w:tcPr>
            <w:tcW w:w="0" w:type="dxa"/>
            <w:vAlign w:val="bottom"/>
          </w:tcPr>
          <w:p>
            <w:pPr>
              <w:spacing w:after="0"/>
              <w:rPr>
                <w:sz w:val="1"/>
                <w:szCs w:val="1"/>
                <w:color w:val="auto"/>
              </w:rPr>
            </w:pPr>
          </w:p>
        </w:tc>
      </w:tr>
      <w:tr>
        <w:trPr>
          <w:trHeight w:val="138"/>
        </w:trPr>
        <w:tc>
          <w:tcPr>
            <w:tcW w:w="2980" w:type="dxa"/>
            <w:vAlign w:val="bottom"/>
            <w:tcBorders>
              <w:top w:val="single" w:sz="8" w:color="CCECFF"/>
            </w:tcBorders>
            <w:gridSpan w:val="2"/>
          </w:tcPr>
          <w:p>
            <w:pPr>
              <w:ind w:left="20"/>
              <w:spacing w:after="0"/>
              <w:rPr>
                <w:sz w:val="20"/>
                <w:szCs w:val="20"/>
                <w:color w:val="auto"/>
              </w:rPr>
            </w:pPr>
            <w:r>
              <w:rPr>
                <w:rFonts w:ascii="Arial" w:cs="Arial" w:eastAsia="Arial" w:hAnsi="Arial"/>
                <w:sz w:val="11"/>
                <w:szCs w:val="11"/>
                <w:b w:val="1"/>
                <w:bCs w:val="1"/>
                <w:color w:val="auto"/>
              </w:rPr>
              <w:t>Net Assets—100.0%</w:t>
            </w:r>
          </w:p>
        </w:tc>
        <w:tc>
          <w:tcPr>
            <w:tcW w:w="700" w:type="dxa"/>
            <w:vAlign w:val="bottom"/>
            <w:tcBorders>
              <w:top w:val="single" w:sz="8" w:color="CCECFF"/>
            </w:tcBorders>
          </w:tcPr>
          <w:p>
            <w:pPr>
              <w:spacing w:after="0"/>
              <w:rPr>
                <w:sz w:val="11"/>
                <w:szCs w:val="11"/>
                <w:color w:val="auto"/>
              </w:rPr>
            </w:pPr>
          </w:p>
        </w:tc>
        <w:tc>
          <w:tcPr>
            <w:tcW w:w="280" w:type="dxa"/>
            <w:vAlign w:val="bottom"/>
            <w:tcBorders>
              <w:top w:val="single" w:sz="8" w:color="CCECFF"/>
            </w:tcBorders>
          </w:tcPr>
          <w:p>
            <w:pPr>
              <w:spacing w:after="0"/>
              <w:rPr>
                <w:sz w:val="11"/>
                <w:szCs w:val="11"/>
                <w:color w:val="auto"/>
              </w:rPr>
            </w:pPr>
          </w:p>
        </w:tc>
        <w:tc>
          <w:tcPr>
            <w:tcW w:w="2000" w:type="dxa"/>
            <w:vAlign w:val="bottom"/>
            <w:tcBorders>
              <w:top w:val="single" w:sz="8" w:color="CCECFF"/>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880" w:type="dxa"/>
            <w:vAlign w:val="bottom"/>
            <w:tcBorders>
              <w:top w:val="single" w:sz="8" w:color="CCECFF"/>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80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84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640" w:type="dxa"/>
            <w:vAlign w:val="bottom"/>
            <w:tcBorders>
              <w:top w:val="single" w:sz="8" w:color="CCECFF"/>
            </w:tcBorders>
          </w:tcPr>
          <w:p>
            <w:pPr>
              <w:spacing w:after="0"/>
              <w:rPr>
                <w:sz w:val="11"/>
                <w:szCs w:val="11"/>
                <w:color w:val="auto"/>
              </w:rPr>
            </w:pPr>
          </w:p>
        </w:tc>
        <w:tc>
          <w:tcPr>
            <w:tcW w:w="200" w:type="dxa"/>
            <w:vAlign w:val="bottom"/>
            <w:tcBorders>
              <w:top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554,669</w:t>
            </w: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-2268220</wp:posOffset>
            </wp:positionV>
            <wp:extent cx="68580" cy="111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111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-1343660</wp:posOffset>
            </wp:positionV>
            <wp:extent cx="6858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-949960</wp:posOffset>
            </wp:positionV>
            <wp:extent cx="68580" cy="111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111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-744220</wp:posOffset>
            </wp:positionV>
            <wp:extent cx="6858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-350520</wp:posOffset>
            </wp:positionV>
            <wp:extent cx="68580"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282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128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282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110" w:lineRule="exact"/>
        <w:rPr>
          <w:sz w:val="20"/>
          <w:szCs w:val="20"/>
          <w:color w:val="auto"/>
        </w:rPr>
      </w:pPr>
    </w:p>
    <w:p>
      <w:pPr>
        <w:ind w:left="1020" w:right="120" w:hanging="500"/>
        <w:spacing w:after="0" w:line="221" w:lineRule="auto"/>
        <w:tabs>
          <w:tab w:leader="none" w:pos="1049"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480"/>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(Unaudited)</w:t>
      </w:r>
    </w:p>
    <w:p>
      <w:pPr>
        <w:spacing w:after="0" w:line="74" w:lineRule="exact"/>
        <w:rPr>
          <w:sz w:val="20"/>
          <w:szCs w:val="20"/>
          <w:color w:val="auto"/>
        </w:rPr>
      </w:pPr>
    </w:p>
    <w:p>
      <w:pPr>
        <w:ind w:left="500" w:hanging="500"/>
        <w:spacing w:after="0"/>
        <w:tabs>
          <w:tab w:leader="none" w:pos="50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94" w:lineRule="exact"/>
        <w:rPr>
          <w:rFonts w:ascii="Arial" w:cs="Arial" w:eastAsia="Arial" w:hAnsi="Arial"/>
          <w:sz w:val="16"/>
          <w:szCs w:val="16"/>
          <w:color w:val="auto"/>
          <w:vertAlign w:val="superscript"/>
        </w:rPr>
      </w:pPr>
    </w:p>
    <w:p>
      <w:pPr>
        <w:ind w:left="500" w:hanging="500"/>
        <w:spacing w:after="0" w:line="227" w:lineRule="auto"/>
        <w:tabs>
          <w:tab w:leader="none" w:pos="500"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94" w:lineRule="exact"/>
        <w:rPr>
          <w:rFonts w:ascii="Arial" w:cs="Arial" w:eastAsia="Arial" w:hAnsi="Arial"/>
          <w:sz w:val="15"/>
          <w:szCs w:val="15"/>
          <w:color w:val="auto"/>
          <w:vertAlign w:val="superscript"/>
        </w:rPr>
      </w:pPr>
    </w:p>
    <w:p>
      <w:pPr>
        <w:ind w:left="500" w:right="240" w:hanging="500"/>
        <w:spacing w:after="0" w:line="227" w:lineRule="auto"/>
        <w:tabs>
          <w:tab w:leader="none" w:pos="500"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58" w:lineRule="exact"/>
        <w:rPr>
          <w:rFonts w:ascii="Arial" w:cs="Arial" w:eastAsia="Arial" w:hAnsi="Arial"/>
          <w:sz w:val="15"/>
          <w:szCs w:val="15"/>
          <w:color w:val="auto"/>
          <w:vertAlign w:val="superscript"/>
        </w:rPr>
      </w:pPr>
    </w:p>
    <w:p>
      <w:pPr>
        <w:ind w:left="500" w:hanging="500"/>
        <w:spacing w:after="0"/>
        <w:tabs>
          <w:tab w:leader="none" w:pos="50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Non-U.S. company or principal place of business outside the United States.</w:t>
      </w:r>
    </w:p>
    <w:p>
      <w:pPr>
        <w:spacing w:after="0" w:line="58" w:lineRule="exact"/>
        <w:rPr>
          <w:rFonts w:ascii="Arial" w:cs="Arial" w:eastAsia="Arial" w:hAnsi="Arial"/>
          <w:sz w:val="16"/>
          <w:szCs w:val="16"/>
          <w:color w:val="auto"/>
          <w:vertAlign w:val="superscript"/>
        </w:rPr>
      </w:pPr>
    </w:p>
    <w:p>
      <w:pPr>
        <w:ind w:left="500" w:hanging="500"/>
        <w:spacing w:after="0"/>
        <w:tabs>
          <w:tab w:leader="none" w:pos="50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Non-income producing securities.</w:t>
      </w:r>
    </w:p>
    <w:p>
      <w:pPr>
        <w:spacing w:after="0" w:line="94" w:lineRule="exact"/>
        <w:rPr>
          <w:rFonts w:ascii="Arial" w:cs="Arial" w:eastAsia="Arial" w:hAnsi="Arial"/>
          <w:sz w:val="16"/>
          <w:szCs w:val="16"/>
          <w:color w:val="auto"/>
          <w:vertAlign w:val="superscript"/>
        </w:rPr>
      </w:pPr>
    </w:p>
    <w:p>
      <w:pPr>
        <w:ind w:left="500" w:hanging="500"/>
        <w:spacing w:after="0" w:line="210" w:lineRule="auto"/>
        <w:tabs>
          <w:tab w:leader="none" w:pos="50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The securities, or a portion thereof, are not 1) pledged as collateral under the Credit Facility and held through Funding I; or, 2) securing the 2031 Asset-Backed Debt (See Note 10) and held through PennantPark CLO I, Ltd.</w:t>
      </w:r>
    </w:p>
    <w:p>
      <w:pPr>
        <w:spacing w:after="0" w:line="59" w:lineRule="exact"/>
        <w:rPr>
          <w:rFonts w:ascii="Arial" w:cs="Arial" w:eastAsia="Arial" w:hAnsi="Arial"/>
          <w:sz w:val="16"/>
          <w:szCs w:val="16"/>
          <w:color w:val="auto"/>
          <w:vertAlign w:val="superscript"/>
        </w:rPr>
      </w:pPr>
    </w:p>
    <w:p>
      <w:pPr>
        <w:ind w:left="500" w:hanging="500"/>
        <w:spacing w:after="0"/>
        <w:tabs>
          <w:tab w:leader="none" w:pos="50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Investment is held through our Taxable Subsidiary (See Note 1).</w:t>
      </w:r>
    </w:p>
    <w:p>
      <w:pPr>
        <w:spacing w:after="0" w:line="93" w:lineRule="exact"/>
        <w:rPr>
          <w:rFonts w:ascii="Arial" w:cs="Arial" w:eastAsia="Arial" w:hAnsi="Arial"/>
          <w:sz w:val="16"/>
          <w:szCs w:val="16"/>
          <w:color w:val="auto"/>
          <w:vertAlign w:val="superscript"/>
        </w:rPr>
      </w:pPr>
    </w:p>
    <w:p>
      <w:pPr>
        <w:ind w:left="500" w:hanging="500"/>
        <w:spacing w:after="0"/>
        <w:tabs>
          <w:tab w:leader="none" w:pos="50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94" w:lineRule="exact"/>
        <w:rPr>
          <w:rFonts w:ascii="Arial" w:cs="Arial" w:eastAsia="Arial" w:hAnsi="Arial"/>
          <w:sz w:val="13"/>
          <w:szCs w:val="13"/>
          <w:color w:val="auto"/>
          <w:vertAlign w:val="superscript"/>
        </w:rPr>
      </w:pPr>
    </w:p>
    <w:p>
      <w:pPr>
        <w:ind w:left="500" w:right="160" w:hanging="500"/>
        <w:spacing w:after="0" w:line="227" w:lineRule="auto"/>
        <w:tabs>
          <w:tab w:leader="none" w:pos="500"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2023, qualifying assets represent 77% of our total assets and non-qualifying assets represent 23% of our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51435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40" w:top="121" w:right="3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jc w:val="center"/>
              <w:ind w:left="206"/>
              <w:spacing w:after="0" w:line="109" w:lineRule="exact"/>
              <w:rPr>
                <w:sz w:val="20"/>
                <w:szCs w:val="20"/>
                <w:color w:val="auto"/>
              </w:rPr>
            </w:pPr>
            <w:r>
              <w:rPr>
                <w:rFonts w:ascii="Arial" w:cs="Arial" w:eastAsia="Arial" w:hAnsi="Arial"/>
                <w:sz w:val="11"/>
                <w:szCs w:val="11"/>
                <w:b w:val="1"/>
                <w:bCs w:val="1"/>
                <w:color w:val="auto"/>
                <w:w w:val="95"/>
              </w:rPr>
              <w:t>Current</w:t>
            </w:r>
          </w:p>
        </w:tc>
        <w:tc>
          <w:tcPr>
            <w:tcW w:w="11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1020" w:type="dxa"/>
            <w:vAlign w:val="bottom"/>
          </w:tcPr>
          <w:p>
            <w:pPr>
              <w:jc w:val="center"/>
              <w:ind w:right="26"/>
              <w:spacing w:after="0" w:line="109" w:lineRule="exact"/>
              <w:rPr>
                <w:sz w:val="20"/>
                <w:szCs w:val="20"/>
                <w:color w:val="auto"/>
              </w:rPr>
            </w:pPr>
            <w:r>
              <w:rPr>
                <w:rFonts w:ascii="Arial" w:cs="Arial" w:eastAsia="Arial" w:hAnsi="Arial"/>
                <w:sz w:val="11"/>
                <w:szCs w:val="11"/>
                <w:b w:val="1"/>
                <w:bCs w:val="1"/>
                <w:color w:val="auto"/>
                <w:w w:val="92"/>
              </w:rPr>
              <w:t>Par /</w:t>
            </w:r>
          </w:p>
        </w:tc>
        <w:tc>
          <w:tcPr>
            <w:tcW w:w="900" w:type="dxa"/>
            <w:vAlign w:val="bottom"/>
          </w:tcPr>
          <w:p>
            <w:pPr>
              <w:spacing w:after="0"/>
              <w:rPr>
                <w:sz w:val="9"/>
                <w:szCs w:val="9"/>
                <w:color w:val="auto"/>
              </w:rPr>
            </w:pPr>
          </w:p>
        </w:tc>
        <w:tc>
          <w:tcPr>
            <w:tcW w:w="92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65"/>
        </w:trPr>
        <w:tc>
          <w:tcPr>
            <w:tcW w:w="18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2280" w:type="dxa"/>
            <w:vAlign w:val="bottom"/>
          </w:tcPr>
          <w:p>
            <w:pPr>
              <w:ind w:left="1300"/>
              <w:spacing w:after="0"/>
              <w:rPr>
                <w:sz w:val="20"/>
                <w:szCs w:val="20"/>
                <w:color w:val="auto"/>
              </w:rPr>
            </w:pPr>
            <w:r>
              <w:rPr>
                <w:rFonts w:ascii="Arial" w:cs="Arial" w:eastAsia="Arial" w:hAnsi="Arial"/>
                <w:sz w:val="11"/>
                <w:szCs w:val="11"/>
                <w:b w:val="1"/>
                <w:bCs w:val="1"/>
                <w:color w:val="auto"/>
              </w:rPr>
              <w:t>Maturity</w:t>
            </w:r>
          </w:p>
        </w:tc>
        <w:tc>
          <w:tcPr>
            <w:tcW w:w="1540" w:type="dxa"/>
            <w:vAlign w:val="bottom"/>
          </w:tcPr>
          <w:p>
            <w:pPr>
              <w:ind w:left="560"/>
              <w:spacing w:after="0"/>
              <w:rPr>
                <w:sz w:val="20"/>
                <w:szCs w:val="20"/>
                <w:color w:val="auto"/>
              </w:rPr>
            </w:pPr>
            <w:r>
              <w:rPr>
                <w:rFonts w:ascii="Arial" w:cs="Arial" w:eastAsia="Arial" w:hAnsi="Arial"/>
                <w:sz w:val="11"/>
                <w:szCs w:val="11"/>
                <w:b w:val="1"/>
                <w:bCs w:val="1"/>
                <w:color w:val="auto"/>
              </w:rPr>
              <w:t>Industry</w:t>
            </w:r>
          </w:p>
        </w:tc>
        <w:tc>
          <w:tcPr>
            <w:tcW w:w="1280" w:type="dxa"/>
            <w:vAlign w:val="bottom"/>
          </w:tcPr>
          <w:p>
            <w:pPr>
              <w:jc w:val="center"/>
              <w:ind w:left="246"/>
              <w:spacing w:after="0"/>
              <w:rPr>
                <w:sz w:val="20"/>
                <w:szCs w:val="20"/>
                <w:color w:val="auto"/>
              </w:rPr>
            </w:pPr>
            <w:r>
              <w:rPr>
                <w:rFonts w:ascii="Arial" w:cs="Arial" w:eastAsia="Arial" w:hAnsi="Arial"/>
                <w:sz w:val="11"/>
                <w:szCs w:val="11"/>
                <w:b w:val="1"/>
                <w:bCs w:val="1"/>
                <w:color w:val="auto"/>
                <w:w w:val="91"/>
              </w:rPr>
              <w:t>Coupon</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102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Shares</w:t>
            </w:r>
          </w:p>
        </w:tc>
        <w:tc>
          <w:tcPr>
            <w:tcW w:w="900" w:type="dxa"/>
            <w:vAlign w:val="bottom"/>
          </w:tcPr>
          <w:p>
            <w:pPr>
              <w:ind w:left="380"/>
              <w:spacing w:after="0"/>
              <w:rPr>
                <w:sz w:val="20"/>
                <w:szCs w:val="20"/>
                <w:color w:val="auto"/>
              </w:rPr>
            </w:pPr>
            <w:r>
              <w:rPr>
                <w:rFonts w:ascii="Arial" w:cs="Arial" w:eastAsia="Arial" w:hAnsi="Arial"/>
                <w:sz w:val="11"/>
                <w:szCs w:val="11"/>
                <w:b w:val="1"/>
                <w:bCs w:val="1"/>
                <w:color w:val="auto"/>
              </w:rPr>
              <w:t>Cost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0637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 xml:space="preserve">Investments in Non-Controlled, Non-Affiliated Portfolio Companies—169.5% </w:t>
      </w:r>
      <w:r>
        <w:rPr>
          <w:rFonts w:ascii="Arial" w:cs="Arial" w:eastAsia="Arial" w:hAnsi="Arial"/>
          <w:sz w:val="14"/>
          <w:szCs w:val="14"/>
          <w:b w:val="1"/>
          <w:bCs w:val="1"/>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First Lien Secured Debt—149.7%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Ad.net Acquisition,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05/06/2026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9.67 %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05/06/2026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IT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10.81 %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IT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11.67 %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IT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12/21/2023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1"/>
              </w:rPr>
              <w:t>Building Products</w:t>
            </w:r>
          </w:p>
        </w:tc>
        <w:tc>
          <w:tcPr>
            <w:tcW w:w="900" w:type="dxa"/>
            <w:vAlign w:val="bottom"/>
          </w:tcPr>
          <w:p>
            <w:pPr>
              <w:jc w:val="right"/>
              <w:spacing w:after="0"/>
              <w:rPr>
                <w:sz w:val="20"/>
                <w:szCs w:val="20"/>
                <w:color w:val="auto"/>
              </w:rPr>
            </w:pPr>
            <w:r>
              <w:rPr>
                <w:rFonts w:ascii="Arial" w:cs="Arial" w:eastAsia="Arial" w:hAnsi="Arial"/>
                <w:sz w:val="11"/>
                <w:szCs w:val="11"/>
                <w:color w:val="auto"/>
              </w:rPr>
              <w:t>7.79 %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06/08/2023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Telecommunications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12/08/2022</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Telecommunications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21"/>
        </w:trPr>
        <w:tc>
          <w:tcPr>
            <w:tcW w:w="2900" w:type="dxa"/>
            <w:vAlign w:val="bottom"/>
          </w:tcPr>
          <w:p>
            <w:pPr>
              <w:ind w:left="20"/>
              <w:spacing w:after="0" w:line="122" w:lineRule="exact"/>
              <w:rPr>
                <w:sz w:val="20"/>
                <w:szCs w:val="20"/>
                <w:color w:val="auto"/>
              </w:rPr>
            </w:pPr>
            <w:r>
              <w:rPr>
                <w:rFonts w:ascii="Arial" w:cs="Arial" w:eastAsia="Arial" w:hAnsi="Arial"/>
                <w:sz w:val="11"/>
                <w:szCs w:val="11"/>
                <w:color w:val="auto"/>
              </w:rPr>
              <w:t>Amsive Holding Corporation (f/k/a Vision Purchaser</w:t>
            </w:r>
          </w:p>
        </w:tc>
        <w:tc>
          <w:tcPr>
            <w:tcW w:w="94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06/10/2025</w:t>
            </w:r>
          </w:p>
        </w:tc>
        <w:tc>
          <w:tcPr>
            <w:tcW w:w="22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3"/>
              </w:rPr>
              <w:t>Media</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Corporation)</w:t>
            </w:r>
          </w:p>
        </w:tc>
        <w:tc>
          <w:tcPr>
            <w:tcW w:w="9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9.85 %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Anteriad, LLC (f/k/a MeritDirect,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05/23/2024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9.17 %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Anteriad, LLC (f/k/a MeritDirect,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05/23/2024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Any Hour Services</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7"/>
              </w:rPr>
              <w:t>Energy Equipment and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7.43 %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7"/>
              </w:rPr>
              <w:t>Energy Equipment and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6.72 %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9.67 %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7.75 %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0"/>
              <w:spacing w:after="0" w:line="122" w:lineRule="exact"/>
              <w:rPr>
                <w:sz w:val="20"/>
                <w:szCs w:val="20"/>
                <w:color w:val="auto"/>
              </w:rPr>
            </w:pPr>
            <w:r>
              <w:rPr>
                <w:rFonts w:ascii="Arial" w:cs="Arial" w:eastAsia="Arial" w:hAnsi="Arial"/>
                <w:sz w:val="11"/>
                <w:szCs w:val="11"/>
                <w:color w:val="auto"/>
              </w:rPr>
              <w:t>API Holding III Corp.</w:t>
            </w:r>
          </w:p>
        </w:tc>
        <w:tc>
          <w:tcPr>
            <w:tcW w:w="94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05/11/2026</w:t>
            </w:r>
          </w:p>
        </w:tc>
        <w:tc>
          <w:tcPr>
            <w:tcW w:w="2280" w:type="dxa"/>
            <w:vAlign w:val="bottom"/>
          </w:tcPr>
          <w:p>
            <w:pPr>
              <w:ind w:left="220"/>
              <w:spacing w:after="0" w:line="122" w:lineRule="exact"/>
              <w:rPr>
                <w:sz w:val="20"/>
                <w:szCs w:val="20"/>
                <w:color w:val="auto"/>
              </w:rPr>
            </w:pPr>
            <w:r>
              <w:rPr>
                <w:rFonts w:ascii="Arial" w:cs="Arial" w:eastAsia="Arial" w:hAnsi="Arial"/>
                <w:sz w:val="11"/>
                <w:szCs w:val="11"/>
                <w:color w:val="auto"/>
              </w:rPr>
              <w:t>Electronic Equipment, Instruments, and</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7.92 %</w:t>
            </w:r>
          </w:p>
        </w:tc>
        <w:tc>
          <w:tcPr>
            <w:tcW w:w="0" w:type="dxa"/>
            <w:vAlign w:val="bottom"/>
          </w:tcPr>
          <w:p>
            <w:pPr>
              <w:spacing w:after="0"/>
              <w:rPr>
                <w:sz w:val="1"/>
                <w:szCs w:val="1"/>
                <w:color w:val="auto"/>
              </w:rPr>
            </w:pPr>
          </w:p>
        </w:tc>
      </w:tr>
      <w:tr>
        <w:trPr>
          <w:trHeight w:val="136"/>
        </w:trPr>
        <w:tc>
          <w:tcPr>
            <w:tcW w:w="2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9.42 %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Applied Technical Services, LLC (Unfunded Term Loan)</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04/21/2023</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10.25 %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Arcfield Acquisition Corp. (Revolver)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03/07/2028</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Aerospace and Defense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Beta Plus Technologies,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07/01/2029</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Internet Software and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7.76 %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Blackhawk Industrial Distribution,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8.33 %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(7),(9)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Blackhawk Industrial Distribution,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Broder Bros., Co.</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12/02/2022</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Textiles, Apparel and Luxury Goods</w:t>
            </w:r>
          </w:p>
        </w:tc>
        <w:tc>
          <w:tcPr>
            <w:tcW w:w="900" w:type="dxa"/>
            <w:vAlign w:val="bottom"/>
          </w:tcPr>
          <w:p>
            <w:pPr>
              <w:jc w:val="right"/>
              <w:spacing w:after="0"/>
              <w:rPr>
                <w:sz w:val="20"/>
                <w:szCs w:val="20"/>
                <w:color w:val="auto"/>
              </w:rPr>
            </w:pPr>
            <w:r>
              <w:rPr>
                <w:rFonts w:ascii="Arial" w:cs="Arial" w:eastAsia="Arial" w:hAnsi="Arial"/>
                <w:sz w:val="11"/>
                <w:szCs w:val="11"/>
                <w:color w:val="auto"/>
              </w:rPr>
              <w:t>7.39 %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High Tech Industries</w:t>
            </w:r>
          </w:p>
        </w:tc>
        <w:tc>
          <w:tcPr>
            <w:tcW w:w="900" w:type="dxa"/>
            <w:vAlign w:val="bottom"/>
          </w:tcPr>
          <w:p>
            <w:pPr>
              <w:jc w:val="right"/>
              <w:spacing w:after="0"/>
              <w:rPr>
                <w:sz w:val="20"/>
                <w:szCs w:val="20"/>
                <w:color w:val="auto"/>
              </w:rPr>
            </w:pPr>
            <w:r>
              <w:rPr>
                <w:rFonts w:ascii="Arial" w:cs="Arial" w:eastAsia="Arial" w:hAnsi="Arial"/>
                <w:sz w:val="11"/>
                <w:szCs w:val="11"/>
                <w:color w:val="auto"/>
              </w:rPr>
              <w:t>9.26 %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By Light Professional IT Services,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High Tech Industries</w:t>
            </w:r>
          </w:p>
        </w:tc>
        <w:tc>
          <w:tcPr>
            <w:tcW w:w="900" w:type="dxa"/>
            <w:vAlign w:val="bottom"/>
          </w:tcPr>
          <w:p>
            <w:pPr>
              <w:jc w:val="right"/>
              <w:spacing w:after="0"/>
              <w:rPr>
                <w:sz w:val="20"/>
                <w:szCs w:val="20"/>
                <w:color w:val="auto"/>
              </w:rPr>
            </w:pPr>
            <w:r>
              <w:rPr>
                <w:rFonts w:ascii="Arial" w:cs="Arial" w:eastAsia="Arial" w:hAnsi="Arial"/>
                <w:sz w:val="11"/>
                <w:szCs w:val="11"/>
                <w:color w:val="auto"/>
              </w:rPr>
              <w:t>9.75 %</w:t>
            </w:r>
          </w:p>
        </w:tc>
        <w:tc>
          <w:tcPr>
            <w:tcW w:w="0" w:type="dxa"/>
            <w:vAlign w:val="bottom"/>
          </w:tcPr>
          <w:p>
            <w:pPr>
              <w:spacing w:after="0"/>
              <w:rPr>
                <w:sz w:val="1"/>
                <w:szCs w:val="1"/>
                <w:color w:val="auto"/>
              </w:rPr>
            </w:pPr>
          </w:p>
        </w:tc>
      </w:tr>
      <w:tr>
        <w:trPr>
          <w:trHeight w:val="165"/>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9"/>
              </w:rPr>
              <w:t>High Tech Industries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900" w:type="dxa"/>
            <w:vAlign w:val="bottom"/>
            <w:shd w:val="clear" w:color="auto" w:fill="CCECFF"/>
          </w:tcPr>
          <w:p>
            <w:pPr>
              <w:ind w:left="20"/>
              <w:spacing w:after="0" w:line="152" w:lineRule="exact"/>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11/14/2023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Aerospace and Defense</w:t>
            </w:r>
          </w:p>
        </w:tc>
        <w:tc>
          <w:tcPr>
            <w:tcW w:w="900" w:type="dxa"/>
            <w:vAlign w:val="bottom"/>
          </w:tcPr>
          <w:p>
            <w:pPr>
              <w:jc w:val="right"/>
              <w:spacing w:after="0"/>
              <w:rPr>
                <w:sz w:val="20"/>
                <w:szCs w:val="20"/>
                <w:color w:val="auto"/>
              </w:rPr>
            </w:pPr>
            <w:r>
              <w:rPr>
                <w:rFonts w:ascii="Arial" w:cs="Arial" w:eastAsia="Arial" w:hAnsi="Arial"/>
                <w:sz w:val="11"/>
                <w:szCs w:val="11"/>
                <w:color w:val="auto"/>
              </w:rPr>
              <w:t>11.31 %</w:t>
            </w: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(PIK 9.50%)</w:t>
            </w:r>
          </w:p>
        </w:tc>
        <w:tc>
          <w:tcPr>
            <w:tcW w:w="0" w:type="dxa"/>
            <w:vAlign w:val="bottom"/>
          </w:tcPr>
          <w:p>
            <w:pPr>
              <w:spacing w:after="0"/>
              <w:rPr>
                <w:sz w:val="1"/>
                <w:szCs w:val="1"/>
                <w:color w:val="auto"/>
              </w:rPr>
            </w:pPr>
          </w:p>
        </w:tc>
      </w:tr>
      <w:tr>
        <w:trPr>
          <w:trHeight w:val="132"/>
        </w:trPr>
        <w:tc>
          <w:tcPr>
            <w:tcW w:w="2900" w:type="dxa"/>
            <w:vAlign w:val="bottom"/>
          </w:tcPr>
          <w:p>
            <w:pPr>
              <w:ind w:left="20"/>
              <w:spacing w:after="0"/>
              <w:rPr>
                <w:sz w:val="20"/>
                <w:szCs w:val="20"/>
                <w:color w:val="auto"/>
              </w:rPr>
            </w:pPr>
            <w:r>
              <w:rPr>
                <w:rFonts w:ascii="Arial" w:cs="Arial" w:eastAsia="Arial" w:hAnsi="Arial"/>
                <w:sz w:val="11"/>
                <w:szCs w:val="11"/>
                <w:color w:val="auto"/>
              </w:rPr>
              <w:t>Cartessa Aesthetics,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05/13/2028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9.55 %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05/13/2028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spacing w:after="0"/>
              <w:rPr>
                <w:sz w:val="20"/>
                <w:szCs w:val="20"/>
                <w:color w:val="auto"/>
              </w:rPr>
            </w:pPr>
            <w:r>
              <w:rPr>
                <w:rFonts w:ascii="Arial" w:cs="Arial" w:eastAsia="Arial" w:hAnsi="Arial"/>
                <w:sz w:val="11"/>
                <w:szCs w:val="11"/>
                <w:color w:val="auto"/>
              </w:rPr>
              <w:t>9.55 %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05/13/2028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CF512,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9.28 %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CHA Holdings,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04/10/2025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Environmental Industries</w:t>
            </w:r>
          </w:p>
        </w:tc>
        <w:tc>
          <w:tcPr>
            <w:tcW w:w="900" w:type="dxa"/>
            <w:vAlign w:val="bottom"/>
          </w:tcPr>
          <w:p>
            <w:pPr>
              <w:jc w:val="right"/>
              <w:spacing w:after="0"/>
              <w:rPr>
                <w:sz w:val="20"/>
                <w:szCs w:val="20"/>
                <w:color w:val="auto"/>
              </w:rPr>
            </w:pPr>
            <w:r>
              <w:rPr>
                <w:rFonts w:ascii="Arial" w:cs="Arial" w:eastAsia="Arial" w:hAnsi="Arial"/>
                <w:sz w:val="11"/>
                <w:szCs w:val="11"/>
                <w:color w:val="auto"/>
              </w:rPr>
              <w:t>8.17 %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w w:val="97"/>
              </w:rPr>
              <w:t xml:space="preserve">Challenger Performance Optimization, Inc. (Revolver) </w:t>
            </w:r>
            <w:r>
              <w:rPr>
                <w:rFonts w:ascii="Arial" w:cs="Arial" w:eastAsia="Arial" w:hAnsi="Arial"/>
                <w:sz w:val="14"/>
                <w:szCs w:val="14"/>
                <w:color w:val="auto"/>
                <w:w w:val="97"/>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Business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9.27 %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w w:val="97"/>
              </w:rPr>
              <w:t xml:space="preserve">Challenger Performance Optimization, Inc. (Revolver) </w:t>
            </w:r>
            <w:r>
              <w:rPr>
                <w:rFonts w:ascii="Arial" w:cs="Arial" w:eastAsia="Arial" w:hAnsi="Arial"/>
                <w:sz w:val="14"/>
                <w:szCs w:val="14"/>
                <w:color w:val="auto"/>
                <w:w w:val="97"/>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Business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Compex Legal Services,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02/09/2026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8.83 %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02/07/2025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8.92 %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02/07/2025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Connatix Buyer,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07/13/2027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spacing w:after="0"/>
              <w:rPr>
                <w:sz w:val="20"/>
                <w:szCs w:val="20"/>
                <w:color w:val="auto"/>
              </w:rPr>
            </w:pPr>
            <w:r>
              <w:rPr>
                <w:rFonts w:ascii="Arial" w:cs="Arial" w:eastAsia="Arial" w:hAnsi="Arial"/>
                <w:sz w:val="11"/>
                <w:szCs w:val="11"/>
                <w:color w:val="auto"/>
              </w:rPr>
              <w:t>8.42 %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01/13/2023</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07/13/2027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Crane 1 Services,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9.39 %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0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w w:val="98"/>
              </w:rPr>
              <w:t>Douglas Products and Packaging Company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00" w:type="dxa"/>
            <w:vAlign w:val="bottom"/>
          </w:tcPr>
          <w:p>
            <w:pPr>
              <w:jc w:val="right"/>
              <w:spacing w:after="0"/>
              <w:rPr>
                <w:sz w:val="20"/>
                <w:szCs w:val="20"/>
                <w:color w:val="auto"/>
              </w:rPr>
            </w:pPr>
            <w:r>
              <w:rPr>
                <w:rFonts w:ascii="Arial" w:cs="Arial" w:eastAsia="Arial" w:hAnsi="Arial"/>
                <w:sz w:val="11"/>
                <w:szCs w:val="11"/>
                <w:color w:val="auto"/>
              </w:rPr>
              <w:t>11.00 %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w w:val="93"/>
              </w:rPr>
              <w:t xml:space="preserve">Douglas Products and Packaging Company LLC (Revolver) </w:t>
            </w:r>
            <w:r>
              <w:rPr>
                <w:rFonts w:ascii="Arial" w:cs="Arial" w:eastAsia="Arial" w:hAnsi="Arial"/>
                <w:sz w:val="14"/>
                <w:szCs w:val="14"/>
                <w:color w:val="auto"/>
                <w:w w:val="93"/>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Douglas Sewer Intermediate,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0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spacing w:after="0"/>
              <w:rPr>
                <w:sz w:val="20"/>
                <w:szCs w:val="20"/>
                <w:color w:val="auto"/>
              </w:rPr>
            </w:pPr>
            <w:r>
              <w:rPr>
                <w:rFonts w:ascii="Arial" w:cs="Arial" w:eastAsia="Arial" w:hAnsi="Arial"/>
                <w:sz w:val="11"/>
                <w:szCs w:val="11"/>
                <w:color w:val="auto"/>
              </w:rPr>
              <w:t>9.42 %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spacing w:after="0"/>
              <w:rPr>
                <w:sz w:val="20"/>
                <w:szCs w:val="20"/>
                <w:color w:val="auto"/>
              </w:rPr>
            </w:pPr>
            <w:r>
              <w:rPr>
                <w:rFonts w:ascii="Arial" w:cs="Arial" w:eastAsia="Arial" w:hAnsi="Arial"/>
                <w:sz w:val="11"/>
                <w:szCs w:val="11"/>
                <w:color w:val="auto"/>
              </w:rPr>
              <w:t>8.95 %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11/03/2025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11/03/2025</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Personal Products</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Duraco Specialty Tapes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06/30/2024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Containers and Packaging</w:t>
            </w:r>
          </w:p>
        </w:tc>
        <w:tc>
          <w:tcPr>
            <w:tcW w:w="900" w:type="dxa"/>
            <w:vAlign w:val="bottom"/>
          </w:tcPr>
          <w:p>
            <w:pPr>
              <w:jc w:val="right"/>
              <w:spacing w:after="0"/>
              <w:rPr>
                <w:sz w:val="20"/>
                <w:szCs w:val="20"/>
                <w:color w:val="auto"/>
              </w:rPr>
            </w:pPr>
            <w:r>
              <w:rPr>
                <w:rFonts w:ascii="Arial" w:cs="Arial" w:eastAsia="Arial" w:hAnsi="Arial"/>
                <w:sz w:val="11"/>
                <w:szCs w:val="11"/>
                <w:color w:val="auto"/>
              </w:rPr>
              <w:t>8.62 %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05/01/2028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Hotels, Restaurants and Leisure</w:t>
            </w:r>
          </w:p>
        </w:tc>
        <w:tc>
          <w:tcPr>
            <w:tcW w:w="900" w:type="dxa"/>
            <w:vAlign w:val="bottom"/>
          </w:tcPr>
          <w:p>
            <w:pPr>
              <w:jc w:val="right"/>
              <w:spacing w:after="0"/>
              <w:rPr>
                <w:sz w:val="20"/>
                <w:szCs w:val="20"/>
                <w:color w:val="auto"/>
              </w:rPr>
            </w:pPr>
            <w:r>
              <w:rPr>
                <w:rFonts w:ascii="Arial" w:cs="Arial" w:eastAsia="Arial" w:hAnsi="Arial"/>
                <w:sz w:val="11"/>
                <w:szCs w:val="11"/>
                <w:color w:val="auto"/>
              </w:rPr>
              <w:t>10.62 %</w:t>
            </w:r>
          </w:p>
        </w:tc>
        <w:tc>
          <w:tcPr>
            <w:tcW w:w="0" w:type="dxa"/>
            <w:vAlign w:val="bottom"/>
          </w:tcPr>
          <w:p>
            <w:pPr>
              <w:spacing w:after="0"/>
              <w:rPr>
                <w:sz w:val="1"/>
                <w:szCs w:val="1"/>
                <w:color w:val="auto"/>
              </w:rPr>
            </w:pPr>
          </w:p>
        </w:tc>
      </w:tr>
      <w:tr>
        <w:trPr>
          <w:trHeight w:val="134"/>
        </w:trPr>
        <w:tc>
          <w:tcPr>
            <w:tcW w:w="2900" w:type="dxa"/>
            <w:vAlign w:val="bottom"/>
          </w:tcPr>
          <w:p>
            <w:pPr>
              <w:ind w:left="20"/>
              <w:spacing w:after="0"/>
              <w:rPr>
                <w:sz w:val="20"/>
                <w:szCs w:val="20"/>
                <w:color w:val="auto"/>
              </w:rPr>
            </w:pPr>
            <w:r>
              <w:rPr>
                <w:rFonts w:ascii="Arial" w:cs="Arial" w:eastAsia="Arial" w:hAnsi="Arial"/>
                <w:sz w:val="11"/>
                <w:szCs w:val="11"/>
                <w:color w:val="auto"/>
              </w:rPr>
              <w:t>ECM Industries,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12/23/2025</w:t>
            </w:r>
          </w:p>
        </w:tc>
        <w:tc>
          <w:tcPr>
            <w:tcW w:w="2280" w:type="dxa"/>
            <w:vAlign w:val="bottom"/>
          </w:tcPr>
          <w:p>
            <w:pPr>
              <w:ind w:left="220"/>
              <w:spacing w:after="0"/>
              <w:rPr>
                <w:sz w:val="20"/>
                <w:szCs w:val="20"/>
                <w:color w:val="auto"/>
              </w:rPr>
            </w:pPr>
            <w:r>
              <w:rPr>
                <w:rFonts w:ascii="Arial" w:cs="Arial" w:eastAsia="Arial" w:hAnsi="Arial"/>
                <w:sz w:val="11"/>
                <w:szCs w:val="11"/>
                <w:color w:val="auto"/>
              </w:rPr>
              <w:t>Electronic Equipment, Instruments, and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vMerge w:val="restart"/>
          </w:tcPr>
          <w:p>
            <w:pPr>
              <w:ind w:left="20"/>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(9)</w:t>
            </w:r>
          </w:p>
        </w:tc>
        <w:tc>
          <w:tcPr>
            <w:tcW w:w="94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jc w:val="right"/>
              <w:spacing w:after="0"/>
              <w:rPr>
                <w:sz w:val="20"/>
                <w:szCs w:val="20"/>
                <w:color w:val="auto"/>
              </w:rPr>
            </w:pPr>
            <w:r>
              <w:rPr>
                <w:rFonts w:ascii="Arial" w:cs="Arial" w:eastAsia="Arial" w:hAnsi="Arial"/>
                <w:sz w:val="11"/>
                <w:szCs w:val="11"/>
                <w:color w:val="auto"/>
              </w:rPr>
              <w:t>8.00 %</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12/23/2025</w:t>
            </w:r>
          </w:p>
        </w:tc>
        <w:tc>
          <w:tcPr>
            <w:tcW w:w="2280" w:type="dxa"/>
            <w:vAlign w:val="bottom"/>
          </w:tcPr>
          <w:p>
            <w:pPr>
              <w:ind w:left="220"/>
              <w:spacing w:after="0"/>
              <w:rPr>
                <w:sz w:val="20"/>
                <w:szCs w:val="20"/>
                <w:color w:val="auto"/>
              </w:rPr>
            </w:pPr>
            <w:r>
              <w:rPr>
                <w:rFonts w:ascii="Arial" w:cs="Arial" w:eastAsia="Arial" w:hAnsi="Arial"/>
                <w:sz w:val="11"/>
                <w:szCs w:val="11"/>
                <w:color w:val="auto"/>
              </w:rPr>
              <w:t>Electronic Equipment, Instruments, and</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vMerge w:val="restart"/>
          </w:tcPr>
          <w:p>
            <w:pPr>
              <w:ind w:left="20"/>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940" w:type="dxa"/>
            <w:vAlign w:val="bottom"/>
          </w:tcPr>
          <w:p>
            <w:pPr>
              <w:spacing w:after="0"/>
              <w:rPr>
                <w:sz w:val="11"/>
                <w:szCs w:val="11"/>
                <w:color w:val="auto"/>
              </w:rPr>
            </w:pP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6"/>
              </w:rPr>
              <w:t>Components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00" w:type="dxa"/>
            <w:vAlign w:val="bottom"/>
            <w:vMerge w:val="continue"/>
          </w:tcPr>
          <w:p>
            <w:pPr>
              <w:spacing w:after="0"/>
              <w:rPr>
                <w:sz w:val="12"/>
                <w:szCs w:val="12"/>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8"/>
              </w:rPr>
              <w:t>Banking, Finance, Insurance &amp; Real Estate</w:t>
            </w:r>
          </w:p>
        </w:tc>
        <w:tc>
          <w:tcPr>
            <w:tcW w:w="900" w:type="dxa"/>
            <w:vAlign w:val="bottom"/>
          </w:tcPr>
          <w:p>
            <w:pPr>
              <w:jc w:val="right"/>
              <w:spacing w:after="0"/>
              <w:rPr>
                <w:sz w:val="20"/>
                <w:szCs w:val="20"/>
                <w:color w:val="auto"/>
              </w:rPr>
            </w:pPr>
            <w:r>
              <w:rPr>
                <w:rFonts w:ascii="Arial" w:cs="Arial" w:eastAsia="Arial" w:hAnsi="Arial"/>
                <w:sz w:val="11"/>
                <w:szCs w:val="11"/>
                <w:color w:val="auto"/>
              </w:rPr>
              <w:t>7.63 %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(10)</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8"/>
              </w:rPr>
              <w:t>Banking, Finance, Insurance &amp; Real Estate</w:t>
            </w:r>
          </w:p>
        </w:tc>
        <w:tc>
          <w:tcPr>
            <w:tcW w:w="900" w:type="dxa"/>
            <w:vAlign w:val="bottom"/>
          </w:tcPr>
          <w:p>
            <w:pPr>
              <w:jc w:val="right"/>
              <w:spacing w:after="0"/>
              <w:rPr>
                <w:sz w:val="20"/>
                <w:szCs w:val="20"/>
                <w:color w:val="auto"/>
              </w:rPr>
            </w:pPr>
            <w:r>
              <w:rPr>
                <w:rFonts w:ascii="Arial" w:cs="Arial" w:eastAsia="Arial" w:hAnsi="Arial"/>
                <w:sz w:val="11"/>
                <w:szCs w:val="11"/>
                <w:color w:val="auto"/>
              </w:rPr>
              <w:t>7.63 %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w w:val="98"/>
              </w:rPr>
              <w:t xml:space="preserve">eCommission Financial Services, Inc. (Revolver) </w:t>
            </w:r>
            <w:r>
              <w:rPr>
                <w:rFonts w:ascii="Arial" w:cs="Arial" w:eastAsia="Arial" w:hAnsi="Arial"/>
                <w:sz w:val="14"/>
                <w:szCs w:val="14"/>
                <w:color w:val="auto"/>
                <w:w w:val="98"/>
                <w:vertAlign w:val="superscript"/>
              </w:rPr>
              <w:t>(7), (9), (10)</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88"/>
              </w:rPr>
              <w:t>Banking, Finance, Insurance &amp; Real Estate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Efficient Collaborative Retail Marketing Company,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06/15/2024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tcPr>
          <w:p>
            <w:pPr>
              <w:jc w:val="right"/>
              <w:spacing w:after="0"/>
              <w:rPr>
                <w:sz w:val="20"/>
                <w:szCs w:val="20"/>
                <w:color w:val="auto"/>
              </w:rPr>
            </w:pPr>
            <w:r>
              <w:rPr>
                <w:rFonts w:ascii="Arial" w:cs="Arial" w:eastAsia="Arial" w:hAnsi="Arial"/>
                <w:sz w:val="11"/>
                <w:szCs w:val="11"/>
                <w:color w:val="auto"/>
              </w:rPr>
              <w:t>10.42 %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Exigo Intermediate II, LLC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03/15/2024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Exigo Intermediate II,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03/15/2027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0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Exigo Intermediate II, LLC (Revolver)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03/15/2027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4"/>
                <w:szCs w:val="14"/>
                <w:color w:val="auto"/>
                <w:vertAlign w:val="superscript"/>
              </w:rPr>
              <w:t>(5)(10)(11)</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05/31/2024</w:t>
            </w:r>
          </w:p>
        </w:tc>
        <w:tc>
          <w:tcPr>
            <w:tcW w:w="2280" w:type="dxa"/>
            <w:vAlign w:val="bottom"/>
          </w:tcPr>
          <w:p>
            <w:pPr>
              <w:jc w:val="center"/>
              <w:ind w:right="46"/>
              <w:spacing w:after="0"/>
              <w:rPr>
                <w:sz w:val="20"/>
                <w:szCs w:val="20"/>
                <w:color w:val="auto"/>
              </w:rPr>
            </w:pPr>
            <w:r>
              <w:rPr>
                <w:rFonts w:ascii="Arial" w:cs="Arial" w:eastAsia="Arial" w:hAnsi="Arial"/>
                <w:sz w:val="11"/>
                <w:szCs w:val="11"/>
                <w:color w:val="auto"/>
                <w:w w:val="90"/>
              </w:rPr>
              <w:t>Diversified Financial Services</w:t>
            </w:r>
          </w:p>
        </w:tc>
        <w:tc>
          <w:tcPr>
            <w:tcW w:w="900" w:type="dxa"/>
            <w:vAlign w:val="bottom"/>
          </w:tcPr>
          <w:p>
            <w:pPr>
              <w:jc w:val="right"/>
              <w:spacing w:after="0"/>
              <w:rPr>
                <w:sz w:val="20"/>
                <w:szCs w:val="20"/>
                <w:color w:val="auto"/>
              </w:rPr>
            </w:pPr>
            <w:r>
              <w:rPr>
                <w:rFonts w:ascii="Arial" w:cs="Arial" w:eastAsia="Arial" w:hAnsi="Arial"/>
                <w:sz w:val="11"/>
                <w:szCs w:val="11"/>
                <w:color w:val="auto"/>
              </w:rPr>
              <w:t>7.17 %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-7009130</wp:posOffset>
            </wp:positionV>
            <wp:extent cx="713232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7132320"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-6631940</wp:posOffset>
            </wp:positionV>
            <wp:extent cx="7132320" cy="939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-6443980</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-6178550</wp:posOffset>
            </wp:positionV>
            <wp:extent cx="713232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-5989955</wp:posOffset>
            </wp:positionV>
            <wp:extent cx="713232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-5801360</wp:posOffset>
            </wp:positionV>
            <wp:extent cx="7132320" cy="93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-5613400</wp:posOffset>
            </wp:positionV>
            <wp:extent cx="7132320"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-5347970</wp:posOffset>
            </wp:positionV>
            <wp:extent cx="713232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-5159375</wp:posOffset>
            </wp:positionV>
            <wp:extent cx="7132320" cy="93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-4970780</wp:posOffset>
            </wp:positionV>
            <wp:extent cx="7132320" cy="939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93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-4406265</wp:posOffset>
            </wp:positionV>
            <wp:extent cx="7132320"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-4217670</wp:posOffset>
            </wp:positionV>
            <wp:extent cx="713232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-4029075</wp:posOffset>
            </wp:positionV>
            <wp:extent cx="7132320" cy="93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-3746500</wp:posOffset>
            </wp:positionV>
            <wp:extent cx="7132320" cy="93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-3558540</wp:posOffset>
            </wp:positionV>
            <wp:extent cx="713232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-3369945</wp:posOffset>
            </wp:positionV>
            <wp:extent cx="7132320" cy="93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-3181350</wp:posOffset>
            </wp:positionV>
            <wp:extent cx="7132320"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-2993390</wp:posOffset>
            </wp:positionV>
            <wp:extent cx="7132320" cy="93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-2804795</wp:posOffset>
            </wp:positionV>
            <wp:extent cx="7132320" cy="939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-2616200</wp:posOffset>
            </wp:positionV>
            <wp:extent cx="7132320" cy="93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-2428240</wp:posOffset>
            </wp:positionV>
            <wp:extent cx="7132320" cy="93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-2239645</wp:posOffset>
            </wp:positionV>
            <wp:extent cx="7132320" cy="93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-2051050</wp:posOffset>
            </wp:positionV>
            <wp:extent cx="713232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-1863090</wp:posOffset>
            </wp:positionV>
            <wp:extent cx="7132320" cy="93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-1674495</wp:posOffset>
            </wp:positionV>
            <wp:extent cx="7132320" cy="939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-1485900</wp:posOffset>
            </wp:positionV>
            <wp:extent cx="7132320" cy="93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-1297940</wp:posOffset>
            </wp:positionV>
            <wp:extent cx="7132320" cy="93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-1109345</wp:posOffset>
            </wp:positionV>
            <wp:extent cx="71323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-767080</wp:posOffset>
            </wp:positionV>
            <wp:extent cx="7132320" cy="939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93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93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80" w:type="dxa"/>
            <w:vAlign w:val="bottom"/>
          </w:tcPr>
          <w:p>
            <w:pPr>
              <w:spacing w:after="0"/>
              <w:rPr>
                <w:sz w:val="11"/>
                <w:szCs w:val="11"/>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4,938</w:t>
            </w:r>
          </w:p>
        </w:tc>
        <w:tc>
          <w:tcPr>
            <w:tcW w:w="3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4,882</w:t>
            </w:r>
          </w:p>
        </w:tc>
        <w:tc>
          <w:tcPr>
            <w:tcW w:w="4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4,900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1,244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L+800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4,794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4,756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4,626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L+800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555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1,581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(55 )</w:t>
            </w:r>
          </w:p>
        </w:tc>
        <w:tc>
          <w:tcPr>
            <w:tcW w:w="0" w:type="dxa"/>
            <w:vAlign w:val="bottom"/>
          </w:tcPr>
          <w:p>
            <w:pPr>
              <w:spacing w:after="0"/>
              <w:rPr>
                <w:sz w:val="1"/>
                <w:szCs w:val="1"/>
                <w:color w:val="auto"/>
              </w:rPr>
            </w:pPr>
          </w:p>
        </w:tc>
      </w:tr>
      <w:tr>
        <w:trPr>
          <w:trHeight w:val="148"/>
        </w:trPr>
        <w:tc>
          <w:tcPr>
            <w:tcW w:w="280" w:type="dxa"/>
            <w:vAlign w:val="bottom"/>
            <w:vMerge w:val="restart"/>
          </w:tcPr>
          <w:p>
            <w:pPr>
              <w:jc w:val="right"/>
              <w:ind w:right="170"/>
              <w:spacing w:after="0"/>
              <w:rPr>
                <w:sz w:val="20"/>
                <w:szCs w:val="20"/>
                <w:color w:val="auto"/>
              </w:rPr>
            </w:pPr>
            <w:r>
              <w:rPr>
                <w:rFonts w:ascii="Arial" w:cs="Arial" w:eastAsia="Arial" w:hAnsi="Arial"/>
                <w:sz w:val="6"/>
                <w:szCs w:val="6"/>
                <w:color w:val="auto"/>
                <w:w w:val="81"/>
              </w:rPr>
              <w:t>(6)</w:t>
            </w: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7,601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7,559</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7,601</w:t>
            </w:r>
          </w:p>
        </w:tc>
        <w:tc>
          <w:tcPr>
            <w:tcW w:w="0" w:type="dxa"/>
            <w:vAlign w:val="bottom"/>
          </w:tcPr>
          <w:p>
            <w:pPr>
              <w:spacing w:after="0"/>
              <w:rPr>
                <w:sz w:val="1"/>
                <w:szCs w:val="1"/>
                <w:color w:val="auto"/>
              </w:rPr>
            </w:pPr>
          </w:p>
        </w:tc>
      </w:tr>
      <w:tr>
        <w:trPr>
          <w:trHeight w:val="55"/>
        </w:trPr>
        <w:tc>
          <w:tcPr>
            <w:tcW w:w="280" w:type="dxa"/>
            <w:vAlign w:val="bottom"/>
            <w:vMerge w:val="continue"/>
          </w:tcPr>
          <w:p>
            <w:pPr>
              <w:spacing w:after="0"/>
              <w:rPr>
                <w:sz w:val="4"/>
                <w:szCs w:val="4"/>
                <w:color w:val="auto"/>
              </w:rPr>
            </w:pPr>
          </w:p>
        </w:tc>
        <w:tc>
          <w:tcPr>
            <w:tcW w:w="900" w:type="dxa"/>
            <w:vAlign w:val="bottom"/>
            <w:vMerge w:val="restart"/>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7,986</w:t>
            </w:r>
          </w:p>
        </w:tc>
        <w:tc>
          <w:tcPr>
            <w:tcW w:w="380" w:type="dxa"/>
            <w:vAlign w:val="bottom"/>
          </w:tcPr>
          <w:p>
            <w:pPr>
              <w:spacing w:after="0"/>
              <w:rPr>
                <w:sz w:val="4"/>
                <w:szCs w:val="4"/>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7,915</w:t>
            </w:r>
          </w:p>
        </w:tc>
        <w:tc>
          <w:tcPr>
            <w:tcW w:w="40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93"/>
        </w:trPr>
        <w:tc>
          <w:tcPr>
            <w:tcW w:w="280" w:type="dxa"/>
            <w:vAlign w:val="bottom"/>
            <w:vMerge w:val="restart"/>
          </w:tcPr>
          <w:p>
            <w:pPr>
              <w:jc w:val="right"/>
              <w:ind w:right="170"/>
              <w:spacing w:after="0"/>
              <w:rPr>
                <w:sz w:val="20"/>
                <w:szCs w:val="20"/>
                <w:color w:val="auto"/>
              </w:rPr>
            </w:pPr>
            <w:r>
              <w:rPr>
                <w:rFonts w:ascii="Arial" w:cs="Arial" w:eastAsia="Arial" w:hAnsi="Arial"/>
                <w:sz w:val="6"/>
                <w:szCs w:val="6"/>
                <w:color w:val="auto"/>
                <w:w w:val="81"/>
              </w:rPr>
              <w:t>(6)</w:t>
            </w: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80" w:type="dxa"/>
            <w:vAlign w:val="bottom"/>
            <w:vMerge w:val="continue"/>
          </w:tcPr>
          <w:p>
            <w:pPr>
              <w:spacing w:after="0"/>
              <w:rPr>
                <w:sz w:val="4"/>
                <w:szCs w:val="4"/>
                <w:color w:val="auto"/>
              </w:rPr>
            </w:pPr>
          </w:p>
        </w:tc>
        <w:tc>
          <w:tcPr>
            <w:tcW w:w="900" w:type="dxa"/>
            <w:vAlign w:val="bottom"/>
            <w:vMerge w:val="restart"/>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1,656</w:t>
            </w:r>
          </w:p>
        </w:tc>
        <w:tc>
          <w:tcPr>
            <w:tcW w:w="380" w:type="dxa"/>
            <w:vAlign w:val="bottom"/>
          </w:tcPr>
          <w:p>
            <w:pPr>
              <w:spacing w:after="0"/>
              <w:rPr>
                <w:sz w:val="4"/>
                <w:szCs w:val="4"/>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1,642</w:t>
            </w:r>
          </w:p>
        </w:tc>
        <w:tc>
          <w:tcPr>
            <w:tcW w:w="40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14,104</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13,951</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13,892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14,568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14,486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14,568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2,869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10,536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10,432</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10,326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1,147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6,208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6,166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6,177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296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12,906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12,814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12,841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1,845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L+425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5,805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5,785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5,050</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7,147</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7,040</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6,968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2,298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L+475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248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1,018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887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5,000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4,901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4,900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3,232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549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549</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2,195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3,405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3,405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3,405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27,533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27,331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27,257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L+663</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877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877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868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3,189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L+850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3,033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3,024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3,003</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16,459</w:t>
            </w:r>
          </w:p>
        </w:tc>
        <w:tc>
          <w:tcPr>
            <w:tcW w:w="380" w:type="dxa"/>
            <w:vAlign w:val="bottom"/>
          </w:tcPr>
          <w:p>
            <w:pPr>
              <w:spacing w:after="0"/>
              <w:rPr>
                <w:sz w:val="24"/>
                <w:szCs w:val="2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16,143</w:t>
            </w:r>
          </w:p>
        </w:tc>
        <w:tc>
          <w:tcPr>
            <w:tcW w:w="40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16,212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511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511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927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8,098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7,988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7,976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955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L+450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1,581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1,577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1,581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L+675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357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357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356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8,038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8,010</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8,038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773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773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773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633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3,907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3,841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3,810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2,105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1,234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891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885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882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6,477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6,476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6,477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P+475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2,627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2,627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2,627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3,425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3,920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3,920</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3,920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4,428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4,356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4,362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1,118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1,118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1,101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2,236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17,111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16,993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16,564</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1,426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3,247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3,208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3,169</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L+750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5,203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5,158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5,125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L+475</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514</w:t>
            </w:r>
          </w:p>
        </w:tc>
        <w:tc>
          <w:tcPr>
            <w:tcW w:w="380" w:type="dxa"/>
            <w:vAlign w:val="bottom"/>
          </w:tcPr>
          <w:p>
            <w:pPr>
              <w:spacing w:after="0"/>
              <w:rPr>
                <w:sz w:val="12"/>
                <w:szCs w:val="12"/>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514</w:t>
            </w:r>
          </w:p>
        </w:tc>
        <w:tc>
          <w:tcPr>
            <w:tcW w:w="40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5,837</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5,837</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5,837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1M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2,500</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2,500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L+675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7,150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7,123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6,936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2,758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552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3M L+450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AUD 10,000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7,399</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-3915410</wp:posOffset>
            </wp:positionV>
            <wp:extent cx="5300345"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00345" cy="93980"/>
                    </a:xfrm>
                    <a:prstGeom prst="rect">
                      <a:avLst/>
                    </a:prstGeom>
                    <a:noFill/>
                  </pic:spPr>
                </pic:pic>
              </a:graphicData>
            </a:graphic>
          </wp:anchor>
        </w:drawing>
      </w:r>
    </w:p>
    <w:p>
      <w:pPr>
        <w:sectPr>
          <w:pgSz w:w="11900" w:h="16838" w:orient="portrait"/>
          <w:cols w:equalWidth="0" w:num="2">
            <w:col w:w="7020" w:space="40"/>
            <w:col w:w="4120"/>
          </w:cols>
          <w:pgMar w:left="320" w:top="121" w:right="39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right"/>
              <w:ind w:right="480"/>
              <w:spacing w:after="0" w:line="109"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9.37 %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21,982</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21,632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9.37 %</w:t>
            </w:r>
          </w:p>
        </w:tc>
        <w:tc>
          <w:tcPr>
            <w:tcW w:w="840" w:type="dxa"/>
            <w:vAlign w:val="bottom"/>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3,484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(105 )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03/16/2026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8.74 %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08/10/2023</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1,071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8.92 %</w:t>
            </w:r>
          </w:p>
        </w:tc>
        <w:tc>
          <w:tcPr>
            <w:tcW w:w="84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8.67 %</w:t>
            </w:r>
          </w:p>
        </w:tc>
        <w:tc>
          <w:tcPr>
            <w:tcW w:w="84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4,441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12/31/2022</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7.82 %</w:t>
            </w:r>
          </w:p>
        </w:tc>
        <w:tc>
          <w:tcPr>
            <w:tcW w:w="84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9"/>
              </w:rPr>
              <w:t xml:space="preserve">Hancock Roofing and Construction L.L.C. (Revolver) </w:t>
            </w:r>
            <w:r>
              <w:rPr>
                <w:rFonts w:ascii="Arial" w:cs="Arial" w:eastAsia="Arial" w:hAnsi="Arial"/>
                <w:sz w:val="14"/>
                <w:szCs w:val="14"/>
                <w:color w:val="auto"/>
                <w:w w:val="99"/>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12/31/2026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11/23/2028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10.17 %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4,963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4,872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11/23/2027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1,791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6.00 %</w:t>
            </w:r>
          </w:p>
        </w:tc>
        <w:tc>
          <w:tcPr>
            <w:tcW w:w="840" w:type="dxa"/>
            <w:vAlign w:val="bottom"/>
          </w:tcPr>
          <w:p>
            <w:pPr>
              <w:jc w:val="right"/>
              <w:spacing w:after="0"/>
              <w:rPr>
                <w:sz w:val="20"/>
                <w:szCs w:val="20"/>
                <w:color w:val="auto"/>
              </w:rPr>
            </w:pPr>
            <w:r>
              <w:rPr>
                <w:rFonts w:ascii="Arial" w:cs="Arial" w:eastAsia="Arial" w:hAnsi="Arial"/>
                <w:sz w:val="11"/>
                <w:szCs w:val="11"/>
                <w:color w:val="auto"/>
              </w:rPr>
              <w:t>1M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8,457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8,416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HW Holdco, LLC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12/10/2024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1,686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IDC Infusion Services,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12/30/2026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10.44 %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5,723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5,616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IDC Infusion Services, Inc.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12/30/2026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(188 )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09/22/2028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9.45 %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4,473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Acquisitionco,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11/15/2027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8.42 %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3,979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11/15/2027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11/15/2027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Inception Fertility Ventures,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12/07/2023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10.13 %</w:t>
            </w:r>
          </w:p>
        </w:tc>
        <w:tc>
          <w:tcPr>
            <w:tcW w:w="840" w:type="dxa"/>
            <w:vAlign w:val="bottom"/>
          </w:tcPr>
          <w:p>
            <w:pPr>
              <w:jc w:val="right"/>
              <w:spacing w:after="0"/>
              <w:rPr>
                <w:sz w:val="20"/>
                <w:szCs w:val="20"/>
                <w:color w:val="auto"/>
              </w:rPr>
            </w:pPr>
            <w:r>
              <w:rPr>
                <w:rFonts w:ascii="Arial" w:cs="Arial" w:eastAsia="Arial" w:hAnsi="Arial"/>
                <w:sz w:val="11"/>
                <w:szCs w:val="11"/>
                <w:color w:val="auto"/>
              </w:rPr>
              <w:t>3M L+715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14,954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14,711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14,804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Infolinks Media Buyco,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11/01/2026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9.42 %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2,625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2,581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Infolinks Media Buyco, LLC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11/01/2023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09/29/2023</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8.42 %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15,636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09/29/2023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08/27/2025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7.58 %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15,825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15,697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ITI Holdings, Inc. (Revolver)</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8.25 %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ITI Holdings,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03/03/2028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Kinetic Purchaser,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9.67 %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17,428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17,120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Kinetic Purchaser, LLC -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11/10/2026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9.67 %</w:t>
            </w:r>
          </w:p>
        </w:tc>
        <w:tc>
          <w:tcPr>
            <w:tcW w:w="84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02/18/2027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10,511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10,323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9.38 %</w:t>
            </w:r>
          </w:p>
        </w:tc>
        <w:tc>
          <w:tcPr>
            <w:tcW w:w="840" w:type="dxa"/>
            <w:vAlign w:val="bottom"/>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599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08/16/2026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9.95 %</w:t>
            </w:r>
          </w:p>
        </w:tc>
        <w:tc>
          <w:tcPr>
            <w:tcW w:w="840" w:type="dxa"/>
            <w:vAlign w:val="bottom"/>
          </w:tcPr>
          <w:p>
            <w:pPr>
              <w:jc w:val="right"/>
              <w:spacing w:after="0"/>
              <w:rPr>
                <w:sz w:val="20"/>
                <w:szCs w:val="20"/>
                <w:color w:val="auto"/>
              </w:rPr>
            </w:pPr>
            <w:r>
              <w:rPr>
                <w:rFonts w:ascii="Arial" w:cs="Arial" w:eastAsia="Arial" w:hAnsi="Arial"/>
                <w:sz w:val="11"/>
                <w:szCs w:val="11"/>
                <w:color w:val="auto"/>
              </w:rPr>
              <w:t>1M L+750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9,565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9,542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(PIK 5.50%)</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10/31/2024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9.95 %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1,721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(PIK 5.50%)</w:t>
            </w: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Ledge Lounger,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9.92 %</w:t>
            </w:r>
          </w:p>
        </w:tc>
        <w:tc>
          <w:tcPr>
            <w:tcW w:w="840" w:type="dxa"/>
            <w:vAlign w:val="bottom"/>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3,747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11/09/2026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789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Lightspeed Buyer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8.87 %</w:t>
            </w:r>
          </w:p>
        </w:tc>
        <w:tc>
          <w:tcPr>
            <w:tcW w:w="840" w:type="dxa"/>
            <w:vAlign w:val="bottom"/>
          </w:tcPr>
          <w:p>
            <w:pPr>
              <w:jc w:val="right"/>
              <w:spacing w:after="0"/>
              <w:rPr>
                <w:sz w:val="20"/>
                <w:szCs w:val="20"/>
                <w:color w:val="auto"/>
              </w:rPr>
            </w:pPr>
            <w:r>
              <w:rPr>
                <w:rFonts w:ascii="Arial" w:cs="Arial" w:eastAsia="Arial" w:hAnsi="Arial"/>
                <w:sz w:val="11"/>
                <w:szCs w:val="11"/>
                <w:color w:val="auto"/>
              </w:rPr>
              <w:t>1M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24,357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24,065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02/03/2026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8.87 %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(46 )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Lucky Bucks,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8.31 %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4,331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4,258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MAG DS Corp.</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04/01/2027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9.17 %</w:t>
            </w:r>
          </w:p>
        </w:tc>
        <w:tc>
          <w:tcPr>
            <w:tcW w:w="84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3,714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8.62 %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6,052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6,022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04/16/2027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MDI Buyer, Inc. - Unfunded Term Loan</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07/25/2028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1,804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MDI Buyer,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07/25/2028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Meadowlark Acquirer,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9.17 %</w:t>
            </w:r>
          </w:p>
        </w:tc>
        <w:tc>
          <w:tcPr>
            <w:tcW w:w="84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Meadowlark Acquirer, LLC - Term Loan I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1,782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Meadowlark Acquirer, LLC - Term Loan II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9,483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8.03 %</w:t>
            </w:r>
          </w:p>
        </w:tc>
        <w:tc>
          <w:tcPr>
            <w:tcW w:w="840" w:type="dxa"/>
            <w:vAlign w:val="bottom"/>
          </w:tcPr>
          <w:p>
            <w:pPr>
              <w:jc w:val="right"/>
              <w:spacing w:after="0"/>
              <w:rPr>
                <w:sz w:val="20"/>
                <w:szCs w:val="20"/>
                <w:color w:val="auto"/>
              </w:rPr>
            </w:pPr>
            <w:r>
              <w:rPr>
                <w:rFonts w:ascii="Arial" w:cs="Arial" w:eastAsia="Arial" w:hAnsi="Arial"/>
                <w:sz w:val="11"/>
                <w:szCs w:val="11"/>
                <w:color w:val="auto"/>
              </w:rPr>
              <w:t>SOFR +500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Mission Critical Electronics, Inc.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6.67 %</w:t>
            </w:r>
          </w:p>
        </w:tc>
        <w:tc>
          <w:tcPr>
            <w:tcW w:w="840" w:type="dxa"/>
            <w:vAlign w:val="bottom"/>
          </w:tcPr>
          <w:p>
            <w:pPr>
              <w:jc w:val="right"/>
              <w:spacing w:after="0"/>
              <w:rPr>
                <w:sz w:val="20"/>
                <w:szCs w:val="20"/>
                <w:color w:val="auto"/>
              </w:rPr>
            </w:pPr>
            <w:r>
              <w:rPr>
                <w:rFonts w:ascii="Arial" w:cs="Arial" w:eastAsia="Arial" w:hAnsi="Arial"/>
                <w:sz w:val="11"/>
                <w:szCs w:val="11"/>
                <w:color w:val="auto"/>
              </w:rPr>
              <w:t>1M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03/28/2024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769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8.67 %</w:t>
            </w:r>
          </w:p>
        </w:tc>
        <w:tc>
          <w:tcPr>
            <w:tcW w:w="84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8.67 %</w:t>
            </w:r>
          </w:p>
        </w:tc>
        <w:tc>
          <w:tcPr>
            <w:tcW w:w="84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07/09/2026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9.45 %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+ 575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1,975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05/07/2027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Air Freight and Logistics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9.37 %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8,759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8,612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8.92 %</w:t>
            </w:r>
          </w:p>
        </w:tc>
        <w:tc>
          <w:tcPr>
            <w:tcW w:w="840" w:type="dxa"/>
            <w:vAlign w:val="bottom"/>
          </w:tcPr>
          <w:p>
            <w:pPr>
              <w:jc w:val="right"/>
              <w:spacing w:after="0"/>
              <w:rPr>
                <w:sz w:val="20"/>
                <w:szCs w:val="20"/>
                <w:color w:val="auto"/>
              </w:rPr>
            </w:pPr>
            <w:r>
              <w:rPr>
                <w:rFonts w:ascii="Arial" w:cs="Arial" w:eastAsia="Arial" w:hAnsi="Arial"/>
                <w:sz w:val="11"/>
                <w:szCs w:val="11"/>
                <w:color w:val="auto"/>
              </w:rPr>
              <w:t>3M L+525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7,195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09/03/2027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Output Services Group,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03/27/2024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9.80 %</w:t>
            </w:r>
          </w:p>
        </w:tc>
        <w:tc>
          <w:tcPr>
            <w:tcW w:w="840" w:type="dxa"/>
            <w:vAlign w:val="bottom"/>
          </w:tcPr>
          <w:p>
            <w:pPr>
              <w:jc w:val="right"/>
              <w:spacing w:after="0"/>
              <w:rPr>
                <w:sz w:val="20"/>
                <w:szCs w:val="20"/>
                <w:color w:val="auto"/>
              </w:rPr>
            </w:pPr>
            <w:r>
              <w:rPr>
                <w:rFonts w:ascii="Arial" w:cs="Arial" w:eastAsia="Arial" w:hAnsi="Arial"/>
                <w:sz w:val="11"/>
                <w:szCs w:val="11"/>
                <w:color w:val="auto"/>
              </w:rPr>
              <w:t>1M L+675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4,874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4,592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Owl Acquisition,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02/04/2028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8.41 %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3,990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9.81 %</w:t>
            </w:r>
          </w:p>
        </w:tc>
        <w:tc>
          <w:tcPr>
            <w:tcW w:w="840" w:type="dxa"/>
            <w:vAlign w:val="bottom"/>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25,772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25,440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05/18/2026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9.81 %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2,484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 Acquisitionco, LLC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11/09/2027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9.62 %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6,110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6,015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PL Acquisitionco, LLC -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11/09/2027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8.87 %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20" w:type="dxa"/>
            <w:vAlign w:val="bottom"/>
            <w:gridSpan w:val="3"/>
          </w:tcPr>
          <w:p>
            <w:pPr>
              <w:jc w:val="right"/>
              <w:ind w:right="140"/>
              <w:spacing w:after="0"/>
              <w:rPr>
                <w:sz w:val="20"/>
                <w:szCs w:val="20"/>
                <w:color w:val="auto"/>
              </w:rPr>
            </w:pPr>
            <w:r>
              <w:rPr>
                <w:rFonts w:ascii="Arial" w:cs="Arial" w:eastAsia="Arial" w:hAnsi="Arial"/>
                <w:sz w:val="11"/>
                <w:szCs w:val="11"/>
                <w:color w:val="auto"/>
              </w:rPr>
              <w:t>9.17 %</w:t>
            </w:r>
          </w:p>
        </w:tc>
        <w:tc>
          <w:tcPr>
            <w:tcW w:w="84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PRA Events, Inc.</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08/07/2025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14.17 %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L+1,050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3,323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2,903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(PIK 10.50%)</w:t>
            </w: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Pragmatic Institute, LLC - Unfunded Term Loan</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07/06/2028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Pragmatic Institute, LLC (Revolver)</w:t>
            </w:r>
          </w:p>
        </w:tc>
        <w:tc>
          <w:tcPr>
            <w:tcW w:w="8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07/06/2028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9.30 %</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Pragmatic Institute, LLC (Revolver) </w:t>
            </w:r>
            <w:r>
              <w:rPr>
                <w:rFonts w:ascii="Arial" w:cs="Arial" w:eastAsia="Arial" w:hAnsi="Arial"/>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07/06/2028</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508"/>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b w:val="1"/>
                <w:bCs w:val="1"/>
                <w:color w:val="auto"/>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ind w:left="240"/>
              <w:spacing w:after="0" w:line="122" w:lineRule="exact"/>
              <w:rPr>
                <w:sz w:val="20"/>
                <w:szCs w:val="20"/>
                <w:color w:val="auto"/>
              </w:rPr>
            </w:pPr>
            <w:r>
              <w:rPr>
                <w:rFonts w:ascii="Arial" w:cs="Arial" w:eastAsia="Arial" w:hAnsi="Arial"/>
                <w:sz w:val="11"/>
                <w:szCs w:val="11"/>
                <w:b w:val="1"/>
                <w:bCs w:val="1"/>
                <w:color w:val="auto"/>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ind w:left="260"/>
              <w:spacing w:after="0" w:line="109" w:lineRule="exact"/>
              <w:rPr>
                <w:sz w:val="20"/>
                <w:szCs w:val="20"/>
                <w:color w:val="auto"/>
              </w:rPr>
            </w:pPr>
            <w:r>
              <w:rPr>
                <w:rFonts w:ascii="Arial" w:cs="Arial" w:eastAsia="Arial" w:hAnsi="Arial"/>
                <w:sz w:val="11"/>
                <w:szCs w:val="11"/>
                <w:b w:val="1"/>
                <w:bCs w:val="1"/>
                <w:color w:val="auto"/>
              </w:rPr>
              <w:t>Current</w:t>
            </w:r>
          </w:p>
        </w:tc>
        <w:tc>
          <w:tcPr>
            <w:tcW w:w="800" w:type="dxa"/>
            <w:vAlign w:val="bottom"/>
          </w:tcPr>
          <w:p>
            <w:pPr>
              <w:ind w:left="260"/>
              <w:spacing w:after="0" w:line="109" w:lineRule="exact"/>
              <w:rPr>
                <w:sz w:val="20"/>
                <w:szCs w:val="20"/>
                <w:color w:val="auto"/>
              </w:rPr>
            </w:pPr>
            <w:r>
              <w:rPr>
                <w:rFonts w:ascii="Arial" w:cs="Arial" w:eastAsia="Arial" w:hAnsi="Arial"/>
                <w:sz w:val="11"/>
                <w:szCs w:val="11"/>
                <w:b w:val="1"/>
                <w:bCs w:val="1"/>
                <w:color w:val="auto"/>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8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4"/>
                <w:szCs w:val="14"/>
                <w:b w:val="1"/>
                <w:bCs w:val="1"/>
                <w:color w:val="auto"/>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shd w:val="clear" w:color="auto" w:fill="CCECFF"/>
          </w:tcPr>
          <w:p>
            <w:pPr>
              <w:ind w:left="20"/>
              <w:spacing w:after="0" w:line="119" w:lineRule="exact"/>
              <w:rPr>
                <w:sz w:val="20"/>
                <w:szCs w:val="20"/>
                <w:color w:val="auto"/>
              </w:rPr>
            </w:pPr>
            <w:r>
              <w:rPr>
                <w:rFonts w:ascii="Arial" w:cs="Arial" w:eastAsia="Arial" w:hAnsi="Arial"/>
                <w:sz w:val="11"/>
                <w:szCs w:val="11"/>
                <w:color w:val="auto"/>
              </w:rPr>
              <w:t>Quantic Electronics, LLC</w:t>
            </w:r>
          </w:p>
        </w:tc>
        <w:tc>
          <w:tcPr>
            <w:tcW w:w="820" w:type="dxa"/>
            <w:vAlign w:val="bottom"/>
            <w:gridSpan w:val="2"/>
            <w:shd w:val="clear" w:color="auto" w:fill="CCECFF"/>
          </w:tcPr>
          <w:p>
            <w:pPr>
              <w:jc w:val="center"/>
              <w:ind w:left="66"/>
              <w:spacing w:after="0" w:line="119" w:lineRule="exact"/>
              <w:rPr>
                <w:sz w:val="20"/>
                <w:szCs w:val="20"/>
                <w:color w:val="auto"/>
              </w:rPr>
            </w:pPr>
            <w:r>
              <w:rPr>
                <w:rFonts w:ascii="Arial" w:cs="Arial" w:eastAsia="Arial" w:hAnsi="Arial"/>
                <w:sz w:val="11"/>
                <w:szCs w:val="11"/>
                <w:color w:val="auto"/>
                <w:w w:val="90"/>
              </w:rPr>
              <w:t>11/19/2026</w:t>
            </w:r>
          </w:p>
        </w:tc>
        <w:tc>
          <w:tcPr>
            <w:tcW w:w="28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line="119" w:lineRule="exact"/>
              <w:rPr>
                <w:sz w:val="20"/>
                <w:szCs w:val="20"/>
                <w:color w:val="auto"/>
              </w:rPr>
            </w:pPr>
            <w:r>
              <w:rPr>
                <w:rFonts w:ascii="Arial" w:cs="Arial" w:eastAsia="Arial" w:hAnsi="Arial"/>
                <w:sz w:val="11"/>
                <w:szCs w:val="11"/>
                <w:color w:val="auto"/>
                <w:w w:val="88"/>
              </w:rPr>
              <w:t>Electronic Equipment, Instruments, and</w:t>
            </w:r>
          </w:p>
        </w:tc>
        <w:tc>
          <w:tcPr>
            <w:tcW w:w="1240" w:type="dxa"/>
            <w:vAlign w:val="bottom"/>
            <w:gridSpan w:val="3"/>
            <w:shd w:val="clear" w:color="auto" w:fill="CCECFF"/>
          </w:tcPr>
          <w:p>
            <w:pPr>
              <w:jc w:val="right"/>
              <w:ind w:right="140"/>
              <w:spacing w:after="0" w:line="119" w:lineRule="exact"/>
              <w:rPr>
                <w:sz w:val="20"/>
                <w:szCs w:val="20"/>
                <w:color w:val="auto"/>
              </w:rPr>
            </w:pPr>
            <w:r>
              <w:rPr>
                <w:rFonts w:ascii="Arial" w:cs="Arial" w:eastAsia="Arial" w:hAnsi="Arial"/>
                <w:sz w:val="11"/>
                <w:szCs w:val="11"/>
                <w:color w:val="auto"/>
              </w:rPr>
              <w:t>9.92 %</w:t>
            </w:r>
          </w:p>
        </w:tc>
        <w:tc>
          <w:tcPr>
            <w:tcW w:w="800" w:type="dxa"/>
            <w:vAlign w:val="bottom"/>
            <w:shd w:val="clear" w:color="auto" w:fill="CCECFF"/>
          </w:tcPr>
          <w:p>
            <w:pPr>
              <w:jc w:val="right"/>
              <w:spacing w:after="0" w:line="119" w:lineRule="exact"/>
              <w:rPr>
                <w:sz w:val="20"/>
                <w:szCs w:val="20"/>
                <w:color w:val="auto"/>
              </w:rPr>
            </w:pPr>
            <w:r>
              <w:rPr>
                <w:rFonts w:ascii="Arial" w:cs="Arial" w:eastAsia="Arial" w:hAnsi="Arial"/>
                <w:sz w:val="11"/>
                <w:szCs w:val="11"/>
                <w:color w:val="auto"/>
              </w:rPr>
              <w:t>1M L+600</w:t>
            </w:r>
          </w:p>
        </w:tc>
        <w:tc>
          <w:tcPr>
            <w:tcW w:w="1060" w:type="dxa"/>
            <w:vAlign w:val="bottom"/>
            <w:gridSpan w:val="2"/>
            <w:shd w:val="clear" w:color="auto" w:fill="CCECFF"/>
          </w:tcPr>
          <w:p>
            <w:pPr>
              <w:jc w:val="right"/>
              <w:spacing w:after="0" w:line="119" w:lineRule="exact"/>
              <w:rPr>
                <w:sz w:val="20"/>
                <w:szCs w:val="20"/>
                <w:color w:val="auto"/>
              </w:rPr>
            </w:pPr>
            <w:r>
              <w:rPr>
                <w:rFonts w:ascii="Arial" w:cs="Arial" w:eastAsia="Arial" w:hAnsi="Arial"/>
                <w:sz w:val="11"/>
                <w:szCs w:val="11"/>
                <w:color w:val="auto"/>
              </w:rPr>
              <w:t>4,706</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4,632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82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11/19/2026</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9.51 %</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1M L+600</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268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268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263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line="129"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11/19/2026</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Electronic Equipment, Instruments, and</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Questex,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09/09/2024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7.45 %</w:t>
            </w:r>
          </w:p>
        </w:tc>
        <w:tc>
          <w:tcPr>
            <w:tcW w:w="80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7,200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7,146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09/09/2024</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12/18/2025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7.75 %</w:t>
            </w:r>
          </w:p>
        </w:tc>
        <w:tc>
          <w:tcPr>
            <w:tcW w:w="80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12/18/2025</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01/29/2026</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9.92 %</w:t>
            </w:r>
          </w:p>
        </w:tc>
        <w:tc>
          <w:tcPr>
            <w:tcW w:w="80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01/29/2026</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9.92 %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01/29/2026</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Inc. and Dynata,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8.84 %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17,142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16,985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06/20/2025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8.65 %</w:t>
            </w: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7,980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06/20/2025</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Riverside Assessments,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03/10/2025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9.95 %</w:t>
            </w:r>
          </w:p>
        </w:tc>
        <w:tc>
          <w:tcPr>
            <w:tcW w:w="800" w:type="dxa"/>
            <w:vAlign w:val="bottom"/>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15,356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01/03/2025</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9.67 %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7,105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7,034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01/03/2025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25"/>
        </w:trPr>
        <w:tc>
          <w:tcPr>
            <w:tcW w:w="28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Sargent &amp; Greenleaf Inc.</w:t>
            </w:r>
          </w:p>
        </w:tc>
        <w:tc>
          <w:tcPr>
            <w:tcW w:w="820" w:type="dxa"/>
            <w:vAlign w:val="bottom"/>
            <w:gridSpan w:val="2"/>
            <w:shd w:val="clear" w:color="auto" w:fill="CCECFF"/>
          </w:tcPr>
          <w:p>
            <w:pPr>
              <w:jc w:val="center"/>
              <w:ind w:left="66"/>
              <w:spacing w:after="0" w:line="125" w:lineRule="exact"/>
              <w:rPr>
                <w:sz w:val="20"/>
                <w:szCs w:val="20"/>
                <w:color w:val="auto"/>
              </w:rPr>
            </w:pPr>
            <w:r>
              <w:rPr>
                <w:rFonts w:ascii="Arial" w:cs="Arial" w:eastAsia="Arial" w:hAnsi="Arial"/>
                <w:sz w:val="11"/>
                <w:szCs w:val="11"/>
                <w:color w:val="auto"/>
                <w:w w:val="90"/>
              </w:rPr>
              <w:t>12/20/2024</w:t>
            </w:r>
          </w:p>
        </w:tc>
        <w:tc>
          <w:tcPr>
            <w:tcW w:w="28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40" w:type="dxa"/>
            <w:vAlign w:val="bottom"/>
            <w:gridSpan w:val="3"/>
            <w:shd w:val="clear" w:color="auto" w:fill="CCECFF"/>
          </w:tcPr>
          <w:p>
            <w:pPr>
              <w:jc w:val="right"/>
              <w:ind w:right="140"/>
              <w:spacing w:after="0" w:line="125" w:lineRule="exact"/>
              <w:rPr>
                <w:sz w:val="20"/>
                <w:szCs w:val="20"/>
                <w:color w:val="auto"/>
              </w:rPr>
            </w:pPr>
            <w:r>
              <w:rPr>
                <w:rFonts w:ascii="Arial" w:cs="Arial" w:eastAsia="Arial" w:hAnsi="Arial"/>
                <w:sz w:val="11"/>
                <w:szCs w:val="11"/>
                <w:color w:val="auto"/>
              </w:rPr>
              <w:t>8.62 %</w:t>
            </w:r>
          </w:p>
        </w:tc>
        <w:tc>
          <w:tcPr>
            <w:tcW w:w="8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L+550</w:t>
            </w:r>
          </w:p>
        </w:tc>
        <w:tc>
          <w:tcPr>
            <w:tcW w:w="10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3,487</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3,462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3,452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Sargent &amp; Greenleaf Inc. (Revolver)</w:t>
            </w:r>
          </w:p>
        </w:tc>
        <w:tc>
          <w:tcPr>
            <w:tcW w:w="82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12/20/2024</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8.28 %</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1,048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1,048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1,037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line="129" w:lineRule="exact"/>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Electronic Equipment, Instruments, and</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07/14/2025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10.27 %</w:t>
            </w:r>
          </w:p>
        </w:tc>
        <w:tc>
          <w:tcPr>
            <w:tcW w:w="800" w:type="dxa"/>
            <w:vAlign w:val="bottom"/>
          </w:tcPr>
          <w:p>
            <w:pPr>
              <w:ind w:left="240"/>
              <w:spacing w:after="0"/>
              <w:rPr>
                <w:sz w:val="20"/>
                <w:szCs w:val="20"/>
                <w:color w:val="auto"/>
              </w:rPr>
            </w:pPr>
            <w:r>
              <w:rPr>
                <w:rFonts w:ascii="Arial" w:cs="Arial" w:eastAsia="Arial" w:hAnsi="Arial"/>
                <w:sz w:val="11"/>
                <w:szCs w:val="11"/>
                <w:color w:val="auto"/>
                <w:w w:val="87"/>
              </w:rPr>
              <w:t>SOFR + 700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14,560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14,467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 (Revolver)</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10.14 %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07/14/2025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Seaway Buyer,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06/13/2029</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9.41 %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6,940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6,836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Sigma Defense Systems,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12/18/2025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12.17 %</w:t>
            </w:r>
          </w:p>
        </w:tc>
        <w:tc>
          <w:tcPr>
            <w:tcW w:w="800" w:type="dxa"/>
            <w:vAlign w:val="bottom"/>
          </w:tcPr>
          <w:p>
            <w:pPr>
              <w:jc w:val="right"/>
              <w:spacing w:after="0"/>
              <w:rPr>
                <w:sz w:val="20"/>
                <w:szCs w:val="20"/>
                <w:color w:val="auto"/>
              </w:rPr>
            </w:pPr>
            <w:r>
              <w:rPr>
                <w:rFonts w:ascii="Arial" w:cs="Arial" w:eastAsia="Arial" w:hAnsi="Arial"/>
                <w:sz w:val="11"/>
                <w:szCs w:val="11"/>
                <w:color w:val="auto"/>
              </w:rPr>
              <w:t>3M L+850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10,969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10,742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12/18/2025</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12.17 %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12/18/2025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05/03/2024</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10.17 %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10,358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10,301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05/03/2024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10/14/2025</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7.42 %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2,462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2,462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4"/>
                <w:szCs w:val="14"/>
                <w:color w:val="auto"/>
                <w:vertAlign w:val="superscript"/>
              </w:rPr>
              <w:t>(7), (9)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Smile Brands Inc. 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10/14/2025</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8.87 %</w:t>
            </w: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5,740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01/17/2024</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Spear Education,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02/26/2025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9.42 %</w:t>
            </w: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14,747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14,747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Spendmend Holdings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03/01/2028</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8.63 %</w:t>
            </w:r>
          </w:p>
        </w:tc>
        <w:tc>
          <w:tcPr>
            <w:tcW w:w="800" w:type="dxa"/>
            <w:vAlign w:val="bottom"/>
            <w:shd w:val="clear" w:color="auto" w:fill="CCECFF"/>
          </w:tcPr>
          <w:p>
            <w:pPr>
              <w:ind w:left="240"/>
              <w:spacing w:after="0"/>
              <w:rPr>
                <w:sz w:val="20"/>
                <w:szCs w:val="20"/>
                <w:color w:val="auto"/>
              </w:rPr>
            </w:pPr>
            <w:r>
              <w:rPr>
                <w:rFonts w:ascii="Arial" w:cs="Arial" w:eastAsia="Arial" w:hAnsi="Arial"/>
                <w:sz w:val="11"/>
                <w:szCs w:val="11"/>
                <w:color w:val="auto"/>
                <w:w w:val="87"/>
              </w:rPr>
              <w:t>SOFR + 575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3,216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3,179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Spendmend Holdings LLC </w:t>
            </w:r>
            <w:r>
              <w:rPr>
                <w:rFonts w:ascii="Arial" w:cs="Arial" w:eastAsia="Arial" w:hAnsi="Arial"/>
                <w:sz w:val="14"/>
                <w:szCs w:val="14"/>
                <w:color w:val="auto"/>
                <w:vertAlign w:val="superscript"/>
              </w:rPr>
              <w:t>(9)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03/01/2023</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Spendmend Holdings LLC (Revolver)</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03/01/2028</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8.63 %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Spendmend Holdings LLC (Revolver) </w:t>
            </w:r>
            <w:r>
              <w:rPr>
                <w:rFonts w:ascii="Arial" w:cs="Arial" w:eastAsia="Arial" w:hAnsi="Arial"/>
                <w:sz w:val="14"/>
                <w:szCs w:val="14"/>
                <w:color w:val="auto"/>
                <w:vertAlign w:val="superscript"/>
              </w:rPr>
              <w:t>(9)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03/01/2028</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12/11/2026</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8.37 %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4,752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System Planning and Analysis, Inc.</w:t>
            </w:r>
          </w:p>
        </w:tc>
        <w:tc>
          <w:tcPr>
            <w:tcW w:w="82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08/16/2027</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8.73 %</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SOFR+600</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18,560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18,237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18,263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System Planning and Analysis, Inc. (Revolver)</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08/16/2027</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5,188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(83 )</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07/18/2025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8.38 %</w:t>
            </w:r>
          </w:p>
        </w:tc>
        <w:tc>
          <w:tcPr>
            <w:tcW w:w="800" w:type="dxa"/>
            <w:vAlign w:val="bottom"/>
          </w:tcPr>
          <w:p>
            <w:pPr>
              <w:jc w:val="right"/>
              <w:spacing w:after="0"/>
              <w:rPr>
                <w:sz w:val="20"/>
                <w:szCs w:val="20"/>
                <w:color w:val="auto"/>
              </w:rPr>
            </w:pPr>
            <w:r>
              <w:rPr>
                <w:rFonts w:ascii="Arial" w:cs="Arial" w:eastAsia="Arial" w:hAnsi="Arial"/>
                <w:sz w:val="11"/>
                <w:szCs w:val="11"/>
                <w:color w:val="auto"/>
              </w:rPr>
              <w:t>1M L+525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5,793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10/31/2025</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9.55 %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4,921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The Bluebird Group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07/27/2026</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10.67 %</w:t>
            </w:r>
          </w:p>
        </w:tc>
        <w:tc>
          <w:tcPr>
            <w:tcW w:w="800" w:type="dxa"/>
            <w:vAlign w:val="bottom"/>
          </w:tcPr>
          <w:p>
            <w:pPr>
              <w:jc w:val="right"/>
              <w:spacing w:after="0"/>
              <w:rPr>
                <w:sz w:val="20"/>
                <w:szCs w:val="20"/>
                <w:color w:val="auto"/>
              </w:rPr>
            </w:pPr>
            <w:r>
              <w:rPr>
                <w:rFonts w:ascii="Arial" w:cs="Arial" w:eastAsia="Arial" w:hAnsi="Arial"/>
                <w:sz w:val="11"/>
                <w:szCs w:val="11"/>
                <w:color w:val="auto"/>
              </w:rPr>
              <w:t>3M L+700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6,265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07/27/2026</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09/16/2024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8.51 %</w:t>
            </w: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15,229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15,120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08/30/2027</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8.18 %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 (9)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08/30/2027</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573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 (Revolver)</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08/30/2027</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8.26 %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08/30/2027</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8"/>
              </w:rPr>
              <w:t xml:space="preserve">TPC Canada Parent, Inc. and TPC US Parent, LLC </w:t>
            </w:r>
            <w:r>
              <w:rPr>
                <w:rFonts w:ascii="Arial" w:cs="Arial" w:eastAsia="Arial" w:hAnsi="Arial"/>
                <w:sz w:val="14"/>
                <w:szCs w:val="14"/>
                <w:color w:val="auto"/>
                <w:w w:val="98"/>
                <w:vertAlign w:val="superscript"/>
              </w:rPr>
              <w:t>(5), (10)</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11/24/2025</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Food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7.78 %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4,863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TVC Enterprises,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03/26/2026</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8.87 %</w:t>
            </w:r>
          </w:p>
        </w:tc>
        <w:tc>
          <w:tcPr>
            <w:tcW w:w="800" w:type="dxa"/>
            <w:vAlign w:val="bottom"/>
          </w:tcPr>
          <w:p>
            <w:pPr>
              <w:jc w:val="right"/>
              <w:spacing w:after="0"/>
              <w:rPr>
                <w:sz w:val="20"/>
                <w:szCs w:val="20"/>
                <w:color w:val="auto"/>
              </w:rPr>
            </w:pPr>
            <w:r>
              <w:rPr>
                <w:rFonts w:ascii="Arial" w:cs="Arial" w:eastAsia="Arial" w:hAnsi="Arial"/>
                <w:sz w:val="11"/>
                <w:szCs w:val="11"/>
                <w:color w:val="auto"/>
              </w:rPr>
              <w:t>1M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24,721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24,378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03/26/2026</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06/16/2025</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8.76 %</w:t>
            </w:r>
          </w:p>
        </w:tc>
        <w:tc>
          <w:tcPr>
            <w:tcW w:w="800" w:type="dxa"/>
            <w:vAlign w:val="bottom"/>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5,468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5,398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2,628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Tyto Athene,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04/01/2028</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7.76 %</w:t>
            </w:r>
          </w:p>
        </w:tc>
        <w:tc>
          <w:tcPr>
            <w:tcW w:w="80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12,644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04/01/2026</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1,040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(74 )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UBEO,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7.60 %</w:t>
            </w:r>
          </w:p>
        </w:tc>
        <w:tc>
          <w:tcPr>
            <w:tcW w:w="800" w:type="dxa"/>
            <w:vAlign w:val="bottom"/>
          </w:tcPr>
          <w:p>
            <w:pPr>
              <w:jc w:val="right"/>
              <w:spacing w:after="0"/>
              <w:rPr>
                <w:sz w:val="20"/>
                <w:szCs w:val="20"/>
                <w:color w:val="auto"/>
              </w:rPr>
            </w:pPr>
            <w:r>
              <w:rPr>
                <w:rFonts w:ascii="Arial" w:cs="Arial" w:eastAsia="Arial" w:hAnsi="Arial"/>
                <w:sz w:val="11"/>
                <w:szCs w:val="11"/>
                <w:color w:val="auto"/>
              </w:rPr>
              <w:t>3M L+450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17,926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17,860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 (Revolver)</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04/03/2024</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9.00 %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L+275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4"/>
                <w:szCs w:val="14"/>
                <w:color w:val="auto"/>
                <w:vertAlign w:val="superscript"/>
              </w:rPr>
              <w:t>(9)</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Unique Indoor Comfort,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05/24/2027</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8.95 %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 + 525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9,217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9,126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Unique Indoor Comfort, LLC Term Loan </w:t>
            </w:r>
            <w:r>
              <w:rPr>
                <w:rFonts w:ascii="Arial" w:cs="Arial" w:eastAsia="Arial" w:hAnsi="Arial"/>
                <w:sz w:val="14"/>
                <w:szCs w:val="14"/>
                <w:color w:val="auto"/>
                <w:vertAlign w:val="superscript"/>
              </w:rPr>
              <w:t>(7)</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05/24/2027</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10,760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(129 )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Unique Indoor Comfort, LLC (Revolver) </w:t>
            </w:r>
            <w:r>
              <w:rPr>
                <w:rFonts w:ascii="Arial" w:cs="Arial" w:eastAsia="Arial" w:hAnsi="Arial"/>
                <w:sz w:val="14"/>
                <w:szCs w:val="14"/>
                <w:color w:val="auto"/>
                <w:vertAlign w:val="superscript"/>
              </w:rPr>
              <w:t>(7), (9)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05/24/2027</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03/31/2027</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12.42 %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12,684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Wildcat Buyerco, Inc.</w:t>
            </w:r>
          </w:p>
        </w:tc>
        <w:tc>
          <w:tcPr>
            <w:tcW w:w="82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02/27/2026</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9.38 %</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9,853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9,717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9,532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CFF"/>
          </w:tcPr>
          <w:p>
            <w:pPr>
              <w:ind w:left="20"/>
              <w:spacing w:after="0" w:line="129" w:lineRule="exact"/>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(9)</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Electronic Equipment, Instruments, and</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Zips Car Wash,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03/01/2024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10.30 %</w:t>
            </w:r>
          </w:p>
        </w:tc>
        <w:tc>
          <w:tcPr>
            <w:tcW w:w="800" w:type="dxa"/>
            <w:vAlign w:val="bottom"/>
          </w:tcPr>
          <w:p>
            <w:pPr>
              <w:jc w:val="right"/>
              <w:spacing w:after="0"/>
              <w:rPr>
                <w:sz w:val="20"/>
                <w:szCs w:val="20"/>
                <w:color w:val="auto"/>
              </w:rPr>
            </w:pPr>
            <w:r>
              <w:rPr>
                <w:rFonts w:ascii="Arial" w:cs="Arial" w:eastAsia="Arial" w:hAnsi="Arial"/>
                <w:sz w:val="11"/>
                <w:szCs w:val="11"/>
                <w:color w:val="auto"/>
              </w:rPr>
              <w:t>3M L+725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13,428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13,284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815,742</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789,107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Debt—0%</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 xml:space="preserve">0.00 % </w:t>
            </w:r>
            <w:r>
              <w:rPr>
                <w:rFonts w:ascii="Arial" w:cs="Arial" w:eastAsia="Arial" w:hAnsi="Arial"/>
                <w:sz w:val="14"/>
                <w:szCs w:val="14"/>
                <w:color w:val="auto"/>
                <w:vertAlign w:val="superscript"/>
              </w:rPr>
              <w:t>(6)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860" w:type="dxa"/>
            <w:vAlign w:val="bottom"/>
            <w:shd w:val="clear" w:color="auto" w:fill="CCECFF"/>
          </w:tcPr>
          <w:p>
            <w:pPr>
              <w:ind w:left="20"/>
              <w:spacing w:after="0" w:line="157" w:lineRule="exact"/>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04/23/2025</w:t>
            </w:r>
          </w:p>
        </w:tc>
        <w:tc>
          <w:tcPr>
            <w:tcW w:w="28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240" w:type="dxa"/>
            <w:vAlign w:val="bottom"/>
            <w:gridSpan w:val="3"/>
            <w:vMerge w:val="continue"/>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(PIK 15.00%)</w:t>
            </w: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1"/>
                <w:szCs w:val="11"/>
                <w:color w:val="auto"/>
              </w:rPr>
              <w:t>QuantiTech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02/04/2027</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12.68 %</w:t>
            </w:r>
          </w:p>
        </w:tc>
        <w:tc>
          <w:tcPr>
            <w:tcW w:w="800" w:type="dxa"/>
            <w:vAlign w:val="bottom"/>
          </w:tcPr>
          <w:p>
            <w:pPr>
              <w:jc w:val="right"/>
              <w:spacing w:after="0"/>
              <w:rPr>
                <w:sz w:val="20"/>
                <w:szCs w:val="20"/>
                <w:color w:val="auto"/>
              </w:rPr>
            </w:pPr>
            <w:r>
              <w:rPr>
                <w:rFonts w:ascii="Arial" w:cs="Arial" w:eastAsia="Arial" w:hAnsi="Arial"/>
                <w:sz w:val="11"/>
                <w:szCs w:val="11"/>
                <w:color w:val="auto"/>
              </w:rPr>
              <w:t>3M L+1,000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150</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1,113</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1"/>
                <w:szCs w:val="11"/>
                <w:b w:val="1"/>
                <w:bCs w:val="1"/>
                <w:color w:val="auto"/>
              </w:rPr>
              <w:t xml:space="preserve">Preferred Equity— 1.6% </w:t>
            </w:r>
            <w:r>
              <w:rPr>
                <w:rFonts w:ascii="Arial" w:cs="Arial" w:eastAsia="Arial" w:hAnsi="Arial"/>
                <w:sz w:val="14"/>
                <w:szCs w:val="14"/>
                <w:b w:val="1"/>
                <w:bCs w:val="1"/>
                <w:color w:val="auto"/>
                <w:vertAlign w:val="superscript"/>
              </w:rPr>
              <w:t>(6)</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6,720</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Cartessa Aesthetics, LLC</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Topco, LP</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8.00 %</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546"/>
        </w:trPr>
        <w:tc>
          <w:tcPr>
            <w:tcW w:w="2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196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-744220</wp:posOffset>
            </wp:positionV>
            <wp:extent cx="6858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00" w:type="dxa"/>
            <w:vAlign w:val="bottom"/>
          </w:tcPr>
          <w:p>
            <w:pPr>
              <w:jc w:val="right"/>
              <w:ind w:right="22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8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ind w:left="20"/>
              <w:spacing w:after="0" w:line="142"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2,537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12.00 %</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5"/>
              </w:rPr>
              <w:t xml:space="preserve">TWD Parent Holdings, LLC (The Vertex Companies, LLC) </w:t>
            </w:r>
            <w:r>
              <w:rPr>
                <w:rFonts w:ascii="Arial" w:cs="Arial" w:eastAsia="Arial" w:hAnsi="Arial"/>
                <w:sz w:val="14"/>
                <w:szCs w:val="14"/>
                <w:color w:val="auto"/>
                <w:w w:val="95"/>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20.00 %</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343,861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19.00 %</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13.50 %</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10,297</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9,945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1"/>
                <w:szCs w:val="11"/>
                <w:b w:val="1"/>
                <w:bCs w:val="1"/>
                <w:color w:val="auto"/>
              </w:rPr>
              <w:t xml:space="preserve">Common Equity/Warrants— 18.1% </w:t>
            </w:r>
            <w:r>
              <w:rPr>
                <w:rFonts w:ascii="Arial" w:cs="Arial" w:eastAsia="Arial" w:hAnsi="Arial"/>
                <w:sz w:val="14"/>
                <w:szCs w:val="14"/>
                <w:b w:val="1"/>
                <w:bCs w:val="1"/>
                <w:color w:val="auto"/>
                <w:vertAlign w:val="superscript"/>
              </w:rPr>
              <w:t>(6)</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7,467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4"/>
                <w:szCs w:val="14"/>
                <w:color w:val="auto"/>
                <w:vertAlign w:val="superscript"/>
              </w:rPr>
              <w:t>(7)</w:t>
            </w:r>
          </w:p>
        </w:tc>
        <w:tc>
          <w:tcPr>
            <w:tcW w:w="820" w:type="dxa"/>
            <w:vAlign w:val="bottom"/>
            <w:gridSpan w:val="2"/>
          </w:tcPr>
          <w:p>
            <w:pPr>
              <w:jc w:val="right"/>
              <w:ind w:right="46"/>
              <w:spacing w:after="0"/>
              <w:rPr>
                <w:sz w:val="20"/>
                <w:szCs w:val="20"/>
                <w:color w:val="auto"/>
              </w:rPr>
            </w:pPr>
            <w:r>
              <w:rPr>
                <w:rFonts w:ascii="Arial" w:cs="Arial" w:eastAsia="Arial" w:hAnsi="Arial"/>
                <w:sz w:val="11"/>
                <w:szCs w:val="11"/>
                <w:color w:val="auto"/>
              </w:rPr>
              <w:t>04/10/2024</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8,893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Athletico Holdings, LLC</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4,678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Burgess Point Holdings, LP</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Auto Components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22,090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 (9)</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3,223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Connatix Parent,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38,278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615,484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6"/>
              </w:rPr>
              <w:t xml:space="preserve">Delta InvestCo LP (Sigma Defense Systems, LLC) </w:t>
            </w:r>
            <w:r>
              <w:rPr>
                <w:rFonts w:ascii="Arial" w:cs="Arial" w:eastAsia="Arial" w:hAnsi="Arial"/>
                <w:sz w:val="14"/>
                <w:szCs w:val="14"/>
                <w:color w:val="auto"/>
                <w:w w:val="96"/>
                <w:vertAlign w:val="superscript"/>
              </w:rPr>
              <w:t>(7), (8),(9)</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389,386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(7), (8)</w:t>
            </w: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ind w:left="680"/>
              <w:spacing w:after="0" w:line="125" w:lineRule="exact"/>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295,982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65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633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Exigo, LLC</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541,667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Express Wash Topco, LLC</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21,083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9,488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Gauge InfosoftCoInvest, LLC</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1,485,953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19,184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Go Dawgs Capital III, LP</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HV Watterson Holdings, LLC</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Icon Partners V C, L.P.</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1,851,852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 (9)</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648,148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IIN Group Holdings, LLC</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Topco, LP (Common)</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w w:val="93"/>
              </w:rPr>
              <w:t xml:space="preserve">Ironclad Holdco, LLC (Applied Technical Services, LLC) </w:t>
            </w:r>
            <w:r>
              <w:rPr>
                <w:rFonts w:ascii="Arial" w:cs="Arial" w:eastAsia="Arial" w:hAnsi="Arial"/>
                <w:sz w:val="14"/>
                <w:szCs w:val="14"/>
                <w:color w:val="auto"/>
                <w:w w:val="93"/>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5,811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ITC Infusion Co-invest, LP</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81,313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46,763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JWC-WE Holdings, L.P.</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1,948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568</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Kinetic Purchaser, LLC</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1,734,775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87,345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MDI Aggregator, LP</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668,747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Meadowlark Title, LLC</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819,231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MSpark, LLC</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3,988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1,973,370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North Haven Saints Equity Holdings, LP</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223,602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Arial" w:cs="Arial" w:eastAsia="Arial" w:hAnsi="Arial"/>
                <w:sz w:val="11"/>
                <w:szCs w:val="11"/>
                <w:color w:val="auto"/>
                <w:w w:val="90"/>
              </w:rPr>
              <w:t>OceanSound Discovery Equity, LP (Holdco Sands Intermediate,</w:t>
            </w:r>
          </w:p>
        </w:tc>
        <w:tc>
          <w:tcPr>
            <w:tcW w:w="120" w:type="dxa"/>
            <w:vAlign w:val="bottom"/>
          </w:tcPr>
          <w:p>
            <w:pPr>
              <w:spacing w:after="0"/>
              <w:rPr>
                <w:sz w:val="9"/>
                <w:szCs w:val="9"/>
                <w:color w:val="auto"/>
              </w:rPr>
            </w:pPr>
          </w:p>
        </w:tc>
        <w:tc>
          <w:tcPr>
            <w:tcW w:w="700" w:type="dxa"/>
            <w:vAlign w:val="bottom"/>
          </w:tcPr>
          <w:p>
            <w:pPr>
              <w:ind w:left="580"/>
              <w:spacing w:after="0" w:line="108"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9"/>
                <w:szCs w:val="9"/>
                <w:color w:val="auto"/>
              </w:rPr>
            </w:pPr>
          </w:p>
        </w:tc>
        <w:tc>
          <w:tcPr>
            <w:tcW w:w="1120" w:type="dxa"/>
            <w:vAlign w:val="bottom"/>
            <w:gridSpan w:val="2"/>
          </w:tcPr>
          <w:p>
            <w:pPr>
              <w:jc w:val="right"/>
              <w:ind w:right="260"/>
              <w:spacing w:after="0" w:line="108" w:lineRule="exact"/>
              <w:rPr>
                <w:sz w:val="20"/>
                <w:szCs w:val="20"/>
                <w:color w:val="auto"/>
              </w:rPr>
            </w:pPr>
            <w:r>
              <w:rPr>
                <w:rFonts w:ascii="Arial" w:cs="Arial" w:eastAsia="Arial" w:hAnsi="Arial"/>
                <w:sz w:val="11"/>
                <w:szCs w:val="11"/>
                <w:color w:val="auto"/>
              </w:rPr>
              <w:t>—</w:t>
            </w:r>
          </w:p>
        </w:tc>
        <w:tc>
          <w:tcPr>
            <w:tcW w:w="800" w:type="dxa"/>
            <w:vAlign w:val="bottom"/>
          </w:tcPr>
          <w:p>
            <w:pPr>
              <w:ind w:left="680"/>
              <w:spacing w:after="0" w:line="108" w:lineRule="exact"/>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173,638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1,729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Arial" w:cs="Arial" w:eastAsia="Arial" w:hAnsi="Arial"/>
                <w:sz w:val="11"/>
                <w:szCs w:val="11"/>
                <w:color w:val="auto"/>
              </w:rPr>
              <w:t>2,917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(7), (8)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OHCP V BC COI, L.P.</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743,750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(8) (9)</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506,250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(73 )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3,872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11,167,847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11,168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Pink Lily Holdco, LLC (PL Acquisitions, LLC)</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68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5"/>
        </w:trPr>
        <w:tc>
          <w:tcPr>
            <w:tcW w:w="2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6384290</wp:posOffset>
            </wp:positionH>
            <wp:positionV relativeFrom="paragraph">
              <wp:posOffset>-6361430</wp:posOffset>
            </wp:positionV>
            <wp:extent cx="6858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-6361430</wp:posOffset>
            </wp:positionV>
            <wp:extent cx="6858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Maturity</w:t>
            </w:r>
          </w:p>
        </w:tc>
        <w:tc>
          <w:tcPr>
            <w:tcW w:w="28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Pragmatic Institute, LLC</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610,583</w:t>
            </w:r>
          </w:p>
        </w:tc>
        <w:tc>
          <w:tcPr>
            <w:tcW w:w="400" w:type="dxa"/>
            <w:vAlign w:val="bottom"/>
            <w:gridSpan w:val="2"/>
            <w:shd w:val="clear" w:color="auto" w:fill="CCECFF"/>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955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8"/>
              </w:rPr>
              <w:t>SBI Holdings Investments LLC (Sales Benchmark Index LLC)</w:t>
            </w:r>
          </w:p>
        </w:tc>
        <w:tc>
          <w:tcPr>
            <w:tcW w:w="700" w:type="dxa"/>
            <w:vAlign w:val="bottom"/>
          </w:tcPr>
          <w:p>
            <w:pPr>
              <w:ind w:left="580"/>
              <w:spacing w:after="0" w:line="108" w:lineRule="exact"/>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9"/>
                <w:szCs w:val="9"/>
                <w:color w:val="auto"/>
              </w:rPr>
            </w:pPr>
          </w:p>
        </w:tc>
        <w:tc>
          <w:tcPr>
            <w:tcW w:w="1120" w:type="dxa"/>
            <w:vAlign w:val="bottom"/>
            <w:gridSpan w:val="2"/>
          </w:tcPr>
          <w:p>
            <w:pPr>
              <w:jc w:val="right"/>
              <w:ind w:right="260"/>
              <w:spacing w:after="0" w:line="108"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64,634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646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1"/>
                <w:szCs w:val="11"/>
                <w:color w:val="auto"/>
              </w:rPr>
              <w:t>634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860" w:type="dxa"/>
            <w:vAlign w:val="bottom"/>
          </w:tcPr>
          <w:p>
            <w:pPr>
              <w:ind w:left="20"/>
              <w:spacing w:after="0"/>
              <w:rPr>
                <w:sz w:val="20"/>
                <w:szCs w:val="20"/>
                <w:color w:val="auto"/>
              </w:rPr>
            </w:pPr>
            <w:r>
              <w:rPr>
                <w:rFonts w:ascii="Arial" w:cs="Arial" w:eastAsia="Arial" w:hAnsi="Arial"/>
                <w:sz w:val="7"/>
                <w:szCs w:val="7"/>
                <w:color w:val="auto"/>
              </w:rPr>
              <w:t>(7), (8)</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29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Seaway Topco, LP</w:t>
            </w: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SP L2 Holdings, LLC (Ledge Lounger, Inc.)</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360,103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SSC Dominion Holdings, LLC</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gridSpan w:val="2"/>
          </w:tcPr>
          <w:p>
            <w:pPr>
              <w:ind w:left="10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4"/>
                <w:szCs w:val="14"/>
                <w:color w:val="auto"/>
                <w:vertAlign w:val="superscript"/>
              </w:rPr>
              <w:t>(7)</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161,538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488,372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w w:val="99"/>
              </w:rPr>
              <w:t>Tower Arch Infolinks Media, LP (Infolinks Media Buyco, LLC)</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216,925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80" w:type="dxa"/>
            <w:vAlign w:val="bottom"/>
            <w:gridSpan w:val="2"/>
            <w:shd w:val="clear" w:color="auto" w:fill="CCECFF"/>
          </w:tcPr>
          <w:p>
            <w:pPr>
              <w:ind w:left="20"/>
              <w:spacing w:after="0" w:line="112" w:lineRule="exact"/>
              <w:rPr>
                <w:sz w:val="20"/>
                <w:szCs w:val="20"/>
                <w:color w:val="auto"/>
              </w:rPr>
            </w:pPr>
            <w:r>
              <w:rPr>
                <w:rFonts w:ascii="Arial" w:cs="Arial" w:eastAsia="Arial" w:hAnsi="Arial"/>
                <w:sz w:val="11"/>
                <w:szCs w:val="11"/>
                <w:color w:val="auto"/>
                <w:w w:val="99"/>
              </w:rPr>
              <w:t>Tower Arch Infolinks Media, LP (Infolinks Media Buyco, LLC)</w:t>
            </w:r>
          </w:p>
        </w:tc>
        <w:tc>
          <w:tcPr>
            <w:tcW w:w="700" w:type="dxa"/>
            <w:vAlign w:val="bottom"/>
            <w:shd w:val="clear" w:color="auto" w:fill="CCECFF"/>
          </w:tcPr>
          <w:p>
            <w:pPr>
              <w:ind w:left="580"/>
              <w:spacing w:after="0" w:line="112" w:lineRule="exact"/>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12" w:lineRule="exact"/>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9"/>
                <w:szCs w:val="9"/>
                <w:color w:val="auto"/>
              </w:rPr>
            </w:pPr>
          </w:p>
        </w:tc>
        <w:tc>
          <w:tcPr>
            <w:tcW w:w="1120" w:type="dxa"/>
            <w:vAlign w:val="bottom"/>
            <w:gridSpan w:val="2"/>
            <w:shd w:val="clear" w:color="auto" w:fill="CCECFF"/>
          </w:tcPr>
          <w:p>
            <w:pPr>
              <w:jc w:val="right"/>
              <w:ind w:right="260"/>
              <w:spacing w:after="0" w:line="112"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12" w:lineRule="exact"/>
              <w:rPr>
                <w:sz w:val="20"/>
                <w:szCs w:val="20"/>
                <w:color w:val="auto"/>
              </w:rPr>
            </w:pPr>
            <w:r>
              <w:rPr>
                <w:rFonts w:ascii="Arial" w:cs="Arial" w:eastAsia="Arial" w:hAnsi="Arial"/>
                <w:sz w:val="11"/>
                <w:szCs w:val="11"/>
                <w:color w:val="auto"/>
              </w:rPr>
              <w:t>148,681</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40" w:type="dxa"/>
            <w:vAlign w:val="bottom"/>
            <w:gridSpan w:val="2"/>
            <w:shd w:val="clear" w:color="auto" w:fill="CCEC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7"/>
                <w:szCs w:val="7"/>
                <w:color w:val="auto"/>
              </w:rPr>
              <w:t>(8) (9)</w:t>
            </w:r>
          </w:p>
        </w:tc>
        <w:tc>
          <w:tcPr>
            <w:tcW w:w="12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280" w:type="dxa"/>
            <w:vAlign w:val="bottom"/>
            <w:tcBorders>
              <w:bottom w:val="single" w:sz="8" w:color="CCECFF"/>
            </w:tcBorders>
            <w:shd w:val="clear" w:color="auto" w:fill="CCECFF"/>
          </w:tcPr>
          <w:p>
            <w:pPr>
              <w:spacing w:after="0"/>
              <w:rPr>
                <w:sz w:val="8"/>
                <w:szCs w:val="8"/>
                <w:color w:val="auto"/>
              </w:rPr>
            </w:pPr>
          </w:p>
        </w:tc>
        <w:tc>
          <w:tcPr>
            <w:tcW w:w="20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8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8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w w:val="99"/>
              </w:rPr>
              <w:t xml:space="preserve">TWD Parent Holdings, LLC (The Vertex Companies, LLC) </w:t>
            </w:r>
            <w:r>
              <w:rPr>
                <w:rFonts w:ascii="Arial" w:cs="Arial" w:eastAsia="Arial" w:hAnsi="Arial"/>
                <w:sz w:val="14"/>
                <w:szCs w:val="14"/>
                <w:color w:val="auto"/>
                <w:w w:val="99"/>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213,739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4"/>
                <w:szCs w:val="14"/>
                <w:color w:val="auto"/>
                <w:vertAlign w:val="superscript"/>
              </w:rPr>
              <w:t>(7)</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23,889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WCP IvyRehab QP CF Feeder, LP</w:t>
            </w: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3,762,257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3,762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WCP IvyRehab QP CF Feeder, LP </w:t>
            </w:r>
            <w:r>
              <w:rPr>
                <w:rFonts w:ascii="Arial" w:cs="Arial" w:eastAsia="Arial" w:hAnsi="Arial"/>
                <w:sz w:val="14"/>
                <w:szCs w:val="14"/>
                <w:color w:val="auto"/>
                <w:vertAlign w:val="superscript"/>
              </w:rPr>
              <w:t>(9)</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237,743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980" w:type="dxa"/>
            <w:vAlign w:val="bottom"/>
            <w:gridSpan w:val="2"/>
            <w:shd w:val="clear" w:color="auto" w:fill="CCECFF"/>
          </w:tcPr>
          <w:p>
            <w:pPr>
              <w:ind w:left="20"/>
              <w:spacing w:after="0" w:line="125"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700" w:type="dxa"/>
            <w:vAlign w:val="bottom"/>
            <w:shd w:val="clear" w:color="auto" w:fill="CCECFF"/>
          </w:tcPr>
          <w:p>
            <w:pPr>
              <w:ind w:left="580"/>
              <w:spacing w:after="0" w:line="125" w:lineRule="exact"/>
              <w:rPr>
                <w:sz w:val="20"/>
                <w:szCs w:val="20"/>
                <w:color w:val="auto"/>
              </w:rPr>
            </w:pPr>
            <w:r>
              <w:rPr>
                <w:rFonts w:ascii="Arial" w:cs="Arial" w:eastAsia="Arial" w:hAnsi="Arial"/>
                <w:sz w:val="11"/>
                <w:szCs w:val="11"/>
                <w:color w:val="auto"/>
                <w:w w:val="90"/>
              </w:rPr>
              <w:t>—</w:t>
            </w:r>
          </w:p>
        </w:tc>
        <w:tc>
          <w:tcPr>
            <w:tcW w:w="28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8"/>
              </w:rPr>
              <w:t>Electronic Equipment, Instruments, and</w:t>
            </w:r>
          </w:p>
        </w:tc>
        <w:tc>
          <w:tcPr>
            <w:tcW w:w="120" w:type="dxa"/>
            <w:vAlign w:val="bottom"/>
            <w:shd w:val="clear" w:color="auto" w:fill="CCECFF"/>
          </w:tcPr>
          <w:p>
            <w:pPr>
              <w:spacing w:after="0"/>
              <w:rPr>
                <w:sz w:val="10"/>
                <w:szCs w:val="10"/>
                <w:color w:val="auto"/>
              </w:rPr>
            </w:pPr>
          </w:p>
        </w:tc>
        <w:tc>
          <w:tcPr>
            <w:tcW w:w="1120" w:type="dxa"/>
            <w:vAlign w:val="bottom"/>
            <w:gridSpan w:val="2"/>
            <w:shd w:val="clear" w:color="auto" w:fill="CCECFF"/>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2,240</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596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Common Equity/Warrants</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55,418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94,050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w w:val="96"/>
              </w:rPr>
              <w:t>Total Investments in Non-Controlled, Non-Affiliated Portfolio Companies</w:t>
            </w: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882,570</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893,249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gridSpan w:val="3"/>
          </w:tcPr>
          <w:p>
            <w:pPr>
              <w:ind w:left="20"/>
              <w:spacing w:after="0" w:line="146" w:lineRule="exact"/>
              <w:rPr>
                <w:sz w:val="20"/>
                <w:szCs w:val="20"/>
                <w:color w:val="auto"/>
              </w:rPr>
            </w:pPr>
            <w:r>
              <w:rPr>
                <w:rFonts w:ascii="Arial" w:cs="Arial" w:eastAsia="Arial" w:hAnsi="Arial"/>
                <w:sz w:val="11"/>
                <w:szCs w:val="11"/>
                <w:b w:val="1"/>
                <w:bCs w:val="1"/>
                <w:color w:val="auto"/>
                <w:w w:val="97"/>
              </w:rPr>
              <w:t xml:space="preserve">Investments in Controlled, Affiliated Portfolio Companies—51.4% </w:t>
            </w:r>
            <w:r>
              <w:rPr>
                <w:rFonts w:ascii="Arial" w:cs="Arial" w:eastAsia="Arial" w:hAnsi="Arial"/>
                <w:sz w:val="14"/>
                <w:szCs w:val="14"/>
                <w:b w:val="1"/>
                <w:bCs w:val="1"/>
                <w:color w:val="auto"/>
                <w:w w:val="97"/>
                <w:vertAlign w:val="superscript"/>
              </w:rPr>
              <w:t>(3), (4)</w:t>
            </w: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First Lien Secured Debt—41.8%</w:t>
            </w: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6"/>
              </w:rPr>
              <w:t>Marketplace Events, LLC - Super Priority First Lien Term Loan</w:t>
            </w:r>
          </w:p>
        </w:tc>
        <w:tc>
          <w:tcPr>
            <w:tcW w:w="700" w:type="dxa"/>
            <w:vAlign w:val="bottom"/>
          </w:tcPr>
          <w:p>
            <w:pPr>
              <w:ind w:left="100"/>
              <w:spacing w:after="0" w:line="108" w:lineRule="exact"/>
              <w:rPr>
                <w:sz w:val="20"/>
                <w:szCs w:val="20"/>
                <w:color w:val="auto"/>
              </w:rPr>
            </w:pPr>
            <w:r>
              <w:rPr>
                <w:rFonts w:ascii="Arial" w:cs="Arial" w:eastAsia="Arial" w:hAnsi="Arial"/>
                <w:sz w:val="11"/>
                <w:szCs w:val="11"/>
                <w:color w:val="auto"/>
              </w:rPr>
              <w:t>09/30/2025</w:t>
            </w:r>
          </w:p>
        </w:tc>
        <w:tc>
          <w:tcPr>
            <w:tcW w:w="28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1"/>
                <w:szCs w:val="11"/>
                <w:color w:val="auto"/>
                <w:w w:val="91"/>
              </w:rPr>
              <w:t>Media: Diversified and Production</w:t>
            </w:r>
          </w:p>
        </w:tc>
        <w:tc>
          <w:tcPr>
            <w:tcW w:w="1240" w:type="dxa"/>
            <w:vAlign w:val="bottom"/>
            <w:gridSpan w:val="3"/>
          </w:tcPr>
          <w:p>
            <w:pPr>
              <w:jc w:val="right"/>
              <w:ind w:right="140"/>
              <w:spacing w:after="0" w:line="108" w:lineRule="exact"/>
              <w:rPr>
                <w:sz w:val="20"/>
                <w:szCs w:val="20"/>
                <w:color w:val="auto"/>
              </w:rPr>
            </w:pPr>
            <w:r>
              <w:rPr>
                <w:rFonts w:ascii="Arial" w:cs="Arial" w:eastAsia="Arial" w:hAnsi="Arial"/>
                <w:sz w:val="11"/>
                <w:szCs w:val="11"/>
                <w:color w:val="auto"/>
              </w:rPr>
              <w:t>8.19 %</w:t>
            </w:r>
          </w:p>
        </w:tc>
        <w:tc>
          <w:tcPr>
            <w:tcW w:w="800" w:type="dxa"/>
            <w:vAlign w:val="bottom"/>
          </w:tcPr>
          <w:p>
            <w:pPr>
              <w:jc w:val="right"/>
              <w:spacing w:after="0" w:line="108" w:lineRule="exact"/>
              <w:rPr>
                <w:sz w:val="20"/>
                <w:szCs w:val="20"/>
                <w:color w:val="auto"/>
              </w:rPr>
            </w:pPr>
            <w:r>
              <w:rPr>
                <w:rFonts w:ascii="Arial" w:cs="Arial" w:eastAsia="Arial" w:hAnsi="Arial"/>
                <w:sz w:val="11"/>
                <w:szCs w:val="11"/>
                <w:color w:val="auto"/>
              </w:rPr>
              <w:t>3M L+525</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3,582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860" w:type="dxa"/>
            <w:vAlign w:val="bottom"/>
          </w:tcPr>
          <w:p>
            <w:pPr>
              <w:ind w:left="20"/>
              <w:spacing w:after="0"/>
              <w:rPr>
                <w:sz w:val="20"/>
                <w:szCs w:val="20"/>
                <w:color w:val="auto"/>
              </w:rPr>
            </w:pPr>
            <w:r>
              <w:rPr>
                <w:rFonts w:ascii="Arial" w:cs="Arial" w:eastAsia="Arial" w:hAnsi="Arial"/>
                <w:sz w:val="7"/>
                <w:szCs w:val="7"/>
                <w:color w:val="auto"/>
              </w:rPr>
              <w:t>(7)</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line="125" w:lineRule="exact"/>
              <w:rPr>
                <w:sz w:val="20"/>
                <w:szCs w:val="20"/>
                <w:color w:val="auto"/>
              </w:rPr>
            </w:pPr>
            <w:r>
              <w:rPr>
                <w:rFonts w:ascii="Arial" w:cs="Arial" w:eastAsia="Arial" w:hAnsi="Arial"/>
                <w:sz w:val="11"/>
                <w:szCs w:val="11"/>
                <w:color w:val="auto"/>
              </w:rPr>
              <w:t>3,582</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spacing w:after="0" w:line="125" w:lineRule="exact"/>
              <w:rPr>
                <w:sz w:val="20"/>
                <w:szCs w:val="20"/>
                <w:color w:val="auto"/>
              </w:rPr>
            </w:pPr>
            <w:r>
              <w:rPr>
                <w:rFonts w:ascii="Arial" w:cs="Arial" w:eastAsia="Arial" w:hAnsi="Arial"/>
                <w:sz w:val="11"/>
                <w:szCs w:val="11"/>
                <w:color w:val="auto"/>
              </w:rPr>
              <w:t>3,582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(PIK 5.25%)</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700" w:type="dxa"/>
            <w:vAlign w:val="bottom"/>
            <w:shd w:val="clear" w:color="auto" w:fill="CCECFF"/>
          </w:tcPr>
          <w:p>
            <w:pPr>
              <w:ind w:left="100"/>
              <w:spacing w:after="0"/>
              <w:rPr>
                <w:sz w:val="20"/>
                <w:szCs w:val="20"/>
                <w:color w:val="auto"/>
              </w:rPr>
            </w:pPr>
            <w:r>
              <w:rPr>
                <w:rFonts w:ascii="Arial" w:cs="Arial" w:eastAsia="Arial" w:hAnsi="Arial"/>
                <w:sz w:val="11"/>
                <w:szCs w:val="11"/>
                <w:color w:val="auto"/>
              </w:rPr>
              <w:t>09/30/2025</w:t>
            </w:r>
          </w:p>
        </w:tc>
        <w:tc>
          <w:tcPr>
            <w:tcW w:w="28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3,261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Marketplace Events, LLC</w:t>
            </w:r>
          </w:p>
        </w:tc>
        <w:tc>
          <w:tcPr>
            <w:tcW w:w="700" w:type="dxa"/>
            <w:vAlign w:val="bottom"/>
          </w:tcPr>
          <w:p>
            <w:pPr>
              <w:ind w:left="100"/>
              <w:spacing w:after="0"/>
              <w:rPr>
                <w:sz w:val="20"/>
                <w:szCs w:val="20"/>
                <w:color w:val="auto"/>
              </w:rPr>
            </w:pPr>
            <w:r>
              <w:rPr>
                <w:rFonts w:ascii="Arial" w:cs="Arial" w:eastAsia="Arial" w:hAnsi="Arial"/>
                <w:sz w:val="11"/>
                <w:szCs w:val="11"/>
                <w:color w:val="auto"/>
              </w:rPr>
              <w:t>09/30/2026</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8.19 %</w:t>
            </w:r>
          </w:p>
        </w:tc>
        <w:tc>
          <w:tcPr>
            <w:tcW w:w="800" w:type="dxa"/>
            <w:vAlign w:val="bottom"/>
          </w:tcPr>
          <w:p>
            <w:pPr>
              <w:jc w:val="right"/>
              <w:spacing w:after="0"/>
              <w:rPr>
                <w:sz w:val="20"/>
                <w:szCs w:val="20"/>
                <w:color w:val="auto"/>
              </w:rPr>
            </w:pPr>
            <w:r>
              <w:rPr>
                <w:rFonts w:ascii="Arial" w:cs="Arial" w:eastAsia="Arial" w:hAnsi="Arial"/>
                <w:sz w:val="11"/>
                <w:szCs w:val="11"/>
                <w:color w:val="auto"/>
              </w:rPr>
              <w:t>3M L+525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26,771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19,518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tcBorders>
              <w:bottom w:val="single" w:sz="8" w:color="CCECFF"/>
            </w:tcBorders>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0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1"/>
                <w:szCs w:val="11"/>
                <w:color w:val="auto"/>
              </w:rPr>
              <w:t>05/06/2024</w:t>
            </w:r>
          </w:p>
        </w:tc>
        <w:tc>
          <w:tcPr>
            <w:tcW w:w="280" w:type="dxa"/>
            <w:vAlign w:val="bottom"/>
            <w:tcBorders>
              <w:bottom w:val="single" w:sz="8" w:color="CCECFF"/>
            </w:tcBorders>
            <w:shd w:val="clear" w:color="auto" w:fill="CCECFF"/>
          </w:tcPr>
          <w:p>
            <w:pPr>
              <w:spacing w:after="0"/>
              <w:rPr>
                <w:sz w:val="13"/>
                <w:szCs w:val="13"/>
                <w:color w:val="auto"/>
              </w:rPr>
            </w:pPr>
          </w:p>
        </w:tc>
        <w:tc>
          <w:tcPr>
            <w:tcW w:w="2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9"/>
              </w:rPr>
              <w:t>Financial Services</w:t>
            </w:r>
          </w:p>
        </w:tc>
        <w:tc>
          <w:tcPr>
            <w:tcW w:w="1240" w:type="dxa"/>
            <w:vAlign w:val="bottom"/>
            <w:tcBorders>
              <w:bottom w:val="single" w:sz="8" w:color="CCECFF"/>
            </w:tcBorders>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10.71 %</w:t>
            </w:r>
          </w:p>
        </w:tc>
        <w:tc>
          <w:tcPr>
            <w:tcW w:w="8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10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190,181</w:t>
            </w:r>
          </w:p>
        </w:tc>
        <w:tc>
          <w:tcPr>
            <w:tcW w:w="2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190,181</w:t>
            </w: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190,182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213,281</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220,535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Equity Interests—9.6%</w:t>
            </w: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Borders>
              <w:bottom w:val="single" w:sz="8" w:color="CCECFF"/>
            </w:tcBorders>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00" w:type="dxa"/>
            <w:vAlign w:val="bottom"/>
            <w:tcBorders>
              <w:bottom w:val="single" w:sz="8" w:color="CCECFF"/>
            </w:tcBorders>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Borders>
              <w:bottom w:val="single" w:sz="8" w:color="CCECFF"/>
            </w:tcBorders>
            <w:shd w:val="clear" w:color="auto" w:fill="CCECFF"/>
          </w:tcPr>
          <w:p>
            <w:pPr>
              <w:spacing w:after="0"/>
              <w:rPr>
                <w:sz w:val="12"/>
                <w:szCs w:val="12"/>
                <w:color w:val="auto"/>
              </w:rPr>
            </w:pPr>
          </w:p>
        </w:tc>
        <w:tc>
          <w:tcPr>
            <w:tcW w:w="112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81,506</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81,506</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49,434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81,506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50,470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70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294,787</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271,005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Investments—220.9%</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1,177,357</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1,164,254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Cash and Cash Equivalents—9.1%</w:t>
            </w:r>
          </w:p>
        </w:tc>
        <w:tc>
          <w:tcPr>
            <w:tcW w:w="7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BlackRock Federal FD Institutional 30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BNY Mellon Cash</w:t>
            </w:r>
          </w:p>
        </w:tc>
        <w:tc>
          <w:tcPr>
            <w:tcW w:w="70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9,707</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9,671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47,916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Equivalents—230.0%</w:t>
            </w:r>
          </w:p>
        </w:tc>
        <w:tc>
          <w:tcPr>
            <w:tcW w:w="7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20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1,225,273</w:t>
            </w: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1,212,134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Liabilities in Excess of Other Assets—(130.0)%</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(685,042 )</w:t>
            </w:r>
          </w:p>
        </w:tc>
        <w:tc>
          <w:tcPr>
            <w:tcW w:w="0" w:type="dxa"/>
            <w:vAlign w:val="bottom"/>
          </w:tcPr>
          <w:p>
            <w:pPr>
              <w:spacing w:after="0"/>
              <w:rPr>
                <w:sz w:val="1"/>
                <w:szCs w:val="1"/>
                <w:color w:val="auto"/>
              </w:rPr>
            </w:pPr>
          </w:p>
        </w:tc>
      </w:tr>
      <w:tr>
        <w:trPr>
          <w:trHeight w:val="17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Net Assets—100.0%</w:t>
            </w:r>
          </w:p>
        </w:tc>
        <w:tc>
          <w:tcPr>
            <w:tcW w:w="7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20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527,092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-2371090</wp:posOffset>
            </wp:positionV>
            <wp:extent cx="68580" cy="1111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111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-2165350</wp:posOffset>
            </wp:positionV>
            <wp:extent cx="68580"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-1446530</wp:posOffset>
            </wp:positionV>
            <wp:extent cx="68580" cy="1111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-1052830</wp:posOffset>
            </wp:positionV>
            <wp:extent cx="68580" cy="1111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111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-847090</wp:posOffset>
            </wp:positionV>
            <wp:extent cx="68580" cy="1111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1111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-453390</wp:posOffset>
            </wp:positionV>
            <wp:extent cx="68580" cy="1111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111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-247650</wp:posOffset>
            </wp:positionV>
            <wp:extent cx="727710" cy="128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71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110" w:lineRule="exact"/>
        <w:rPr>
          <w:sz w:val="20"/>
          <w:szCs w:val="20"/>
          <w:color w:val="auto"/>
        </w:rPr>
      </w:pPr>
    </w:p>
    <w:p>
      <w:pPr>
        <w:ind w:left="1020" w:right="120" w:hanging="500"/>
        <w:spacing w:after="0" w:line="221" w:lineRule="auto"/>
        <w:tabs>
          <w:tab w:leader="none" w:pos="1049"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60" w:lineRule="exact"/>
        <w:rPr>
          <w:rFonts w:ascii="Arial" w:cs="Arial" w:eastAsia="Arial" w:hAnsi="Arial"/>
          <w:sz w:val="16"/>
          <w:szCs w:val="16"/>
          <w:color w:val="auto"/>
          <w:vertAlign w:val="superscript"/>
        </w:rPr>
      </w:pPr>
    </w:p>
    <w:p>
      <w:pPr>
        <w:ind w:left="1020" w:hanging="500"/>
        <w:spacing w:after="0"/>
        <w:tabs>
          <w:tab w:leader="none" w:pos="10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94" w:lineRule="exact"/>
        <w:rPr>
          <w:rFonts w:ascii="Arial" w:cs="Arial" w:eastAsia="Arial" w:hAnsi="Arial"/>
          <w:sz w:val="16"/>
          <w:szCs w:val="16"/>
          <w:color w:val="auto"/>
          <w:vertAlign w:val="superscript"/>
        </w:rPr>
      </w:pPr>
    </w:p>
    <w:p>
      <w:pPr>
        <w:ind w:left="1020" w:right="40" w:hanging="500"/>
        <w:spacing w:after="0" w:line="227" w:lineRule="auto"/>
        <w:tabs>
          <w:tab w:leader="none" w:pos="1020"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94" w:lineRule="exact"/>
        <w:rPr>
          <w:rFonts w:ascii="Arial" w:cs="Arial" w:eastAsia="Arial" w:hAnsi="Arial"/>
          <w:sz w:val="15"/>
          <w:szCs w:val="15"/>
          <w:color w:val="auto"/>
          <w:vertAlign w:val="superscript"/>
        </w:rPr>
      </w:pPr>
    </w:p>
    <w:p>
      <w:pPr>
        <w:ind w:left="1020" w:right="280" w:hanging="500"/>
        <w:spacing w:after="0" w:line="227" w:lineRule="auto"/>
        <w:tabs>
          <w:tab w:leader="none" w:pos="1020"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58" w:lineRule="exact"/>
        <w:rPr>
          <w:rFonts w:ascii="Arial" w:cs="Arial" w:eastAsia="Arial" w:hAnsi="Arial"/>
          <w:sz w:val="15"/>
          <w:szCs w:val="15"/>
          <w:color w:val="auto"/>
          <w:vertAlign w:val="superscript"/>
        </w:rPr>
      </w:pPr>
    </w:p>
    <w:p>
      <w:pPr>
        <w:ind w:left="1020" w:hanging="500"/>
        <w:spacing w:after="0"/>
        <w:tabs>
          <w:tab w:leader="none" w:pos="10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Non-U.S. company or principal place of business outside the United States.</w:t>
      </w:r>
    </w:p>
    <w:p>
      <w:pPr>
        <w:spacing w:after="0" w:line="58" w:lineRule="exact"/>
        <w:rPr>
          <w:rFonts w:ascii="Arial" w:cs="Arial" w:eastAsia="Arial" w:hAnsi="Arial"/>
          <w:sz w:val="16"/>
          <w:szCs w:val="16"/>
          <w:color w:val="auto"/>
          <w:vertAlign w:val="superscript"/>
        </w:rPr>
      </w:pPr>
    </w:p>
    <w:p>
      <w:pPr>
        <w:ind w:left="1020" w:hanging="500"/>
        <w:spacing w:after="0"/>
        <w:tabs>
          <w:tab w:leader="none" w:pos="10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Non-income producing securities.</w:t>
      </w:r>
    </w:p>
    <w:p>
      <w:pPr>
        <w:spacing w:after="0" w:line="94" w:lineRule="exact"/>
        <w:rPr>
          <w:rFonts w:ascii="Arial" w:cs="Arial" w:eastAsia="Arial" w:hAnsi="Arial"/>
          <w:sz w:val="16"/>
          <w:szCs w:val="16"/>
          <w:color w:val="auto"/>
          <w:vertAlign w:val="superscript"/>
        </w:rPr>
      </w:pPr>
    </w:p>
    <w:p>
      <w:pPr>
        <w:ind w:left="1020" w:right="40" w:hanging="500"/>
        <w:spacing w:after="0" w:line="210" w:lineRule="auto"/>
        <w:tabs>
          <w:tab w:leader="none" w:pos="10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The securities, or a portion thereof, are not 1) pledged as collateral under the Credit Facility and held through Funding I; or, 2) securing the 2031 Asset-Backed Debt (See Note 10) and held through PennantPark CLO I, Ltd.</w:t>
      </w:r>
    </w:p>
    <w:p>
      <w:pPr>
        <w:spacing w:after="0" w:line="59" w:lineRule="exact"/>
        <w:rPr>
          <w:rFonts w:ascii="Arial" w:cs="Arial" w:eastAsia="Arial" w:hAnsi="Arial"/>
          <w:sz w:val="16"/>
          <w:szCs w:val="16"/>
          <w:color w:val="auto"/>
          <w:vertAlign w:val="superscript"/>
        </w:rPr>
      </w:pPr>
    </w:p>
    <w:p>
      <w:pPr>
        <w:ind w:left="1020" w:hanging="500"/>
        <w:spacing w:after="0"/>
        <w:tabs>
          <w:tab w:leader="none" w:pos="10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Investment is held through our Taxable Subsidiary (See Note 1).</w:t>
      </w:r>
    </w:p>
    <w:p>
      <w:pPr>
        <w:spacing w:after="0" w:line="93" w:lineRule="exact"/>
        <w:rPr>
          <w:rFonts w:ascii="Arial" w:cs="Arial" w:eastAsia="Arial" w:hAnsi="Arial"/>
          <w:sz w:val="16"/>
          <w:szCs w:val="16"/>
          <w:color w:val="auto"/>
          <w:vertAlign w:val="superscript"/>
        </w:rPr>
      </w:pPr>
    </w:p>
    <w:p>
      <w:pPr>
        <w:ind w:left="1020" w:hanging="500"/>
        <w:spacing w:after="0"/>
        <w:tabs>
          <w:tab w:leader="none" w:pos="1020" w:val="left"/>
        </w:tabs>
        <w:numPr>
          <w:ilvl w:val="0"/>
          <w:numId w:val="7"/>
        </w:numPr>
        <w:rPr>
          <w:rFonts w:ascii="Arial" w:cs="Arial" w:eastAsia="Arial" w:hAnsi="Arial"/>
          <w:sz w:val="13"/>
          <w:szCs w:val="13"/>
          <w:color w:val="auto"/>
          <w:vertAlign w:val="superscript"/>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94" w:lineRule="exact"/>
        <w:rPr>
          <w:rFonts w:ascii="Arial" w:cs="Arial" w:eastAsia="Arial" w:hAnsi="Arial"/>
          <w:sz w:val="13"/>
          <w:szCs w:val="13"/>
          <w:color w:val="auto"/>
          <w:vertAlign w:val="superscript"/>
        </w:rPr>
      </w:pPr>
    </w:p>
    <w:p>
      <w:pPr>
        <w:ind w:left="1020" w:right="200" w:hanging="500"/>
        <w:spacing w:after="0" w:line="227" w:lineRule="auto"/>
        <w:tabs>
          <w:tab w:leader="none" w:pos="1020"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our total assets and non-qualifying assets represent 19% of our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580"/>
        <w:spacing w:after="0"/>
        <w:rPr>
          <w:sz w:val="20"/>
          <w:szCs w:val="20"/>
          <w:color w:val="auto"/>
        </w:rPr>
      </w:pPr>
      <w:r>
        <w:rPr>
          <w:rFonts w:ascii="Arial" w:cs="Arial" w:eastAsia="Arial" w:hAnsi="Arial"/>
          <w:sz w:val="17"/>
          <w:szCs w:val="17"/>
          <w:b w:val="1"/>
          <w:bCs w:val="1"/>
          <w:color w:val="auto"/>
        </w:rPr>
        <w:t>PENNANTPARK FLOATING RATE CAPITAL LTD. AND SUBSIDIARIES</w:t>
      </w:r>
    </w:p>
    <w:p>
      <w:pPr>
        <w:spacing w:after="0" w:line="3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(Unaudited)</w:t>
      </w:r>
    </w:p>
    <w:p>
      <w:pPr>
        <w:spacing w:after="0" w:line="74" w:lineRule="exact"/>
        <w:rPr>
          <w:sz w:val="20"/>
          <w:szCs w:val="20"/>
          <w:color w:val="auto"/>
        </w:rPr>
      </w:pPr>
    </w:p>
    <w:p>
      <w:pPr>
        <w:ind w:left="500" w:hanging="500"/>
        <w:spacing w:after="0"/>
        <w:tabs>
          <w:tab w:leader="none" w:pos="50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Par amount is denominated in Australian Dollars (AUD) as denoted.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51435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21" w:right="1440"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12"/>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2023-05-10T15:54:22Z</dcterms:created>
  <dcterms:modified xsi:type="dcterms:W3CDTF">2023-05-10T15:54:22Z</dcterms:modified>
</cp:coreProperties>
</file>