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31,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20"/>
        <w:spacing w:after="0" w:line="250" w:lineRule="auto"/>
        <w:rPr>
          <w:sz w:val="20"/>
          <w:szCs w:val="20"/>
          <w:color w:val="auto"/>
        </w:rPr>
      </w:pPr>
      <w:r>
        <w:rPr>
          <w:rFonts w:ascii="Arial" w:cs="Arial" w:eastAsia="Arial" w:hAnsi="Arial"/>
          <w:sz w:val="22"/>
          <w:szCs w:val="22"/>
          <w:color w:val="auto"/>
        </w:rPr>
        <w:t>On January 31, 2013, PennantPark Floating Rate Capital Ltd. issued a press release announcing an increase in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31,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Dated: January 31, 2013</w:t>
      </w:r>
      <w:r>
        <w:rPr>
          <w:sz w:val="20"/>
          <w:szCs w:val="20"/>
          <w:color w:val="auto"/>
        </w:rPr>
        <w:tab/>
      </w:r>
      <w:r>
        <w:rPr>
          <w:rFonts w:ascii="Arial" w:cs="Arial" w:eastAsia="Arial" w:hAnsi="Arial"/>
          <w:sz w:val="21"/>
          <w:szCs w:val="21"/>
          <w:b w:val="1"/>
          <w:bCs w:val="1"/>
          <w:color w:val="auto"/>
        </w:rPr>
        <w:t>PENNANTPARK FLOATING RATE CAPITAL LTD.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48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72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60" w:type="dxa"/>
            <w:vAlign w:val="bottom"/>
            <w:gridSpan w:val="5"/>
          </w:tcPr>
          <w:p>
            <w:pPr>
              <w:ind w:left="180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60" w:type="dxa"/>
            <w:vAlign w:val="bottom"/>
            <w:gridSpan w:val="5"/>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Borders>
              <w:bottom w:val="single" w:sz="8" w:color="auto"/>
            </w:tcBorders>
            <w:gridSpan w:val="2"/>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7060" w:type="dxa"/>
            <w:vAlign w:val="bottom"/>
            <w:gridSpan w:val="5"/>
          </w:tcPr>
          <w:p>
            <w:pPr>
              <w:jc w:val="center"/>
              <w:ind w:left="131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20" w:type="dxa"/>
            <w:vAlign w:val="bottom"/>
            <w:gridSpan w:val="4"/>
            <w:vMerge w:val="restart"/>
          </w:tcPr>
          <w:p>
            <w:pPr>
              <w:jc w:val="center"/>
              <w:ind w:right="420"/>
              <w:spacing w:after="0"/>
              <w:rPr>
                <w:sz w:val="20"/>
                <w:szCs w:val="20"/>
                <w:color w:val="auto"/>
              </w:rPr>
            </w:pPr>
            <w:r>
              <w:rPr>
                <w:rFonts w:ascii="Arial" w:cs="Arial" w:eastAsia="Arial" w:hAnsi="Arial"/>
                <w:sz w:val="22"/>
                <w:szCs w:val="22"/>
                <w:color w:val="auto"/>
                <w:w w:val="87"/>
              </w:rPr>
              <w:t>January 31, 2013</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2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an Increase in Its Monthly Distribution to $0.085 per Share</w:t>
      </w:r>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NY -- (Marketwire - January 31, 2013) - PennantPark Floating Rate Capital Ltd. (the "Company") (NASDAQ: PFLT) declares an increase in its monthly distribution for February 2013 to $0.085 per share, payable on March 1, 2013 to stockholders of record as of February19,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2020-05-05T12:04:24Z</dcterms:created>
  <dcterms:modified xsi:type="dcterms:W3CDTF">2020-05-05T12:04:24Z</dcterms:modified>
</cp:coreProperties>
</file>