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FORM 8-K</w:t>
      </w:r>
    </w:p>
    <w:p>
      <w:pPr>
        <w:spacing w:after="0" w:line="38"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3"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October 2, 2020</w:t>
      </w:r>
    </w:p>
    <w:p>
      <w:pPr>
        <w:spacing w:after="0" w:line="21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100"/>
          </w:cols>
          <w:pgMar w:left="320" w:top="724" w:right="47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Maryland</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814-00891</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27-3794690</w:t>
      </w:r>
    </w:p>
    <w:p>
      <w:pPr>
        <w:spacing w:after="0" w:line="27" w:lineRule="exact"/>
        <w:rPr>
          <w:sz w:val="24"/>
          <w:szCs w:val="24"/>
          <w:color w:val="auto"/>
        </w:rPr>
      </w:pPr>
    </w:p>
    <w:p>
      <w:pPr>
        <w:jc w:val="center"/>
        <w:ind w:right="24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3920" w:space="720"/>
            <w:col w:w="2560" w:space="720"/>
            <w:col w:w="3180"/>
          </w:cols>
          <w:pgMar w:left="320" w:top="724" w:right="479" w:bottom="1440" w:gutter="0" w:footer="0" w:header="0"/>
          <w:type w:val="continuous"/>
        </w:sectPr>
      </w:pPr>
    </w:p>
    <w:p>
      <w:pPr>
        <w:spacing w:after="0" w:line="200" w:lineRule="exact"/>
        <w:rPr>
          <w:sz w:val="24"/>
          <w:szCs w:val="24"/>
          <w:color w:val="auto"/>
        </w:rPr>
      </w:pPr>
    </w:p>
    <w:p>
      <w:pPr>
        <w:spacing w:after="0" w:line="262"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590 Madison Avenue, 15th Floor, New York, NY 10022</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212-905-1000</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tbl>
      <w:tblPr>
        <w:tblLayout w:type="fixed"/>
        <w:tblInd w:w="300" w:type="dxa"/>
        <w:tblCellMar>
          <w:top w:w="0" w:type="dxa"/>
          <w:left w:w="0" w:type="dxa"/>
          <w:bottom w:w="0" w:type="dxa"/>
          <w:right w:w="0" w:type="dxa"/>
        </w:tblCellMar>
      </w:tblP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tc>
      </w:t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230"/>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w w:val="90"/>
              </w:rPr>
              <w:t>Pre-commencement communications pursuant to Rule 14d-2(b) under the Exchange Act (17 CFR 240.14d-2(b))</w:t>
            </w:r>
          </w:p>
        </w:tc>
      </w:tr>
    </w:tbl>
    <w:p>
      <w:pPr>
        <w:ind w:right="2140" w:firstLine="291"/>
        <w:spacing w:after="0" w:line="490" w:lineRule="auto"/>
        <w:tabs>
          <w:tab w:leader="none" w:pos="478"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 Securities registered pursuant to Section 12(b) of the Act:</w:t>
      </w:r>
    </w:p>
    <w:p>
      <w:pPr>
        <w:sectPr>
          <w:pgSz w:w="11900" w:h="16838" w:orient="portrait"/>
          <w:cols w:equalWidth="0" w:num="1">
            <w:col w:w="11100"/>
          </w:cols>
          <w:pgMar w:left="320" w:top="724" w:right="479" w:bottom="1440" w:gutter="0" w:footer="0" w:header="0"/>
          <w:type w:val="continuous"/>
        </w:sectPr>
      </w:pPr>
    </w:p>
    <w:p>
      <w:pPr>
        <w:jc w:val="center"/>
        <w:ind w:left="320"/>
        <w:spacing w:after="0"/>
        <w:rPr>
          <w:sz w:val="20"/>
          <w:szCs w:val="20"/>
          <w:color w:val="auto"/>
        </w:rPr>
      </w:pPr>
      <w:r>
        <w:rPr>
          <w:rFonts w:ascii="Arial" w:cs="Arial" w:eastAsia="Arial" w:hAnsi="Arial"/>
          <w:sz w:val="18"/>
          <w:szCs w:val="18"/>
          <w:b w:val="1"/>
          <w:bCs w:val="1"/>
          <w:color w:val="auto"/>
        </w:rPr>
        <w:t>Title of Each Class</w:t>
      </w:r>
    </w:p>
    <w:p>
      <w:pPr>
        <w:spacing w:after="0" w:line="27" w:lineRule="exact"/>
        <w:rPr>
          <w:sz w:val="24"/>
          <w:szCs w:val="24"/>
          <w:color w:val="auto"/>
        </w:rPr>
      </w:pPr>
    </w:p>
    <w:p>
      <w:pPr>
        <w:jc w:val="center"/>
        <w:ind w:left="320"/>
        <w:spacing w:after="0"/>
        <w:rPr>
          <w:sz w:val="20"/>
          <w:szCs w:val="20"/>
          <w:color w:val="auto"/>
        </w:rPr>
      </w:pPr>
      <w:r>
        <w:rPr>
          <w:rFonts w:ascii="Arial" w:cs="Arial" w:eastAsia="Arial" w:hAnsi="Arial"/>
          <w:sz w:val="16"/>
          <w:szCs w:val="16"/>
          <w:color w:val="auto"/>
        </w:rPr>
        <w:t>Common Stock, par value $0.001 per share</w:t>
      </w:r>
    </w:p>
    <w:p>
      <w:pPr>
        <w:spacing w:after="0" w:line="20" w:lineRule="exact"/>
        <w:rPr>
          <w:sz w:val="24"/>
          <w:szCs w:val="24"/>
          <w:color w:val="auto"/>
        </w:rPr>
      </w:pPr>
      <w:r>
        <w:rPr>
          <w:sz w:val="24"/>
          <w:szCs w:val="24"/>
          <w:color w:val="auto"/>
        </w:rPr>
        <w:br w:type="column"/>
      </w:r>
    </w:p>
    <w:p>
      <w:pPr>
        <w:jc w:val="center"/>
        <w:ind w:right="180"/>
        <w:spacing w:after="0"/>
        <w:rPr>
          <w:sz w:val="20"/>
          <w:szCs w:val="20"/>
          <w:color w:val="auto"/>
        </w:rPr>
      </w:pPr>
      <w:r>
        <w:rPr>
          <w:rFonts w:ascii="Arial" w:cs="Arial" w:eastAsia="Arial" w:hAnsi="Arial"/>
          <w:sz w:val="16"/>
          <w:szCs w:val="16"/>
          <w:b w:val="1"/>
          <w:bCs w:val="1"/>
          <w:color w:val="auto"/>
        </w:rPr>
        <w:t>Trading Symbol(s)</w:t>
      </w:r>
    </w:p>
    <w:p>
      <w:pPr>
        <w:spacing w:after="0" w:line="50" w:lineRule="exact"/>
        <w:rPr>
          <w:sz w:val="24"/>
          <w:szCs w:val="24"/>
          <w:color w:val="auto"/>
        </w:rPr>
      </w:pPr>
    </w:p>
    <w:p>
      <w:pPr>
        <w:jc w:val="center"/>
        <w:ind w:right="180"/>
        <w:spacing w:after="0"/>
        <w:rPr>
          <w:sz w:val="20"/>
          <w:szCs w:val="20"/>
          <w:color w:val="auto"/>
        </w:rPr>
      </w:pPr>
      <w:r>
        <w:rPr>
          <w:rFonts w:ascii="Arial" w:cs="Arial" w:eastAsia="Arial" w:hAnsi="Arial"/>
          <w:sz w:val="18"/>
          <w:szCs w:val="18"/>
          <w:color w:val="auto"/>
        </w:rPr>
        <w:t>PFLT</w:t>
      </w:r>
    </w:p>
    <w:p>
      <w:pPr>
        <w:spacing w:after="0" w:line="20" w:lineRule="exact"/>
        <w:rPr>
          <w:sz w:val="24"/>
          <w:szCs w:val="24"/>
          <w:color w:val="auto"/>
        </w:rPr>
      </w:pPr>
      <w:r>
        <w:rPr>
          <w:sz w:val="24"/>
          <w:szCs w:val="24"/>
          <w:color w:val="auto"/>
        </w:rPr>
        <w:br w:type="column"/>
      </w:r>
    </w:p>
    <w:p>
      <w:pPr>
        <w:jc w:val="center"/>
        <w:ind w:right="340"/>
        <w:spacing w:after="0"/>
        <w:rPr>
          <w:sz w:val="20"/>
          <w:szCs w:val="20"/>
          <w:color w:val="auto"/>
        </w:rPr>
      </w:pPr>
      <w:r>
        <w:rPr>
          <w:rFonts w:ascii="Arial" w:cs="Arial" w:eastAsia="Arial" w:hAnsi="Arial"/>
          <w:sz w:val="16"/>
          <w:szCs w:val="16"/>
          <w:b w:val="1"/>
          <w:bCs w:val="1"/>
          <w:color w:val="auto"/>
        </w:rPr>
        <w:t>Name of Each Exchange on Which Registered</w:t>
      </w:r>
    </w:p>
    <w:p>
      <w:pPr>
        <w:spacing w:after="0" w:line="50" w:lineRule="exact"/>
        <w:rPr>
          <w:sz w:val="24"/>
          <w:szCs w:val="24"/>
          <w:color w:val="auto"/>
        </w:rPr>
      </w:pPr>
    </w:p>
    <w:p>
      <w:pPr>
        <w:jc w:val="center"/>
        <w:ind w:right="340"/>
        <w:spacing w:after="0"/>
        <w:rPr>
          <w:sz w:val="20"/>
          <w:szCs w:val="20"/>
          <w:color w:val="auto"/>
        </w:rPr>
      </w:pPr>
      <w:r>
        <w:rPr>
          <w:rFonts w:ascii="Arial" w:cs="Arial" w:eastAsia="Arial" w:hAnsi="Arial"/>
          <w:sz w:val="18"/>
          <w:szCs w:val="18"/>
          <w:color w:val="auto"/>
        </w:rPr>
        <w:t>The Nasdaq Stock Market LLC</w:t>
      </w:r>
    </w:p>
    <w:p>
      <w:pPr>
        <w:spacing w:after="0" w:line="200" w:lineRule="exact"/>
        <w:rPr>
          <w:sz w:val="24"/>
          <w:szCs w:val="24"/>
          <w:color w:val="auto"/>
        </w:rPr>
      </w:pPr>
    </w:p>
    <w:p>
      <w:pPr>
        <w:sectPr>
          <w:pgSz w:w="11900" w:h="16838" w:orient="portrait"/>
          <w:cols w:equalWidth="0" w:num="3">
            <w:col w:w="4200" w:space="720"/>
            <w:col w:w="1600" w:space="720"/>
            <w:col w:w="3860"/>
          </w:cols>
          <w:pgMar w:left="320" w:top="724" w:right="479" w:bottom="1440" w:gutter="0" w:footer="0" w:header="0"/>
          <w:type w:val="continuous"/>
        </w:sectPr>
      </w:pPr>
    </w:p>
    <w:p>
      <w:pPr>
        <w:spacing w:after="0" w:line="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183515</wp:posOffset>
            </wp:positionV>
            <wp:extent cx="71361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00"/>
          </w:cols>
          <w:pgMar w:left="320" w:top="724" w:right="4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On October 2, 2020, PennantPark Floating Rate Capital Ltd. issued a press release announcing its monthly distribution. A copy of the press release is furnished as Exhibit 99.1 to this Form 8-K.</w:t>
      </w:r>
    </w:p>
    <w:p>
      <w:pPr>
        <w:spacing w:after="0" w:line="17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02"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600" w:right="9340" w:hanging="592"/>
        <w:spacing w:after="0" w:line="313" w:lineRule="auto"/>
        <w:tabs>
          <w:tab w:leader="none" w:pos="270" w:val="left"/>
        </w:tabs>
        <w:numPr>
          <w:ilvl w:val="0"/>
          <w:numId w:val="2"/>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Financial statements: </w:t>
      </w:r>
      <w:r>
        <w:rPr>
          <w:rFonts w:ascii="Arial" w:cs="Arial" w:eastAsia="Arial" w:hAnsi="Arial"/>
          <w:sz w:val="15"/>
          <w:szCs w:val="15"/>
          <w:color w:val="auto"/>
        </w:rPr>
        <w:t>None</w:t>
      </w:r>
    </w:p>
    <w:p>
      <w:pPr>
        <w:ind w:left="600" w:right="8400" w:hanging="547"/>
        <w:spacing w:after="0" w:line="250" w:lineRule="auto"/>
        <w:tabs>
          <w:tab w:leader="none" w:pos="325" w:val="left"/>
        </w:tabs>
        <w:numPr>
          <w:ilvl w:val="1"/>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ind w:left="600" w:right="8780" w:hanging="547"/>
        <w:spacing w:after="0" w:line="250" w:lineRule="auto"/>
        <w:tabs>
          <w:tab w:leader="none" w:pos="305" w:val="left"/>
        </w:tabs>
        <w:numPr>
          <w:ilvl w:val="1"/>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Shell company transactions: </w:t>
      </w:r>
      <w:r>
        <w:rPr>
          <w:rFonts w:ascii="Arial" w:cs="Arial" w:eastAsia="Arial" w:hAnsi="Arial"/>
          <w:sz w:val="18"/>
          <w:szCs w:val="18"/>
          <w:color w:val="auto"/>
        </w:rPr>
        <w:t>None</w:t>
      </w:r>
    </w:p>
    <w:p>
      <w:pPr>
        <w:ind w:left="320" w:hanging="267"/>
        <w:spacing w:after="0"/>
        <w:tabs>
          <w:tab w:leader="none" w:pos="320" w:val="left"/>
        </w:tabs>
        <w:numPr>
          <w:ilvl w:val="1"/>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9" w:lineRule="exact"/>
        <w:rPr>
          <w:sz w:val="20"/>
          <w:szCs w:val="20"/>
          <w:color w:val="auto"/>
        </w:rPr>
      </w:pPr>
    </w:p>
    <w:p>
      <w:pPr>
        <w:ind w:left="600"/>
        <w:spacing w:after="0"/>
        <w:tabs>
          <w:tab w:leader="none" w:pos="116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Press Release of PennantPark Floating Rate Capital Ltd. Dated October 2,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36130"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5020" w:type="dxa"/>
            <w:vAlign w:val="bottom"/>
            <w:gridSpan w:val="3"/>
          </w:tcPr>
          <w:p>
            <w:pPr>
              <w:ind w:left="1920"/>
              <w:spacing w:after="0"/>
              <w:rPr>
                <w:sz w:val="20"/>
                <w:szCs w:val="20"/>
                <w:color w:val="auto"/>
              </w:rPr>
            </w:pPr>
            <w:r>
              <w:rPr>
                <w:rFonts w:ascii="Arial" w:cs="Arial" w:eastAsia="Arial" w:hAnsi="Arial"/>
                <w:sz w:val="18"/>
                <w:szCs w:val="18"/>
                <w:b w:val="1"/>
                <w:bCs w:val="1"/>
                <w:color w:val="auto"/>
                <w:w w:val="92"/>
              </w:rPr>
              <w:t>PennantPark Floating Rate Capital Ltd.</w:t>
            </w:r>
          </w:p>
        </w:tc>
      </w:tr>
      <w:tr>
        <w:trPr>
          <w:trHeight w:val="608"/>
        </w:trPr>
        <w:tc>
          <w:tcPr>
            <w:tcW w:w="3540" w:type="dxa"/>
            <w:vAlign w:val="bottom"/>
          </w:tcPr>
          <w:p>
            <w:pPr>
              <w:spacing w:after="0"/>
              <w:rPr>
                <w:sz w:val="20"/>
                <w:szCs w:val="20"/>
                <w:color w:val="auto"/>
              </w:rPr>
            </w:pPr>
            <w:r>
              <w:rPr>
                <w:rFonts w:ascii="Arial" w:cs="Arial" w:eastAsia="Arial" w:hAnsi="Arial"/>
                <w:sz w:val="18"/>
                <w:szCs w:val="18"/>
                <w:color w:val="auto"/>
              </w:rPr>
              <w:t>Date: October 2, 2020</w:t>
            </w:r>
          </w:p>
        </w:tc>
        <w:tc>
          <w:tcPr>
            <w:tcW w:w="5020" w:type="dxa"/>
            <w:vAlign w:val="bottom"/>
            <w:gridSpan w:val="3"/>
          </w:tcPr>
          <w:p>
            <w:pPr>
              <w:ind w:left="1920"/>
              <w:spacing w:after="0"/>
              <w:rPr>
                <w:sz w:val="20"/>
                <w:szCs w:val="20"/>
                <w:color w:val="auto"/>
              </w:rPr>
            </w:pPr>
            <w:r>
              <w:rPr>
                <w:rFonts w:ascii="Arial" w:cs="Arial" w:eastAsia="Arial" w:hAnsi="Arial"/>
                <w:sz w:val="18"/>
                <w:szCs w:val="18"/>
                <w:color w:val="auto"/>
              </w:rPr>
              <w:t>By: /s/ Aviv Efrat</w:t>
            </w:r>
          </w:p>
        </w:tc>
      </w:tr>
      <w:tr>
        <w:trPr>
          <w:trHeight w:val="222"/>
        </w:trPr>
        <w:tc>
          <w:tcPr>
            <w:tcW w:w="354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1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Aviv Efrat</w:t>
            </w:r>
          </w:p>
        </w:tc>
        <w:tc>
          <w:tcPr>
            <w:tcW w:w="1460" w:type="dxa"/>
            <w:vAlign w:val="bottom"/>
          </w:tcPr>
          <w:p>
            <w:pPr>
              <w:spacing w:after="0"/>
              <w:rPr>
                <w:sz w:val="19"/>
                <w:szCs w:val="19"/>
                <w:color w:val="auto"/>
              </w:rPr>
            </w:pPr>
          </w:p>
        </w:tc>
      </w:tr>
      <w:tr>
        <w:trPr>
          <w:trHeight w:val="230"/>
        </w:trPr>
        <w:tc>
          <w:tcPr>
            <w:tcW w:w="35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w w:val="99"/>
              </w:rPr>
              <w:t>Chief Financial Officer &amp; Treasurer</w:t>
            </w:r>
          </w:p>
        </w:tc>
      </w:tr>
    </w:tbl>
    <w:p>
      <w:pPr>
        <w:sectPr>
          <w:pgSz w:w="11900" w:h="16838" w:orient="portrait"/>
          <w:cols w:equalWidth="0" w:num="1">
            <w:col w:w="11200"/>
          </w:cols>
          <w:pgMar w:left="320" w:top="337" w:right="379" w:bottom="1440" w:gutter="0" w:footer="0" w:header="0"/>
        </w:sectPr>
      </w:pPr>
    </w:p>
    <w:bookmarkStart w:id="3" w:name="page4"/>
    <w:bookmarkEnd w:id="3"/>
    <w:p>
      <w:pPr>
        <w:ind w:left="9880"/>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285875" cy="3003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587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PennantPark Floating Rate Capital Ltd. Announces Monthly Distribution of $0.095 per Share</w:t>
      </w:r>
    </w:p>
    <w:p>
      <w:pPr>
        <w:spacing w:after="0" w:line="212"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NEW YORK, Oct. 02, 2020 (GLOBE NEWSWIRE) -- PennantPark Floating Rate Capital Ltd. (the "Company") (NASDAQ: PFLT) (TASE: PFLT) declares its monthly distribution for October 2020 of $0.095 per share, payable on November 2, 2020 to stockholders of record as of October 21, 2020. The distribution is expected to be paid from taxable net investment income. The final specific tax characteristics of the distribution will be reported to stockholders on Form 1099 after the end of the calendar year and in the Company's periodic report filed with the Securities and Exchange Commission.</w:t>
      </w:r>
    </w:p>
    <w:p>
      <w:pPr>
        <w:spacing w:after="0" w:line="147"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Company, which operates as a regulated investment company (“RIC”), generates qualified interest income and short-term capital gains that may be exempt from U.S. withholding tax when distributed to non-U.S. stockholders. The U.S. tax law permits a RIC to report the portion of distributions paid that represents interest-related dividends as exempt from U.S. withholding tax when paid to non-U.S. stockholders with proper documentation.</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The specific tax characteristics of this distribution can be found on our website </w:t>
      </w:r>
      <w:r>
        <w:rPr>
          <w:rFonts w:ascii="Arial" w:cs="Arial" w:eastAsia="Arial" w:hAnsi="Arial"/>
          <w:sz w:val="22"/>
          <w:szCs w:val="22"/>
          <w:u w:val="single" w:color="auto"/>
          <w:color w:val="auto"/>
        </w:rPr>
        <w:t>www.pennantpark.com</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FLOATING RATE CAPITAL LTD.</w:t>
      </w:r>
    </w:p>
    <w:p>
      <w:pPr>
        <w:spacing w:after="0" w:line="20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PennantPark Floating Rate Capital Ltd. is a business development company which primarily invests in U.S. middle-market private companies in the form of floating rate senior secured loans, including first lien secured debt, second lien secured debt and subordinated debt. From time to time, the Company may also invest in equity investments. PennantPark Floating Rate Capital Ltd. is managed by PennantPark Investment Advisers, LLC.</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INVESTMENT ADVISERS, LLC</w:t>
      </w:r>
    </w:p>
    <w:p>
      <w:pPr>
        <w:spacing w:after="0" w:line="206"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PennantPark Investment Advisers, LLC is a leading middle market credit platform, which has approximately $3.6 billion of assets under management.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New York and has offices in Chicago, Houston and Los Angeles.</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200" w:lineRule="exact"/>
        <w:rPr>
          <w:sz w:val="20"/>
          <w:szCs w:val="20"/>
          <w:color w:val="auto"/>
        </w:rPr>
      </w:pPr>
    </w:p>
    <w:p>
      <w:pPr>
        <w:spacing w:after="0" w:line="201"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information contained herein is based on current tax laws, which may change in the future. The Company cannot be held responsible for any direct or incidental loss resulting from applying any of the information provided in this publication or from any other source mentioned. The information provided in this material does not constitute any specific legal, tax or accounting advice. Please consult with qualified professionals for this type of advice.</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Aviv Efrat</w:t>
      </w:r>
    </w:p>
    <w:p>
      <w:pPr>
        <w:spacing w:after="0" w:line="230" w:lineRule="auto"/>
        <w:rPr>
          <w:sz w:val="20"/>
          <w:szCs w:val="20"/>
          <w:color w:val="auto"/>
        </w:rPr>
      </w:pPr>
      <w:r>
        <w:rPr>
          <w:rFonts w:ascii="Arial" w:cs="Arial" w:eastAsia="Arial" w:hAnsi="Arial"/>
          <w:sz w:val="22"/>
          <w:szCs w:val="22"/>
          <w:color w:val="auto"/>
        </w:rPr>
        <w:t>PennantPark Floating Rate Capital Ltd.</w:t>
      </w:r>
    </w:p>
    <w:p>
      <w:pPr>
        <w:spacing w:after="0" w:line="1" w:lineRule="exact"/>
        <w:rPr>
          <w:sz w:val="20"/>
          <w:szCs w:val="20"/>
          <w:color w:val="auto"/>
        </w:rPr>
      </w:pPr>
    </w:p>
    <w:p>
      <w:pPr>
        <w:ind w:right="9240" w:firstLine="8"/>
        <w:spacing w:after="0" w:line="308" w:lineRule="auto"/>
        <w:tabs>
          <w:tab w:leader="none" w:pos="522" w:val="left"/>
        </w:tabs>
        <w:numPr>
          <w:ilvl w:val="0"/>
          <w:numId w:val="3"/>
        </w:numPr>
        <w:rPr>
          <w:rFonts w:ascii="Arial" w:cs="Arial" w:eastAsia="Arial" w:hAnsi="Arial"/>
          <w:sz w:val="19"/>
          <w:szCs w:val="19"/>
          <w:color w:val="auto"/>
        </w:rPr>
      </w:pPr>
      <w:r>
        <w:rPr>
          <w:rFonts w:ascii="Arial" w:cs="Arial" w:eastAsia="Arial" w:hAnsi="Arial"/>
          <w:sz w:val="19"/>
          <w:szCs w:val="19"/>
          <w:color w:val="auto"/>
        </w:rPr>
        <w:t>905-1000 www.pennantpark.com</w:t>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lvl w:ilvl="1">
      <w:lvlJc w:val="left"/>
      <w:lvlText w:val="(%2)"/>
      <w:numFmt w:val="lowerLetter"/>
      <w:start w:val="2"/>
    </w:lvl>
  </w:abstractNum>
  <w:abstractNum w:abstractNumId="2">
    <w:nsid w:val="19495CFF"/>
    <w:multiLevelType w:val="hybridMultilevel"/>
    <w:lvl w:ilvl="0">
      <w:lvlJc w:val="left"/>
      <w:lvlText w:val="(%1)"/>
      <w:numFmt w:val="decimal"/>
      <w:start w:val="21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2020-10-02T15:10:38Z</dcterms:created>
  <dcterms:modified xsi:type="dcterms:W3CDTF">2020-10-02T15:10:38Z</dcterms:modified>
</cp:coreProperties>
</file>