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May 8,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40"/>
          </w:cols>
          <w:pgMar w:left="320" w:top="72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320"/>
          </w:cols>
          <w:pgMar w:left="320" w:top="724" w:right="3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18"/>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45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PFLT</w:t>
            </w:r>
          </w:p>
        </w:tc>
        <w:tc>
          <w:tcPr>
            <w:tcW w:w="44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5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r>
      <w:tr>
        <w:trPr>
          <w:trHeight w:val="244"/>
        </w:trPr>
        <w:tc>
          <w:tcPr>
            <w:tcW w:w="45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r>
      <w:tr>
        <w:trPr>
          <w:trHeight w:val="361"/>
        </w:trPr>
        <w:tc>
          <w:tcPr>
            <w:tcW w:w="45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8, 2019, PennantPark Floating Rate Capital Ltd. issued a press release announcing its financial results for the second fiscal quarter ended March 31, 2019.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8, 2019</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2019</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May 08, 2019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second fiscal quarter ended March 31, 2019.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2019</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360" w:type="dxa"/>
            <w:vAlign w:val="bottom"/>
          </w:tcPr>
          <w:p>
            <w:pPr>
              <w:spacing w:after="0"/>
              <w:rPr>
                <w:sz w:val="20"/>
                <w:szCs w:val="20"/>
                <w:color w:val="auto"/>
              </w:rPr>
            </w:pPr>
            <w:r>
              <w:rPr>
                <w:rFonts w:ascii="Arial" w:cs="Arial" w:eastAsia="Arial" w:hAnsi="Arial"/>
                <w:sz w:val="22"/>
                <w:szCs w:val="22"/>
                <w:color w:val="auto"/>
              </w:rPr>
              <w:t>Assets and Liabilities:</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4360" w:type="dxa"/>
            <w:vAlign w:val="bottom"/>
          </w:tcPr>
          <w:p>
            <w:pPr>
              <w:ind w:left="16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920" w:type="dxa"/>
            <w:vAlign w:val="bottom"/>
            <w:vMerge w:val="continue"/>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961.5</w:t>
            </w:r>
          </w:p>
        </w:tc>
        <w:tc>
          <w:tcPr>
            <w:tcW w:w="0" w:type="dxa"/>
            <w:vAlign w:val="bottom"/>
          </w:tcPr>
          <w:p>
            <w:pPr>
              <w:spacing w:after="0"/>
              <w:rPr>
                <w:sz w:val="1"/>
                <w:szCs w:val="1"/>
                <w:color w:val="auto"/>
              </w:rPr>
            </w:pPr>
          </w:p>
        </w:tc>
      </w:tr>
      <w:tr>
        <w:trPr>
          <w:trHeight w:val="270"/>
        </w:trPr>
        <w:tc>
          <w:tcPr>
            <w:tcW w:w="4360" w:type="dxa"/>
            <w:vAlign w:val="bottom"/>
          </w:tcPr>
          <w:p>
            <w:pPr>
              <w:ind w:left="160"/>
              <w:spacing w:after="0"/>
              <w:rPr>
                <w:sz w:val="20"/>
                <w:szCs w:val="20"/>
                <w:color w:val="auto"/>
              </w:rPr>
            </w:pPr>
            <w:r>
              <w:rPr>
                <w:rFonts w:ascii="Arial" w:cs="Arial" w:eastAsia="Arial" w:hAnsi="Arial"/>
                <w:sz w:val="22"/>
                <w:szCs w:val="22"/>
                <w:color w:val="auto"/>
              </w:rPr>
              <w:t>PSSL investment portfolio</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502.1</w:t>
            </w:r>
          </w:p>
        </w:tc>
        <w:tc>
          <w:tcPr>
            <w:tcW w:w="0" w:type="dxa"/>
            <w:vAlign w:val="bottom"/>
          </w:tcPr>
          <w:p>
            <w:pPr>
              <w:spacing w:after="0"/>
              <w:rPr>
                <w:sz w:val="1"/>
                <w:szCs w:val="1"/>
                <w:color w:val="auto"/>
              </w:rPr>
            </w:pPr>
          </w:p>
        </w:tc>
      </w:tr>
      <w:tr>
        <w:trPr>
          <w:trHeight w:val="270"/>
        </w:trPr>
        <w:tc>
          <w:tcPr>
            <w:tcW w:w="4360" w:type="dxa"/>
            <w:vAlign w:val="bottom"/>
          </w:tcPr>
          <w:p>
            <w:pPr>
              <w:ind w:left="160"/>
              <w:spacing w:after="0"/>
              <w:rPr>
                <w:sz w:val="20"/>
                <w:szCs w:val="20"/>
                <w:color w:val="auto"/>
              </w:rPr>
            </w:pPr>
            <w:r>
              <w:rPr>
                <w:rFonts w:ascii="Arial" w:cs="Arial" w:eastAsia="Arial" w:hAnsi="Arial"/>
                <w:sz w:val="22"/>
                <w:szCs w:val="22"/>
                <w:color w:val="auto"/>
              </w:rPr>
              <w:t>Net assets</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513.3</w:t>
            </w:r>
          </w:p>
        </w:tc>
        <w:tc>
          <w:tcPr>
            <w:tcW w:w="0" w:type="dxa"/>
            <w:vAlign w:val="bottom"/>
          </w:tcPr>
          <w:p>
            <w:pPr>
              <w:spacing w:after="0"/>
              <w:rPr>
                <w:sz w:val="1"/>
                <w:szCs w:val="1"/>
                <w:color w:val="auto"/>
              </w:rPr>
            </w:pPr>
          </w:p>
        </w:tc>
      </w:tr>
      <w:tr>
        <w:trPr>
          <w:trHeight w:val="274"/>
        </w:trPr>
        <w:tc>
          <w:tcPr>
            <w:tcW w:w="4360" w:type="dxa"/>
            <w:vAlign w:val="bottom"/>
          </w:tcPr>
          <w:p>
            <w:pPr>
              <w:ind w:left="160"/>
              <w:spacing w:after="0"/>
              <w:rPr>
                <w:sz w:val="20"/>
                <w:szCs w:val="20"/>
                <w:color w:val="auto"/>
              </w:rPr>
            </w:pPr>
            <w:r>
              <w:rPr>
                <w:rFonts w:ascii="Arial" w:cs="Arial" w:eastAsia="Arial" w:hAnsi="Arial"/>
                <w:sz w:val="22"/>
                <w:szCs w:val="22"/>
                <w:color w:val="auto"/>
              </w:rPr>
              <w:t>Net asset value per share</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13.24</w:t>
            </w:r>
          </w:p>
        </w:tc>
        <w:tc>
          <w:tcPr>
            <w:tcW w:w="0" w:type="dxa"/>
            <w:vAlign w:val="bottom"/>
          </w:tcPr>
          <w:p>
            <w:pPr>
              <w:spacing w:after="0"/>
              <w:rPr>
                <w:sz w:val="1"/>
                <w:szCs w:val="1"/>
                <w:color w:val="auto"/>
              </w:rPr>
            </w:pPr>
          </w:p>
        </w:tc>
      </w:tr>
      <w:tr>
        <w:trPr>
          <w:trHeight w:val="536"/>
        </w:trPr>
        <w:tc>
          <w:tcPr>
            <w:tcW w:w="4360" w:type="dxa"/>
            <w:vAlign w:val="bottom"/>
          </w:tcPr>
          <w:p>
            <w:pPr>
              <w:ind w:left="160"/>
              <w:spacing w:after="0"/>
              <w:rPr>
                <w:sz w:val="20"/>
                <w:szCs w:val="20"/>
                <w:color w:val="auto"/>
              </w:rPr>
            </w:pPr>
            <w:r>
              <w:rPr>
                <w:rFonts w:ascii="Arial" w:cs="Arial" w:eastAsia="Arial" w:hAnsi="Arial"/>
                <w:sz w:val="22"/>
                <w:szCs w:val="22"/>
                <w:color w:val="auto"/>
              </w:rPr>
              <w:t>Credit Facility</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348.9</w:t>
            </w:r>
          </w:p>
        </w:tc>
        <w:tc>
          <w:tcPr>
            <w:tcW w:w="0" w:type="dxa"/>
            <w:vAlign w:val="bottom"/>
          </w:tcPr>
          <w:p>
            <w:pPr>
              <w:spacing w:after="0"/>
              <w:rPr>
                <w:sz w:val="1"/>
                <w:szCs w:val="1"/>
                <w:color w:val="auto"/>
              </w:rPr>
            </w:pPr>
          </w:p>
        </w:tc>
      </w:tr>
      <w:tr>
        <w:trPr>
          <w:trHeight w:val="274"/>
        </w:trPr>
        <w:tc>
          <w:tcPr>
            <w:tcW w:w="4360" w:type="dxa"/>
            <w:vAlign w:val="bottom"/>
          </w:tcPr>
          <w:p>
            <w:pPr>
              <w:ind w:left="160"/>
              <w:spacing w:after="0"/>
              <w:rPr>
                <w:sz w:val="20"/>
                <w:szCs w:val="20"/>
                <w:color w:val="auto"/>
              </w:rPr>
            </w:pPr>
            <w:r>
              <w:rPr>
                <w:rFonts w:ascii="Arial" w:cs="Arial" w:eastAsia="Arial" w:hAnsi="Arial"/>
                <w:sz w:val="22"/>
                <w:szCs w:val="22"/>
                <w:color w:val="auto"/>
              </w:rPr>
              <w:t>2023 Notes</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72"/>
              <w:spacing w:after="0"/>
              <w:rPr>
                <w:sz w:val="20"/>
                <w:szCs w:val="20"/>
                <w:color w:val="auto"/>
              </w:rPr>
            </w:pPr>
            <w:r>
              <w:rPr>
                <w:rFonts w:ascii="Arial" w:cs="Arial" w:eastAsia="Arial" w:hAnsi="Arial"/>
                <w:sz w:val="22"/>
                <w:szCs w:val="22"/>
                <w:color w:val="auto"/>
              </w:rPr>
              <w:t>137.4</w:t>
            </w:r>
          </w:p>
        </w:tc>
        <w:tc>
          <w:tcPr>
            <w:tcW w:w="0" w:type="dxa"/>
            <w:vAlign w:val="bottom"/>
          </w:tcPr>
          <w:p>
            <w:pPr>
              <w:spacing w:after="0"/>
              <w:rPr>
                <w:sz w:val="1"/>
                <w:szCs w:val="1"/>
                <w:color w:val="auto"/>
              </w:rPr>
            </w:pPr>
          </w:p>
        </w:tc>
      </w:tr>
      <w:tr>
        <w:trPr>
          <w:trHeight w:val="540"/>
        </w:trPr>
        <w:tc>
          <w:tcPr>
            <w:tcW w:w="4360" w:type="dxa"/>
            <w:vAlign w:val="bottom"/>
          </w:tcPr>
          <w:p>
            <w:pPr>
              <w:ind w:left="160"/>
              <w:spacing w:after="0"/>
              <w:rPr>
                <w:sz w:val="20"/>
                <w:szCs w:val="20"/>
                <w:color w:val="auto"/>
              </w:rPr>
            </w:pPr>
            <w:r>
              <w:rPr>
                <w:rFonts w:ascii="Arial" w:cs="Arial" w:eastAsia="Arial" w:hAnsi="Arial"/>
                <w:sz w:val="22"/>
                <w:szCs w:val="22"/>
                <w:color w:val="auto"/>
              </w:rPr>
              <w:t>Yield on debt investments at quarter-end</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Operating Results:</w:t>
            </w: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22"/>
                <w:szCs w:val="22"/>
                <w:color w:val="auto"/>
              </w:rPr>
              <w:t>Net investment income</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70"/>
        </w:trPr>
        <w:tc>
          <w:tcPr>
            <w:tcW w:w="4780" w:type="dxa"/>
            <w:vAlign w:val="bottom"/>
          </w:tcPr>
          <w:p>
            <w:pPr>
              <w:ind w:left="160"/>
              <w:spacing w:after="0"/>
              <w:rPr>
                <w:sz w:val="20"/>
                <w:szCs w:val="20"/>
                <w:color w:val="auto"/>
              </w:rPr>
            </w:pPr>
            <w:r>
              <w:rPr>
                <w:rFonts w:ascii="Arial" w:cs="Arial" w:eastAsia="Arial" w:hAnsi="Arial"/>
                <w:sz w:val="22"/>
                <w:szCs w:val="22"/>
                <w:color w:val="auto"/>
              </w:rPr>
              <w:t>Net investment income per share</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0.30</w:t>
            </w:r>
          </w:p>
        </w:tc>
      </w:tr>
      <w:tr>
        <w:trPr>
          <w:trHeight w:val="274"/>
        </w:trPr>
        <w:tc>
          <w:tcPr>
            <w:tcW w:w="4780" w:type="dxa"/>
            <w:vAlign w:val="bottom"/>
          </w:tcPr>
          <w:p>
            <w:pPr>
              <w:ind w:left="160"/>
              <w:spacing w:after="0"/>
              <w:rPr>
                <w:sz w:val="20"/>
                <w:szCs w:val="20"/>
                <w:color w:val="auto"/>
              </w:rPr>
            </w:pPr>
            <w:r>
              <w:rPr>
                <w:rFonts w:ascii="Arial" w:cs="Arial" w:eastAsia="Arial" w:hAnsi="Arial"/>
                <w:sz w:val="22"/>
                <w:szCs w:val="22"/>
                <w:color w:val="auto"/>
              </w:rPr>
              <w:t>Distributions declared per share</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6"/>
        </w:trPr>
        <w:tc>
          <w:tcPr>
            <w:tcW w:w="4780" w:type="dxa"/>
            <w:vAlign w:val="bottom"/>
          </w:tcPr>
          <w:p>
            <w:pPr>
              <w:spacing w:after="0"/>
              <w:rPr>
                <w:sz w:val="20"/>
                <w:szCs w:val="20"/>
                <w:color w:val="auto"/>
              </w:rPr>
            </w:pPr>
            <w:r>
              <w:rPr>
                <w:rFonts w:ascii="Arial" w:cs="Arial" w:eastAsia="Arial" w:hAnsi="Arial"/>
                <w:sz w:val="22"/>
                <w:szCs w:val="22"/>
                <w:color w:val="auto"/>
              </w:rPr>
              <w:t>Portfolio Activity:</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22"/>
                <w:szCs w:val="22"/>
                <w:color w:val="auto"/>
              </w:rPr>
              <w:t>Purchases of investments</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136.1</w:t>
            </w:r>
          </w:p>
        </w:tc>
      </w:tr>
      <w:tr>
        <w:trPr>
          <w:trHeight w:val="274"/>
        </w:trPr>
        <w:tc>
          <w:tcPr>
            <w:tcW w:w="4780" w:type="dxa"/>
            <w:vAlign w:val="bottom"/>
          </w:tcPr>
          <w:p>
            <w:pPr>
              <w:ind w:left="160"/>
              <w:spacing w:after="0"/>
              <w:rPr>
                <w:sz w:val="20"/>
                <w:szCs w:val="20"/>
                <w:color w:val="auto"/>
              </w:rPr>
            </w:pPr>
            <w:r>
              <w:rPr>
                <w:rFonts w:ascii="Arial" w:cs="Arial" w:eastAsia="Arial" w:hAnsi="Arial"/>
                <w:sz w:val="22"/>
                <w:szCs w:val="22"/>
                <w:color w:val="auto"/>
              </w:rPr>
              <w:t>Sales and repayments of investments</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jc w:val="right"/>
              <w:spacing w:after="0"/>
              <w:rPr>
                <w:sz w:val="20"/>
                <w:szCs w:val="20"/>
                <w:color w:val="auto"/>
              </w:rPr>
            </w:pPr>
            <w:r>
              <w:rPr>
                <w:rFonts w:ascii="Arial" w:cs="Arial" w:eastAsia="Arial" w:hAnsi="Arial"/>
                <w:sz w:val="22"/>
                <w:szCs w:val="22"/>
                <w:color w:val="auto"/>
              </w:rPr>
              <w:t>143.2</w:t>
            </w:r>
          </w:p>
        </w:tc>
      </w:tr>
      <w:tr>
        <w:trPr>
          <w:trHeight w:val="536"/>
        </w:trPr>
        <w:tc>
          <w:tcPr>
            <w:tcW w:w="4780" w:type="dxa"/>
            <w:vAlign w:val="bottom"/>
          </w:tcPr>
          <w:p>
            <w:pPr>
              <w:ind w:left="160"/>
              <w:spacing w:after="0"/>
              <w:rPr>
                <w:sz w:val="20"/>
                <w:szCs w:val="20"/>
                <w:color w:val="auto"/>
              </w:rPr>
            </w:pPr>
            <w:r>
              <w:rPr>
                <w:rFonts w:ascii="Arial" w:cs="Arial" w:eastAsia="Arial" w:hAnsi="Arial"/>
                <w:sz w:val="22"/>
                <w:szCs w:val="22"/>
                <w:color w:val="auto"/>
              </w:rPr>
              <w:t>Number of new portfolio companies invested</w:t>
            </w: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4780" w:type="dxa"/>
            <w:vAlign w:val="bottom"/>
          </w:tcPr>
          <w:p>
            <w:pPr>
              <w:ind w:left="160"/>
              <w:spacing w:after="0"/>
              <w:rPr>
                <w:sz w:val="20"/>
                <w:szCs w:val="20"/>
                <w:color w:val="auto"/>
              </w:rPr>
            </w:pPr>
            <w:r>
              <w:rPr>
                <w:rFonts w:ascii="Arial" w:cs="Arial" w:eastAsia="Arial" w:hAnsi="Arial"/>
                <w:sz w:val="22"/>
                <w:szCs w:val="22"/>
                <w:color w:val="auto"/>
                <w:w w:val="98"/>
              </w:rPr>
              <w:t>Number of existing portfolio companies invested</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4"/>
        </w:trPr>
        <w:tc>
          <w:tcPr>
            <w:tcW w:w="4780" w:type="dxa"/>
            <w:vAlign w:val="bottom"/>
          </w:tcPr>
          <w:p>
            <w:pPr>
              <w:ind w:left="160"/>
              <w:spacing w:after="0"/>
              <w:rPr>
                <w:sz w:val="20"/>
                <w:szCs w:val="20"/>
                <w:color w:val="auto"/>
              </w:rPr>
            </w:pPr>
            <w:r>
              <w:rPr>
                <w:rFonts w:ascii="Arial" w:cs="Arial" w:eastAsia="Arial" w:hAnsi="Arial"/>
                <w:sz w:val="22"/>
                <w:szCs w:val="22"/>
                <w:color w:val="auto"/>
              </w:rPr>
              <w:t>Number of ending portfolio companies</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88</w:t>
            </w:r>
          </w:p>
        </w:tc>
      </w:tr>
    </w:tbl>
    <w:p>
      <w:pPr>
        <w:spacing w:after="0" w:line="252" w:lineRule="exact"/>
        <w:rPr>
          <w:sz w:val="20"/>
          <w:szCs w:val="20"/>
          <w:color w:val="auto"/>
        </w:rPr>
      </w:pPr>
    </w:p>
    <w:p>
      <w:pPr>
        <w:ind w:right="400" w:firstLine="8"/>
        <w:spacing w:after="0" w:line="215"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Includes investments in PennantPark Senior Secured Loan Fund I LLC, or PSSL, an unconsolidated joint venture, totaling $172.5 million,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9, 2019</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Floating Rate Capital Ltd. (“we,” “our,” “us” or the “Company”) will host a conference call at 10:00 a.m. (Eastern Time) on Thursday, May 9, 2019 to discuss its financial results. All interested parties are welcome to participate. You can access the conference call by dialing toll-free (800) 239-9838 approximately 5-10 minutes prior to the call. International callers should dial (929) 477-0448. All callers should reference PennantPark Floating Rate Capital Ltd. An archived replay of the call will be available through May 23, 2019 by calling toll-free (888) 203-1112. International callers please dial (719) 457-0820. For all phone replays, please reference conference ID #8852772.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pleased that our current run rate net investment income covers the dividend,” said Art Penn, Chairman and CEO. “Our earnings stream should continue to have a nice tailwind based on a gradual increase in our debt to equity ratio, while still maintaining a prudent debt profile.”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March 31, 2019, our portfolio totaled $961.5 million and consisted of $850.1 million of first lien secured debt (including $121.0 million in PSSL), $27.2 million of second lien secured debt and $84.2 million of preferred and common equity (including $51.5 million in PSSL). Our debt portfolio consisted of 99% variable-rate investments and 1% fixed-rate investments. As of March 31, 2019, we had four portfolio companies on non-accrual, representing 3.2% and 1.5% of our overall portfolio on a cost</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22"/>
          <w:szCs w:val="22"/>
          <w:color w:val="auto"/>
        </w:rPr>
        <w:t>and fair value basis, respectively. Overall, the portfolio had net unrealized depreciation of $26.0 million. Our overall portfolio consisted of 88 companies with an average investment size of $10.9 million, had a weighted average yield on debt investments of 9.1%, and was invested 88% in first lien secured debt (including 13% in PSSL), 3% in second lien secured debt and 9% in preferred and common equity (including 5% in PSSL). As of March 31, 2019, 97% of the investments held by PSSL were first lien secured debt.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2019, we invested $136.1 million in five new and 22 existing portfolio companies with a weighted average yield on debt investments of 8.7%. Sales and repayments of investments for the three months ended March 31, 2019 totaled $143.2 million. For the six months ended March 31, 2019, we invested $316.8 million in 14 new and 46 existing portfolio companies with a weighted average yield on debt investments of 8.6%. Sales and repayments of investments for the six months ended March 31, 2019 totaled $333.5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2018, we invested $138.5 million in six new and 17 existing portfolio companies with a weighted average yield on debt investments of 7.8%. Sales and repayments of investments for the three months ended March 31, 2018 totaled $46.6 million. For the six months ended March 31, 2018, we invested $315.3 million in 17 new and 28 existing portfolio companies with a weighted average yield on debt investments of 7.9%. Sales and repayments of investments for the six months ended March 31, 2018 totaled $195.7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2019, PSSL’s portfolio totaled $502.1 million, consisted of 43 companies with an average investment size of $11.7 million and had a weighted average yield on debt investments of 8.1%. As of September 30, 2018, PSSL’s portfolio totaled $425.4 million, consisted of 42 companies with an average investment size of $10.1 million and had a weighted average yield on debt investments of 7.8%.</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March 31, 2019, we invested $25.2 million (including $19.7 million purchased from the Company) in one new and three existing portfolio companies with a weighted average yield on debt investments of 8.0%. Sales and repayments of investments for the three months ended March 31, 2019 totaled $17.8 million. For the six months ended March 31, 2019, we invested $167.6 million in 10 new and 10 existing portfolio companies with a weighted average yield on debt investments of 8.1%. Sales and repayments of investments for the six months ended March 31, 2019 totaled $88.5 million.</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2018, we invested $79.9 million in six new and three existing portfolio companies with a weighted average yield on debt investments of 7.4%. Sales and repayments of investments for the three months ended March 31, 2018 totaled $6.7 million. For the six months ended March 31, 2018, we invested $127.7 million in 13 new and three existing portfolio companies with a weighted average yield on debt investments of 7.4%. Sales and repayments of investments for the six months ended March 31, 2018 totaled $7.7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six months ended March 31, 2019 was $23.0 million and $46.2 million, respectively, and was attributable to $21.0 million and $42.1 million from first lien secured debt and $2.0 million and $4.1 million from second lien secured debt and preferred equity, respectively. This compares to investment income for the three and six months ended March 31, 2018, which was $16.5 million and $31.3 million, respectively, and was attributable to $13.2 million and $26.8 million from first lien secured debt and $3.3 million and $4.5 million from second lien secured debt, subordinated debt and preferred and common equity, respectively. The increase in investment income compared to the same periods in the prior year was primarily due to the growth of our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three and six months ended March 31, 2019 totaled $11.2 million and $23.5 million, respectively. Base management fee for the same periods totaled $2.4 million and $4.9 million, incentive fee totaled $2.5 million (including $2.5 million on net investment income and zero accrued but not payable on realized gains) and $1.3 million (including $2.7 million on net investment income and $(1.4) million accrued but not payable on realized gains), debt related interest and expenses totaled $5.3 million (including less than $0.1 million in amendment costs on our multi-currency, senior secured revolving credit facility, or the Credit Facility) and $15.1 million (including $4.5 million in Credit Facility amendment costs) and general and administrative expenses totaled $1.0 million and $2.2 million, respectively. This compares to expenses for the three and six</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9"/>
          <w:szCs w:val="19"/>
          <w:color w:val="auto"/>
        </w:rPr>
        <w:t>months ended March 31, 2018, which totaled $7.1 million and $23.9 million, respectively. Base management fee for the same periods totaled $1.9 million and $3.8 million, incentive fee totaled $0.4 million (including $0.2 million on unrealized gains accrued but not payable) and $0.5 million (including $0.4 million on unrealized gains accrued but not payable), debt related interest and expenses totaled $3.5 million and $17.0 million (including $10.9 million in Credit Facility amendment and debt issuance costs 3.83% Series A notes due 2023, or the 2023 Notes), general and administrative expenses totaled $1.1 million and $2.2 million and provision for taxes totaled $0.2 million and $0.4 million, respectively. The increase in expenses for the three months ended March 31, 2019 compared to the same period in the prior year was primarily due to increase in management and incentive fees and debt related interest and expenses due to the growth of our portfolio in the current period. The decrease in expenses for the six months ended March 31, 2019 compared to the same period in the prior year was primarily due to the expenses incurred in connection with the debt issuance costs on the 2023 Notes in the prior period.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$11.8 million and $22.7 million, or $0.30 and $0.59 per share, for the three and six months ended March 31, 2019, respectively. Net investment income totaled $9.4 million and $7.5 million, or $0.24 and $0.20 per share, for the three and six months ended March 31, 2018, respectively. The increase in net investment income compared to the same periods in the prior year was primarily due to the growth of our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2019 totaled $143.2 million and $333.5 million, respectively, and net realized gains totaled $1.1 million and $2.0 million, respectively. Sales and repayments of investments for the three and six months ended March 31, 2018 totaled $46.6 million and $195.7 million, respectively, and net realized gains (losses) totaled $1.5 million and $(1.3)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six months ended March 31, 2019, we reported net change in unrealized depreciation on investments of $12.7 million and $25.1 million, respectively. For the three and six months ended March 31, 2018, we reported net change in unrealized (depreciation) appreciation on investments of $(0.6) million and $2.9 million, respectively. As of March 31, 2019 and September 30, 2018, our net unrealized depreciation on investments totaled $26.0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six months ended March 31, 2019, the Credit Facility and the 2023 Notes had a net change in unrealized appreciation of $5.6 million and $0.1 million, respectively. For the three and six months ended March 31, 2018, the Credit Facility and the 2023 Notes had a net change in unrealized depreciation of $5.3 million and $8.4 million, respectively. As of March 31, 2019 and September 30, 2018, the net unrealized depreciation on the Credit Facility and the 2023 Notes totaled $4.6 million and $4.7 million, respectively. The net change in net unrealized depreciation compared to the same period in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$(5.5) million and $(0.5) million, or $(0.14) and $(0.01) per share, respectively, for the three and six months ended March 31, 2019. This compares to a net change in net assets resulting from operations of $15.6 million and $17.5 million, or $0.40 and $0.46 per share, respectively, for the three and six months ended March 31, 2018. The decrease in the net change in net assets from operations compared to the same periods in the prior year was primarily due to depreciation of the portfolio in the current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six months ended March 31, 2019 and 2018, inclusive of the fee on the undrawn commitment of 0.375% on the Credit Facility, amendment costs and debt issuance costs, was 6.16% and 7.40%, respectively (excluding amendment and debt issuance costs, amounts were 5.08% and 3.91%,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March 31, 2019 and September 30, 2018, we had $352.3 million and $333.7 million of outstanding borrowings under the Credit Facility, respectively. The Credit Facility had a weighted average interest rate of 4.47% and 4.25%, exclusive of the fee on undrawn commitments as of March 31, 2019 and September 30, 2018, respectively. As of March 31, 2019 and September 30, 2018, we had $167.7 million and $71.3 million of unused borrowing capacity under the Credit Facility, respectively, subject to the regulatory restrictions.</w:t>
      </w:r>
    </w:p>
    <w:p>
      <w:pPr>
        <w:sectPr>
          <w:pgSz w:w="11900" w:h="16838" w:orient="portrait"/>
          <w:cols w:equalWidth="0" w:num="1">
            <w:col w:w="11240"/>
          </w:cols>
          <w:pgMar w:left="320" w:top="118" w:right="339" w:bottom="0" w:gutter="0" w:footer="0" w:header="0"/>
        </w:sectPr>
      </w:pPr>
    </w:p>
    <w:bookmarkStart w:id="6" w:name="page7"/>
    <w:bookmarkEnd w:id="6"/>
    <w:p>
      <w:pPr>
        <w:spacing w:after="0" w:line="2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2019 and September 30, 2018, we had cash equivalents of $33.7 million and $72.2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used cash of $35.6 million for the six months ended March 31, 2019, and our financing activities used cash of $3.5 million for the same period. Our operating activities used cash primarily for our investment activities and our financing activities used cash primarily for distributions paid to stockholders.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$111.7 million for the six months ended March 31, 2018, and our financing activities provided cash of $142.1 million for the same period. Our operating activities used cash primarily for our investment activities and our financing activities provided cash primarily from a follow-on equity offering and the issuance of the 2023 Notes, partially offset by net repayments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six months ended March 31, 2019, we declared distributions of $0.285 and $0.57 per share, respectively, for total distributions of $11.0 million and $22.1 million, respectively. For the same periods in the prior year, we declared distributions of $0.285 and $0.57 per share, respectively, for total distributions of $11.0 million and $21.5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22"/>
                <w:szCs w:val="22"/>
                <w:b w:val="1"/>
                <w:bCs w:val="1"/>
                <w:color w:val="auto"/>
                <w:w w:val="91"/>
              </w:rPr>
              <w:t>March 31, 2019</w:t>
            </w:r>
          </w:p>
        </w:tc>
        <w:tc>
          <w:tcPr>
            <w:tcW w:w="2020" w:type="dxa"/>
            <w:vAlign w:val="bottom"/>
            <w:gridSpan w:val="3"/>
          </w:tcPr>
          <w:p>
            <w:pPr>
              <w:jc w:val="right"/>
              <w:ind w:right="160"/>
              <w:spacing w:after="0"/>
              <w:rPr>
                <w:sz w:val="20"/>
                <w:szCs w:val="20"/>
                <w:color w:val="auto"/>
              </w:rPr>
            </w:pPr>
            <w:r>
              <w:rPr>
                <w:rFonts w:ascii="Arial" w:cs="Arial" w:eastAsia="Arial" w:hAnsi="Arial"/>
                <w:sz w:val="22"/>
                <w:szCs w:val="22"/>
                <w:b w:val="1"/>
                <w:bCs w:val="1"/>
                <w:color w:val="auto"/>
                <w:w w:val="89"/>
              </w:rPr>
              <w:t>September 30, 2018</w:t>
            </w:r>
          </w:p>
        </w:tc>
        <w:tc>
          <w:tcPr>
            <w:tcW w:w="0" w:type="dxa"/>
            <w:vAlign w:val="bottom"/>
          </w:tcPr>
          <w:p>
            <w:pPr>
              <w:spacing w:after="0"/>
              <w:rPr>
                <w:sz w:val="1"/>
                <w:szCs w:val="1"/>
                <w:color w:val="auto"/>
              </w:rPr>
            </w:pPr>
          </w:p>
        </w:tc>
      </w:tr>
      <w:tr>
        <w:trPr>
          <w:trHeight w:val="282"/>
        </w:trPr>
        <w:tc>
          <w:tcPr>
            <w:tcW w:w="71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4"/>
                <w:szCs w:val="24"/>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22"/>
                <w:szCs w:val="22"/>
                <w:b w:val="1"/>
                <w:bCs w:val="1"/>
                <w:color w:val="auto"/>
              </w:rPr>
              <w:t>(unaudited)</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160" w:type="dxa"/>
            <w:vAlign w:val="bottom"/>
            <w:vMerge w:val="continue"/>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1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60"/>
              <w:spacing w:after="0" w:line="243" w:lineRule="exact"/>
              <w:rPr>
                <w:sz w:val="20"/>
                <w:szCs w:val="20"/>
                <w:color w:val="auto"/>
              </w:rPr>
            </w:pPr>
            <w:r>
              <w:rPr>
                <w:rFonts w:ascii="Arial" w:cs="Arial" w:eastAsia="Arial" w:hAnsi="Arial"/>
                <w:sz w:val="22"/>
                <w:szCs w:val="22"/>
                <w:color w:val="auto"/>
              </w:rPr>
              <w:t>Non-controlled, non-affiliated investments (cost—$814,383,877 and</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260"/>
              <w:spacing w:after="0"/>
              <w:rPr>
                <w:sz w:val="20"/>
                <w:szCs w:val="20"/>
                <w:color w:val="auto"/>
              </w:rPr>
            </w:pPr>
            <w:r>
              <w:rPr>
                <w:rFonts w:ascii="Arial" w:cs="Arial" w:eastAsia="Arial" w:hAnsi="Arial"/>
                <w:sz w:val="22"/>
                <w:szCs w:val="22"/>
                <w:color w:val="auto"/>
              </w:rPr>
              <w:t>$856,893,017, respectively)</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tcPr>
          <w:p>
            <w:pPr>
              <w:jc w:val="right"/>
              <w:spacing w:after="0"/>
              <w:rPr>
                <w:sz w:val="20"/>
                <w:szCs w:val="20"/>
                <w:color w:val="auto"/>
              </w:rPr>
            </w:pPr>
            <w:r>
              <w:rPr>
                <w:rFonts w:ascii="Arial" w:cs="Arial" w:eastAsia="Arial" w:hAnsi="Arial"/>
                <w:sz w:val="22"/>
                <w:szCs w:val="22"/>
                <w:color w:val="auto"/>
              </w:rPr>
              <w:t>788,954,496</w:t>
            </w:r>
          </w:p>
        </w:tc>
        <w:tc>
          <w:tcPr>
            <w:tcW w:w="220" w:type="dxa"/>
            <w:vAlign w:val="bottom"/>
          </w:tcPr>
          <w:p>
            <w:pPr>
              <w:spacing w:after="0"/>
              <w:rPr>
                <w:sz w:val="23"/>
                <w:szCs w:val="23"/>
                <w:color w:val="auto"/>
              </w:rPr>
            </w:pP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854,753,064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60"/>
              <w:spacing w:after="0" w:line="243" w:lineRule="exact"/>
              <w:rPr>
                <w:sz w:val="20"/>
                <w:szCs w:val="20"/>
                <w:color w:val="auto"/>
              </w:rPr>
            </w:pPr>
            <w:r>
              <w:rPr>
                <w:rFonts w:ascii="Arial" w:cs="Arial" w:eastAsia="Arial" w:hAnsi="Arial"/>
                <w:sz w:val="22"/>
                <w:szCs w:val="22"/>
                <w:color w:val="auto"/>
                <w:w w:val="95"/>
              </w:rPr>
              <w:t>Controlled, affiliated investments (cost—$172,812,500 and $144,375,000,</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1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172,507,113</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145,860,229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260"/>
              <w:spacing w:after="0"/>
              <w:rPr>
                <w:sz w:val="20"/>
                <w:szCs w:val="20"/>
                <w:color w:val="auto"/>
              </w:rPr>
            </w:pPr>
            <w:r>
              <w:rPr>
                <w:rFonts w:ascii="Arial" w:cs="Arial" w:eastAsia="Arial" w:hAnsi="Arial"/>
                <w:sz w:val="22"/>
                <w:szCs w:val="22"/>
                <w:color w:val="auto"/>
                <w:w w:val="92"/>
              </w:rPr>
              <w:t>Total of investments (cost—$987,196,377 and $1,001,268,017, respectively)</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961,461,609</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1,000,613,293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w w:val="92"/>
              </w:rPr>
              <w:t>Cash and cash equivalents (cost—$33,800,646 and $72,231,801, respectively)</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33,742,035</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72,224,183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Interest receivable</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2,818,212</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2,813,808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13,945,000</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106,097</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792,069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1,012,072,953</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1,076,443,353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3,683,347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59,587,222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w w:val="95"/>
              </w:rPr>
              <w:t>Credit Facility payable (cost—$352,307,500 and $333,727,520, respectively)</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348,939,801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332,128,815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2023 Notes payable (cost—$138,579,858)</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137,360,355</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135,503,385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2,961,963</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2,638,504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2,418,706</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2,419,629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2,514,047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3,298,404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929,778</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1,342,479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498,807,997</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540,601,785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60" w:type="dxa"/>
            <w:vAlign w:val="bottom"/>
          </w:tcPr>
          <w:p>
            <w:pPr>
              <w:spacing w:after="0" w:line="243" w:lineRule="exact"/>
              <w:rPr>
                <w:sz w:val="20"/>
                <w:szCs w:val="20"/>
                <w:color w:val="auto"/>
              </w:rPr>
            </w:pPr>
            <w:r>
              <w:rPr>
                <w:rFonts w:ascii="Arial" w:cs="Arial" w:eastAsia="Arial" w:hAnsi="Arial"/>
                <w:sz w:val="22"/>
                <w:szCs w:val="22"/>
                <w:color w:val="auto"/>
              </w:rPr>
              <w:t>Common stock, 38,772,074 shares issued and outstanding</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38,772</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60" w:type="dxa"/>
            <w:vAlign w:val="bottom"/>
          </w:tcPr>
          <w:p>
            <w:pPr>
              <w:spacing w:after="0"/>
              <w:rPr>
                <w:sz w:val="23"/>
                <w:szCs w:val="23"/>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2"/>
                <w:szCs w:val="22"/>
                <w:color w:val="auto"/>
              </w:rPr>
              <w:t>(26,236,152)</w:t>
            </w:r>
          </w:p>
        </w:tc>
        <w:tc>
          <w:tcPr>
            <w:tcW w:w="400" w:type="dxa"/>
            <w:vAlign w:val="bottom"/>
          </w:tcPr>
          <w:p>
            <w:pPr>
              <w:spacing w:after="0"/>
              <w:rPr>
                <w:sz w:val="23"/>
                <w:szCs w:val="23"/>
                <w:color w:val="auto"/>
              </w:rPr>
            </w:pPr>
          </w:p>
        </w:tc>
        <w:tc>
          <w:tcPr>
            <w:tcW w:w="1620" w:type="dxa"/>
            <w:vAlign w:val="bottom"/>
            <w:gridSpan w:val="2"/>
          </w:tcPr>
          <w:p>
            <w:pPr>
              <w:jc w:val="right"/>
              <w:spacing w:after="0"/>
              <w:rPr>
                <w:sz w:val="20"/>
                <w:szCs w:val="20"/>
                <w:color w:val="auto"/>
              </w:rPr>
            </w:pPr>
            <w:r>
              <w:rPr>
                <w:rFonts w:ascii="Arial" w:cs="Arial" w:eastAsia="Arial" w:hAnsi="Arial"/>
                <w:sz w:val="22"/>
                <w:szCs w:val="22"/>
                <w:color w:val="auto"/>
              </w:rPr>
              <w:t>(3,659,540)</w:t>
            </w:r>
          </w:p>
        </w:tc>
        <w:tc>
          <w:tcPr>
            <w:tcW w:w="0" w:type="dxa"/>
            <w:vAlign w:val="bottom"/>
          </w:tcPr>
          <w:p>
            <w:pPr>
              <w:spacing w:after="0"/>
              <w:rPr>
                <w:sz w:val="1"/>
                <w:szCs w:val="1"/>
                <w:color w:val="auto"/>
              </w:rPr>
            </w:pP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513,264,956</w:t>
            </w:r>
          </w:p>
        </w:tc>
        <w:tc>
          <w:tcPr>
            <w:tcW w:w="22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535,841,568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1,012,072,953</w:t>
            </w:r>
          </w:p>
        </w:tc>
        <w:tc>
          <w:tcPr>
            <w:tcW w:w="22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1,076,443,353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8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13.24</w:t>
            </w: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9980" w:type="dxa"/>
            <w:vAlign w:val="bottom"/>
            <w:gridSpan w:val="13"/>
          </w:tcPr>
          <w:p>
            <w:pPr>
              <w:jc w:val="center"/>
              <w:ind w:left="1112"/>
              <w:spacing w:after="0"/>
              <w:rPr>
                <w:sz w:val="20"/>
                <w:szCs w:val="20"/>
                <w:color w:val="auto"/>
              </w:rPr>
            </w:pPr>
            <w:r>
              <w:rPr>
                <w:rFonts w:ascii="Arial" w:cs="Arial" w:eastAsia="Arial" w:hAnsi="Arial"/>
                <w:sz w:val="22"/>
                <w:szCs w:val="22"/>
                <w:b w:val="1"/>
                <w:bCs w:val="1"/>
                <w:color w:val="auto"/>
                <w:w w:val="98"/>
              </w:rPr>
              <w:t>PENNANTPARK FLOATING RATE CAPITAL LTD.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80" w:type="dxa"/>
            <w:vAlign w:val="bottom"/>
            <w:gridSpan w:val="7"/>
          </w:tcPr>
          <w:p>
            <w:pPr>
              <w:jc w:val="center"/>
              <w:ind w:left="273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160" w:type="dxa"/>
            <w:vAlign w:val="bottom"/>
            <w:gridSpan w:val="4"/>
          </w:tcPr>
          <w:p>
            <w:pPr>
              <w:jc w:val="center"/>
              <w:ind w:left="3932"/>
              <w:spacing w:after="0"/>
              <w:rPr>
                <w:sz w:val="20"/>
                <w:szCs w:val="20"/>
                <w:color w:val="auto"/>
              </w:rPr>
            </w:pPr>
            <w:r>
              <w:rPr>
                <w:rFonts w:ascii="Arial" w:cs="Arial" w:eastAsia="Arial" w:hAnsi="Arial"/>
                <w:sz w:val="22"/>
                <w:szCs w:val="22"/>
                <w:b w:val="1"/>
                <w:bCs w:val="1"/>
                <w:color w:val="auto"/>
                <w:w w:val="91"/>
              </w:rPr>
              <w:t>(Unaudited)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12"/>
              <w:spacing w:after="0"/>
              <w:rPr>
                <w:sz w:val="20"/>
                <w:szCs w:val="20"/>
                <w:color w:val="auto"/>
              </w:rPr>
            </w:pPr>
            <w:r>
              <w:rPr>
                <w:rFonts w:ascii="Arial" w:cs="Arial" w:eastAsia="Arial" w:hAnsi="Arial"/>
                <w:sz w:val="22"/>
                <w:szCs w:val="22"/>
                <w:b w:val="1"/>
                <w:bCs w:val="1"/>
                <w:color w:val="auto"/>
                <w:w w:val="90"/>
              </w:rPr>
              <w:t>Three Months Ended</w:t>
            </w:r>
          </w:p>
        </w:tc>
        <w:tc>
          <w:tcPr>
            <w:tcW w:w="200" w:type="dxa"/>
            <w:vAlign w:val="bottom"/>
          </w:tcPr>
          <w:p>
            <w:pPr>
              <w:spacing w:after="0"/>
              <w:rPr>
                <w:sz w:val="24"/>
                <w:szCs w:val="24"/>
                <w:color w:val="auto"/>
              </w:rPr>
            </w:pPr>
          </w:p>
        </w:tc>
        <w:tc>
          <w:tcPr>
            <w:tcW w:w="2620" w:type="dxa"/>
            <w:vAlign w:val="bottom"/>
            <w:gridSpan w:val="8"/>
          </w:tcPr>
          <w:p>
            <w:pPr>
              <w:jc w:val="center"/>
              <w:ind w:right="80"/>
              <w:spacing w:after="0"/>
              <w:rPr>
                <w:sz w:val="20"/>
                <w:szCs w:val="20"/>
                <w:color w:val="auto"/>
              </w:rPr>
            </w:pPr>
            <w:r>
              <w:rPr>
                <w:rFonts w:ascii="Arial" w:cs="Arial" w:eastAsia="Arial" w:hAnsi="Arial"/>
                <w:sz w:val="22"/>
                <w:szCs w:val="22"/>
                <w:b w:val="1"/>
                <w:bCs w:val="1"/>
                <w:color w:val="auto"/>
                <w:w w:val="90"/>
              </w:rPr>
              <w:t>Six Months Ended March</w:t>
            </w:r>
          </w:p>
        </w:tc>
        <w:tc>
          <w:tcPr>
            <w:tcW w:w="0" w:type="dxa"/>
            <w:vAlign w:val="bottom"/>
          </w:tcPr>
          <w:p>
            <w:pPr>
              <w:spacing w:after="0"/>
              <w:rPr>
                <w:sz w:val="1"/>
                <w:szCs w:val="1"/>
                <w:color w:val="auto"/>
              </w:rPr>
            </w:pPr>
          </w:p>
        </w:tc>
      </w:tr>
      <w:tr>
        <w:trPr>
          <w:trHeight w:val="282"/>
        </w:trPr>
        <w:tc>
          <w:tcPr>
            <w:tcW w:w="5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
              <w:spacing w:after="0"/>
              <w:rPr>
                <w:sz w:val="20"/>
                <w:szCs w:val="20"/>
                <w:color w:val="auto"/>
              </w:rPr>
            </w:pPr>
            <w:r>
              <w:rPr>
                <w:rFonts w:ascii="Arial" w:cs="Arial" w:eastAsia="Arial" w:hAnsi="Arial"/>
                <w:sz w:val="22"/>
                <w:szCs w:val="22"/>
                <w:b w:val="1"/>
                <w:bCs w:val="1"/>
                <w:color w:val="auto"/>
                <w:w w:val="92"/>
              </w:rPr>
              <w:t>March 31,</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22"/>
                <w:szCs w:val="22"/>
                <w:b w:val="1"/>
                <w:bCs w:val="1"/>
                <w:color w:val="auto"/>
                <w:w w:val="91"/>
              </w:rPr>
              <w:t>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84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22"/>
                <w:szCs w:val="22"/>
                <w:b w:val="1"/>
                <w:bCs w:val="1"/>
                <w:color w:val="auto"/>
                <w:w w:val="85"/>
              </w:rPr>
              <w:t>2019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8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16,825,167</w:t>
            </w:r>
          </w:p>
        </w:tc>
        <w:tc>
          <w:tcPr>
            <w:tcW w:w="1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14,639,839</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w w:val="94"/>
              </w:rPr>
              <w:t>34,995,165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28,507,259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1,390,690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262,878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2,011,879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696,058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3,214,482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898,103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6,032,527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1,433,863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700,000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3,150,000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8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23,005,339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16,500,820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4"/>
              </w:rPr>
              <w:t>46,189,571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31,337,180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2,418,706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1,929,703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4,917,472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3,751,766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2,514,047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375,101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1,321,638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523,111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5,316,180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3,477,374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w w:val="94"/>
              </w:rPr>
              <w:t>10,621,658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6,095,682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350,000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850,000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1,000,000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618,750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1,232,152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1,237,501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7"/>
              </w:rPr>
              <w:t>Expenses before amendment costs, debt issuance costs and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840" w:type="dxa"/>
            <w:vAlign w:val="bottom"/>
          </w:tcPr>
          <w:p>
            <w:pPr>
              <w:ind w:left="260"/>
              <w:spacing w:after="0"/>
              <w:rPr>
                <w:sz w:val="20"/>
                <w:szCs w:val="20"/>
                <w:color w:val="auto"/>
              </w:rPr>
            </w:pPr>
            <w:r>
              <w:rPr>
                <w:rFonts w:ascii="Arial" w:cs="Arial" w:eastAsia="Arial" w:hAnsi="Arial"/>
                <w:sz w:val="22"/>
                <w:szCs w:val="22"/>
                <w:b w:val="1"/>
                <w:bCs w:val="1"/>
                <w:color w:val="auto"/>
              </w:rPr>
              <w:t>provision for taxes</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11,215,010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6,900,928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w w:val="94"/>
              </w:rPr>
              <w:t>18,942,920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12,608,060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5,013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4,517,292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10,869,098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8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11,220,023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7,100,928</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94"/>
              </w:rPr>
              <w:t>23,460,212</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23,877,158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11,785,316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9,399,892</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4"/>
              </w:rPr>
              <w:t>22,729,359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7,460,022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22"/>
                <w:szCs w:val="22"/>
                <w:b w:val="1"/>
                <w:bCs w:val="1"/>
                <w:color w:val="auto"/>
                <w:w w:val="91"/>
              </w:rPr>
              <w:t>Realized and unrealized (loss) gain on investments and debt: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1,079,348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1,463,057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2,002,814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94"/>
              </w:rPr>
              <w:t>(1,323,494)</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1"/>
              </w:rPr>
              <w:t>(13,288,572)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w w:val="95"/>
              </w:rPr>
              <w:t>(1,013,160)</w:t>
            </w:r>
          </w:p>
        </w:tc>
        <w:tc>
          <w:tcPr>
            <w:tcW w:w="14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color w:val="auto"/>
                <w:w w:val="91"/>
              </w:rPr>
              <w:t>(23,330,111)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2,184,996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573,851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435,258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color w:val="auto"/>
              </w:rPr>
              <w:t>(1,790,617)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753,700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6"/>
              </w:rPr>
              <w:t>(5,621,668 )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5,304,713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22"/>
                <w:szCs w:val="22"/>
                <w:color w:val="auto"/>
              </w:rPr>
              <w:t>(87,975)</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8,433,318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5"/>
              </w:rPr>
              <w:t>Net change in unrealized (depreciation) appreciation 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84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87"/>
              </w:rPr>
              <w:t>(18,336,389 )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4,726,811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color w:val="auto"/>
                <w:w w:val="87"/>
              </w:rPr>
              <w:t>(25,208,703 )</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11,372,014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line="212" w:lineRule="exact"/>
              <w:rPr>
                <w:sz w:val="20"/>
                <w:szCs w:val="20"/>
                <w:color w:val="auto"/>
              </w:rPr>
            </w:pPr>
            <w:r>
              <w:rPr>
                <w:rFonts w:ascii="Arial" w:cs="Arial" w:eastAsia="Arial" w:hAnsi="Arial"/>
                <w:sz w:val="22"/>
                <w:szCs w:val="22"/>
                <w:b w:val="1"/>
                <w:bCs w:val="1"/>
                <w:color w:val="auto"/>
                <w:w w:val="91"/>
              </w:rPr>
              <w:t>Net realized and unrealized (loss) gain from investments and</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8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87"/>
              </w:rPr>
              <w:t>(17,257,041 )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6,189,868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color w:val="auto"/>
                <w:w w:val="87"/>
              </w:rPr>
              <w:t>(23,205,889 )</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10,048,520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840" w:type="dxa"/>
            <w:vAlign w:val="bottom"/>
          </w:tcPr>
          <w:p>
            <w:pPr>
              <w:spacing w:after="0"/>
              <w:rPr>
                <w:sz w:val="20"/>
                <w:szCs w:val="20"/>
                <w:color w:val="auto"/>
              </w:rPr>
            </w:pPr>
            <w:r>
              <w:rPr>
                <w:rFonts w:ascii="Arial" w:cs="Arial" w:eastAsia="Arial" w:hAnsi="Arial"/>
                <w:sz w:val="22"/>
                <w:szCs w:val="22"/>
                <w:b w:val="1"/>
                <w:bCs w:val="1"/>
                <w:color w:val="auto"/>
                <w:w w:val="88"/>
              </w:rPr>
              <w:t>Net (decrease)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(5,471,725</w:t>
            </w:r>
          </w:p>
        </w:tc>
        <w:tc>
          <w:tcPr>
            <w:tcW w:w="100" w:type="dxa"/>
            <w:vAlign w:val="bottom"/>
          </w:tcPr>
          <w:p>
            <w:pPr>
              <w:jc w:val="center"/>
              <w:spacing w:after="0"/>
              <w:rPr>
                <w:sz w:val="20"/>
                <w:szCs w:val="20"/>
                <w:color w:val="auto"/>
              </w:rPr>
            </w:pPr>
            <w:r>
              <w:rPr>
                <w:rFonts w:ascii="Arial" w:cs="Arial" w:eastAsia="Arial" w:hAnsi="Arial"/>
                <w:sz w:val="22"/>
                <w:szCs w:val="22"/>
                <w:color w:val="auto"/>
                <w:w w:val="81"/>
              </w:rPr>
              <w:t>)</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15,589,760</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4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2"/>
              </w:rPr>
              <w:t>(476,530</w:t>
            </w:r>
          </w:p>
        </w:tc>
        <w:tc>
          <w:tcPr>
            <w:tcW w:w="200" w:type="dxa"/>
            <w:vAlign w:val="bottom"/>
          </w:tcPr>
          <w:p>
            <w:pPr>
              <w:jc w:val="center"/>
              <w:spacing w:after="0"/>
              <w:rPr>
                <w:sz w:val="20"/>
                <w:szCs w:val="20"/>
                <w:color w:val="auto"/>
              </w:rPr>
            </w:pPr>
            <w:r>
              <w:rPr>
                <w:rFonts w:ascii="Arial" w:cs="Arial" w:eastAsia="Arial" w:hAnsi="Arial"/>
                <w:sz w:val="22"/>
                <w:szCs w:val="22"/>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17,508,542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line="242" w:lineRule="exact"/>
              <w:rPr>
                <w:sz w:val="20"/>
                <w:szCs w:val="20"/>
                <w:color w:val="auto"/>
              </w:rPr>
            </w:pPr>
            <w:r>
              <w:rPr>
                <w:rFonts w:ascii="Arial" w:cs="Arial" w:eastAsia="Arial" w:hAnsi="Arial"/>
                <w:sz w:val="22"/>
                <w:szCs w:val="22"/>
                <w:color w:val="auto"/>
                <w:w w:val="89"/>
              </w:rPr>
              <w:t>Net (decrease) increase in net assets resulting from operations per</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(0.14 )</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0.40</w:t>
            </w:r>
          </w:p>
        </w:tc>
        <w:tc>
          <w:tcPr>
            <w:tcW w:w="34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22"/>
                <w:szCs w:val="22"/>
                <w:color w:val="auto"/>
              </w:rPr>
              <w:t>(0.01 )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4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14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84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0.59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w:t>
      </w:r>
    </w:p>
    <w:p>
      <w:pPr>
        <w:sectPr>
          <w:pgSz w:w="11900" w:h="16838" w:orient="portrait"/>
          <w:cols w:equalWidth="0" w:num="1">
            <w:col w:w="11240"/>
          </w:cols>
          <w:pgMar w:left="320" w:top="111" w:right="339" w:bottom="0" w:gutter="0" w:footer="0" w:header="0"/>
        </w:sectPr>
      </w:pPr>
    </w:p>
    <w:bookmarkStart w:id="8" w:name="page9"/>
    <w:bookmarkEnd w:id="8"/>
    <w:p>
      <w:pPr>
        <w:jc w:val="both"/>
        <w:ind w:right="20"/>
        <w:spacing w:after="0" w:line="251" w:lineRule="auto"/>
        <w:rPr>
          <w:sz w:val="20"/>
          <w:szCs w:val="20"/>
          <w:color w:val="auto"/>
        </w:rPr>
      </w:pPr>
      <w:r>
        <w:rPr>
          <w:rFonts w:ascii="Arial" w:cs="Arial" w:eastAsia="Arial" w:hAnsi="Arial"/>
          <w:sz w:val="22"/>
          <w:szCs w:val="22"/>
          <w:color w:val="auto"/>
        </w:rPr>
        <w:t>herein. You should not place undue influence on such forward-looking statements as such statements speak only as of the date on which they are made.</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1"/>
          <w:szCs w:val="21"/>
          <w:color w:val="auto"/>
        </w:rPr>
        <w:t>Aviv Efrat</w:t>
      </w:r>
    </w:p>
    <w:p>
      <w:pPr>
        <w:ind w:left="1200"/>
        <w:spacing w:after="0" w:line="238" w:lineRule="auto"/>
        <w:rPr>
          <w:sz w:val="20"/>
          <w:szCs w:val="20"/>
          <w:color w:val="auto"/>
        </w:rPr>
      </w:pPr>
      <w:r>
        <w:rPr>
          <w:rFonts w:ascii="Arial" w:cs="Arial" w:eastAsia="Arial" w:hAnsi="Arial"/>
          <w:sz w:val="22"/>
          <w:szCs w:val="22"/>
          <w:color w:val="auto"/>
        </w:rPr>
        <w:t>PennantPark Floating Rate Capital Ltd.</w:t>
      </w:r>
    </w:p>
    <w:p>
      <w:pPr>
        <w:ind w:left="1200" w:right="8040" w:hanging="4"/>
        <w:spacing w:after="0" w:line="308" w:lineRule="auto"/>
        <w:tabs>
          <w:tab w:leader="none" w:pos="17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2020-05-05T12:05:11Z</dcterms:created>
  <dcterms:modified xsi:type="dcterms:W3CDTF">2020-05-05T12:05:11Z</dcterms:modified>
</cp:coreProperties>
</file>