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333-235532</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January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160020</wp:posOffset>
            </wp:positionV>
            <wp:extent cx="221996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996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4,000,000 Shares</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34" w:lineRule="exact"/>
        <w:rPr>
          <w:sz w:val="24"/>
          <w:szCs w:val="24"/>
          <w:color w:val="auto"/>
        </w:rPr>
      </w:pPr>
    </w:p>
    <w:p>
      <w:pPr>
        <w:ind w:right="120"/>
        <w:spacing w:after="0" w:line="290" w:lineRule="auto"/>
        <w:rPr>
          <w:sz w:val="20"/>
          <w:szCs w:val="20"/>
          <w:color w:val="auto"/>
        </w:rPr>
      </w:pPr>
      <w:r>
        <w:rPr>
          <w:rFonts w:ascii="Arial" w:cs="Arial" w:eastAsia="Arial" w:hAnsi="Arial"/>
          <w:sz w:val="16"/>
          <w:szCs w:val="16"/>
          <w:color w:val="auto"/>
        </w:rPr>
        <w:t>This is a public offering of common stock of PennantPark Floating Rate Capital Ltd. (“we”, “our” or “us”). We are a Maryland corporation and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while seeking to preserve capital. We seek to achieve our investment objectives by investing primarily in loans bearing variable rates of interest, or Floating Rate Loans, and other investments made to U.S. middle-market companies.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We are externally managed by PennantPark Investment Advisers, LLC. PennantPark Investment Administration, LLC provides the administrative services necessary for us to operate.</w:t>
      </w:r>
    </w:p>
    <w:p>
      <w:pPr>
        <w:spacing w:after="0" w:line="165" w:lineRule="exact"/>
        <w:rPr>
          <w:sz w:val="24"/>
          <w:szCs w:val="24"/>
          <w:color w:val="auto"/>
        </w:rPr>
      </w:pPr>
    </w:p>
    <w:p>
      <w:pPr>
        <w:ind w:right="200"/>
        <w:spacing w:after="0" w:line="311" w:lineRule="auto"/>
        <w:rPr>
          <w:sz w:val="20"/>
          <w:szCs w:val="20"/>
          <w:color w:val="auto"/>
        </w:rPr>
      </w:pPr>
      <w:r>
        <w:rPr>
          <w:rFonts w:ascii="Arial" w:cs="Arial" w:eastAsia="Arial" w:hAnsi="Arial"/>
          <w:sz w:val="16"/>
          <w:szCs w:val="16"/>
          <w:color w:val="auto"/>
        </w:rPr>
        <w:t>We are offering for sale 4,000,000 shares of our common stock at a price of $12.40 per share. Our common stock is traded on the New York Stock Exchange, or NYSE, and The Tel Aviv Stock Exchange, or TASE, under the symbol “PFLT”. The last reported closing price for our common stock on the NYSE on August 8, 2022 was $13.19 per share. The net asset value of our common stock on June 30, 2022 was $12.21 per share.</w:t>
      </w:r>
    </w:p>
    <w:p>
      <w:pPr>
        <w:spacing w:after="0" w:line="149" w:lineRule="exact"/>
        <w:rPr>
          <w:sz w:val="24"/>
          <w:szCs w:val="24"/>
          <w:color w:val="auto"/>
        </w:rPr>
      </w:pPr>
    </w:p>
    <w:p>
      <w:pPr>
        <w:ind w:right="40"/>
        <w:spacing w:after="0" w:line="289" w:lineRule="auto"/>
        <w:rPr>
          <w:sz w:val="20"/>
          <w:szCs w:val="20"/>
          <w:color w:val="auto"/>
        </w:rPr>
      </w:pPr>
      <w:r>
        <w:rPr>
          <w:rFonts w:ascii="Arial" w:cs="Arial" w:eastAsia="Arial" w:hAnsi="Arial"/>
          <w:sz w:val="16"/>
          <w:szCs w:val="16"/>
          <w:color w:val="auto"/>
        </w:rPr>
        <w:t xml:space="preserve">This prospectus supplement, the accompanying prospectus, any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any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1691 Michigan Avenue, Miami Beach, FL 33139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Except for the documents incorporated by reference into this prospectus supplement and the accompanying prospectus, the information on our website is not part of this prospectus supplement or the accompanying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162" w:lineRule="exact"/>
        <w:rPr>
          <w:sz w:val="24"/>
          <w:szCs w:val="24"/>
          <w:color w:val="auto"/>
        </w:rPr>
      </w:pPr>
    </w:p>
    <w:p>
      <w:pPr>
        <w:ind w:right="22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common stock involves a high degree of risk, including the risk of leverage. Before buying any shares of our common stock, you should read the discussion of the material risks of investing in us described in the section titled “Risk Factors” in our most recent Annual Report on </w:t>
      </w:r>
      <w:hyperlink r:id="rId9">
        <w:r>
          <w:rPr>
            <w:rFonts w:ascii="Arial" w:cs="Arial" w:eastAsia="Arial" w:hAnsi="Arial"/>
            <w:sz w:val="18"/>
            <w:szCs w:val="18"/>
            <w:b w:val="1"/>
            <w:bCs w:val="1"/>
            <w:u w:val="single" w:color="auto"/>
            <w:color w:val="0000EE"/>
          </w:rPr>
          <w:t>Form 10-K</w:t>
        </w:r>
      </w:hyperlink>
      <w:r>
        <w:rPr>
          <w:rFonts w:ascii="Arial" w:cs="Arial" w:eastAsia="Arial" w:hAnsi="Arial"/>
          <w:sz w:val="18"/>
          <w:szCs w:val="18"/>
          <w:b w:val="1"/>
          <w:bCs w:val="1"/>
          <w:color w:val="auto"/>
        </w:rPr>
        <w:t xml:space="preserve">, our most recent Quarterly Report on </w:t>
      </w:r>
      <w:hyperlink r:id="rId10">
        <w:r>
          <w:rPr>
            <w:rFonts w:ascii="Arial" w:cs="Arial" w:eastAsia="Arial" w:hAnsi="Arial"/>
            <w:sz w:val="18"/>
            <w:szCs w:val="18"/>
            <w:b w:val="1"/>
            <w:bCs w:val="1"/>
            <w:u w:val="single" w:color="auto"/>
            <w:color w:val="0000EE"/>
          </w:rPr>
          <w:t>Form 10-Q</w:t>
        </w:r>
      </w:hyperlink>
      <w:r>
        <w:rPr>
          <w:rFonts w:ascii="Arial" w:cs="Arial" w:eastAsia="Arial" w:hAnsi="Arial"/>
          <w:sz w:val="18"/>
          <w:szCs w:val="18"/>
          <w:b w:val="1"/>
          <w:bCs w:val="1"/>
          <w:color w:val="auto"/>
        </w:rPr>
        <w:t>, this prospectus supplement and the accompanying prospectus and under similar headings in other documents that are filed with the SEC on or after the date hereof and incorporated by reference into this prospectus supplement and the accompanying prospectus.</w:t>
      </w:r>
    </w:p>
    <w:p>
      <w:pPr>
        <w:spacing w:after="0" w:line="18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Shares of closed-end investment companies, including BDCs, frequently trade at a discount to their net asset value, or NAV. If our shares trade at a discount to our NAV, it may increase the risk of loss for purchasers in this offering.</w:t>
      </w:r>
    </w:p>
    <w:p>
      <w:pPr>
        <w:sectPr>
          <w:pgSz w:w="11900" w:h="16838" w:orient="portrait"/>
          <w:cols w:equalWidth="0" w:num="1">
            <w:col w:w="11020"/>
          </w:cols>
          <w:pgMar w:left="440" w:top="229" w:right="439" w:bottom="1440" w:gutter="0" w:footer="0" w:header="0"/>
        </w:sectPr>
      </w:pPr>
    </w:p>
    <w:bookmarkStart w:id="1" w:name="page2"/>
    <w:bookmarkEnd w:id="1"/>
    <w:p>
      <w:pPr>
        <w:ind w:left="4" w:right="4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198"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Per Share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12.400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49,600,000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Sales load (underwriting discounts and commissions)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0.372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1,488,000</w:t>
            </w:r>
          </w:p>
        </w:tc>
      </w:tr>
      <w:tr>
        <w:trPr>
          <w:trHeight w:val="216"/>
        </w:trPr>
        <w:tc>
          <w:tcPr>
            <w:tcW w:w="61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Proceeds to us (before expenses)</w:t>
            </w:r>
            <w:r>
              <w:rPr>
                <w:rFonts w:ascii="Arial" w:cs="Arial" w:eastAsia="Arial" w:hAnsi="Arial"/>
                <w:sz w:val="22"/>
                <w:szCs w:val="22"/>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12.028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48,112,000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estimated expenses of this offering are expected to be approximately $250,000.</w:t>
      </w:r>
    </w:p>
    <w:p>
      <w:pPr>
        <w:spacing w:after="0" w:line="225" w:lineRule="exact"/>
        <w:rPr>
          <w:sz w:val="20"/>
          <w:szCs w:val="20"/>
          <w:color w:val="auto"/>
        </w:rPr>
      </w:pPr>
    </w:p>
    <w:p>
      <w:pPr>
        <w:ind w:left="4" w:right="120" w:firstLine="440"/>
        <w:spacing w:after="0" w:line="311" w:lineRule="auto"/>
        <w:rPr>
          <w:sz w:val="20"/>
          <w:szCs w:val="20"/>
          <w:color w:val="auto"/>
        </w:rPr>
      </w:pPr>
      <w:r>
        <w:rPr>
          <w:rFonts w:ascii="Arial" w:cs="Arial" w:eastAsia="Arial" w:hAnsi="Arial"/>
          <w:sz w:val="16"/>
          <w:szCs w:val="16"/>
          <w:color w:val="auto"/>
        </w:rPr>
        <w:t>In addition, the underwriters may purchase up to an additional 600,000 shares of common stock at the public offering price, less the sales load payable by us, within 30 days from the date of this prospectus supplement. If the underwriters exercise this option in full, the total public offering price will be $57,040,000, the total sales load paid by us will be $1,711,200, and total proceeds to us, before expenses, will be $55,328,800.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198120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underwriters expect to deliver the shares on or about August 11, 2022.</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004"/>
          </w:cols>
          <w:pgMar w:left="436" w:top="297" w:right="459" w:bottom="1440" w:gutter="0" w:footer="0" w:header="0"/>
        </w:sectPr>
      </w:pPr>
    </w:p>
    <w:p>
      <w:pPr>
        <w:spacing w:after="0" w:line="253" w:lineRule="exact"/>
        <w:rPr>
          <w:sz w:val="20"/>
          <w:szCs w:val="20"/>
          <w:color w:val="auto"/>
        </w:rPr>
      </w:pPr>
    </w:p>
    <w:p>
      <w:pPr>
        <w:ind w:left="264"/>
        <w:spacing w:after="0"/>
        <w:rPr>
          <w:sz w:val="20"/>
          <w:szCs w:val="20"/>
          <w:color w:val="auto"/>
        </w:rPr>
      </w:pPr>
      <w:r>
        <w:rPr>
          <w:rFonts w:ascii="Arial" w:cs="Arial" w:eastAsia="Arial" w:hAnsi="Arial"/>
          <w:sz w:val="15"/>
          <w:szCs w:val="15"/>
          <w:b w:val="1"/>
          <w:bCs w:val="1"/>
          <w:color w:val="auto"/>
        </w:rPr>
        <w:t>Morgan Stanley</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J.P. Morgan</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Keefe, Bruyette &amp; Woods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RBC Capital Markets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Truist Securities</w:t>
      </w:r>
    </w:p>
    <w:p>
      <w:pPr>
        <w:spacing w:after="0" w:line="49" w:lineRule="exact"/>
        <w:rPr>
          <w:sz w:val="20"/>
          <w:szCs w:val="20"/>
          <w:color w:val="auto"/>
        </w:rPr>
      </w:pPr>
    </w:p>
    <w:p>
      <w:pPr>
        <w:sectPr>
          <w:pgSz w:w="11900" w:h="16838" w:orient="portrait"/>
          <w:cols w:equalWidth="0" w:num="6">
            <w:col w:w="1384" w:space="380"/>
            <w:col w:w="1900" w:space="620"/>
            <w:col w:w="840" w:space="680"/>
            <w:col w:w="1760" w:space="500"/>
            <w:col w:w="1520" w:space="300"/>
            <w:col w:w="1120"/>
          </w:cols>
          <w:pgMar w:left="436" w:top="297" w:right="459" w:bottom="1440" w:gutter="0" w:footer="0" w:header="0"/>
          <w:type w:val="continuous"/>
        </w:sectPr>
      </w:pPr>
    </w:p>
    <w:p>
      <w:pPr>
        <w:ind w:left="6444"/>
        <w:spacing w:after="0"/>
        <w:rPr>
          <w:sz w:val="20"/>
          <w:szCs w:val="20"/>
          <w:color w:val="auto"/>
        </w:rPr>
      </w:pPr>
      <w:r>
        <w:rPr>
          <w:rFonts w:ascii="Arial" w:cs="Arial" w:eastAsia="Arial" w:hAnsi="Arial"/>
          <w:sz w:val="14"/>
          <w:szCs w:val="14"/>
          <w:i w:val="1"/>
          <w:iCs w:val="1"/>
          <w:color w:val="auto"/>
        </w:rPr>
        <w:t>A Stifel Company</w:t>
      </w:r>
    </w:p>
    <w:p>
      <w:pPr>
        <w:sectPr>
          <w:pgSz w:w="11900" w:h="16838" w:orient="portrait"/>
          <w:cols w:equalWidth="0" w:num="1">
            <w:col w:w="11004"/>
          </w:cols>
          <w:pgMar w:left="436" w:top="297" w:right="459" w:bottom="1440" w:gutter="0" w:footer="0" w:header="0"/>
          <w:type w:val="continuous"/>
        </w:sectPr>
      </w:pPr>
    </w:p>
    <w:p>
      <w:pPr>
        <w:spacing w:after="0" w:line="263" w:lineRule="exact"/>
        <w:rPr>
          <w:sz w:val="20"/>
          <w:szCs w:val="20"/>
          <w:color w:val="auto"/>
        </w:rPr>
      </w:pPr>
    </w:p>
    <w:p>
      <w:pPr>
        <w:ind w:left="624"/>
        <w:spacing w:after="0"/>
        <w:rPr>
          <w:sz w:val="20"/>
          <w:szCs w:val="20"/>
          <w:color w:val="auto"/>
        </w:rPr>
      </w:pPr>
      <w:r>
        <w:rPr>
          <w:rFonts w:ascii="Arial" w:cs="Arial" w:eastAsia="Arial" w:hAnsi="Arial"/>
          <w:sz w:val="14"/>
          <w:szCs w:val="14"/>
          <w:b w:val="1"/>
          <w:bCs w:val="1"/>
          <w:color w:val="auto"/>
        </w:rPr>
        <w:t>Janney Montgomery Scott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1100"/>
        <w:spacing w:after="0"/>
        <w:rPr>
          <w:sz w:val="20"/>
          <w:szCs w:val="20"/>
          <w:color w:val="auto"/>
        </w:rPr>
      </w:pPr>
      <w:r>
        <w:rPr>
          <w:rFonts w:ascii="Arial" w:cs="Arial" w:eastAsia="Arial" w:hAnsi="Arial"/>
          <w:sz w:val="14"/>
          <w:szCs w:val="14"/>
          <w:i w:val="1"/>
          <w:iCs w:val="1"/>
          <w:color w:val="auto"/>
        </w:rPr>
        <w:t>Co-Managers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Ladenburg Thalmann</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Maxim Group LLC</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Comerica Securities</w:t>
      </w:r>
    </w:p>
    <w:p>
      <w:pPr>
        <w:spacing w:after="0" w:line="222" w:lineRule="exact"/>
        <w:rPr>
          <w:sz w:val="20"/>
          <w:szCs w:val="20"/>
          <w:color w:val="auto"/>
        </w:rPr>
      </w:pPr>
    </w:p>
    <w:p>
      <w:pPr>
        <w:sectPr>
          <w:pgSz w:w="11900" w:h="16838" w:orient="portrait"/>
          <w:cols w:equalWidth="0" w:num="4">
            <w:col w:w="3244" w:space="720"/>
            <w:col w:w="2000" w:space="500"/>
            <w:col w:w="1660" w:space="720"/>
            <w:col w:w="2160"/>
          </w:cols>
          <w:pgMar w:left="436" w:top="297" w:right="459" w:bottom="1440" w:gutter="0" w:footer="0" w:header="0"/>
          <w:type w:val="continuous"/>
        </w:sectPr>
      </w:pPr>
    </w:p>
    <w:p>
      <w:pPr>
        <w:spacing w:after="0" w:line="71" w:lineRule="exact"/>
        <w:rPr>
          <w:sz w:val="20"/>
          <w:szCs w:val="20"/>
          <w:color w:val="auto"/>
        </w:rPr>
      </w:pPr>
    </w:p>
    <w:p>
      <w:pPr>
        <w:jc w:val="center"/>
        <w:ind w:right="-3"/>
        <w:spacing w:after="0"/>
        <w:rPr>
          <w:sz w:val="20"/>
          <w:szCs w:val="20"/>
          <w:color w:val="auto"/>
        </w:rPr>
      </w:pPr>
      <w:r>
        <w:rPr>
          <w:rFonts w:ascii="Arial" w:cs="Arial" w:eastAsia="Arial" w:hAnsi="Arial"/>
          <w:sz w:val="15"/>
          <w:szCs w:val="15"/>
          <w:b w:val="1"/>
          <w:bCs w:val="1"/>
          <w:color w:val="auto"/>
        </w:rPr>
        <w:t>The date of this prospectus supplement is August 8, 2022.</w:t>
      </w:r>
    </w:p>
    <w:p>
      <w:pPr>
        <w:sectPr>
          <w:pgSz w:w="11900" w:h="16838" w:orient="portrait"/>
          <w:cols w:equalWidth="0" w:num="1">
            <w:col w:w="11004"/>
          </w:cols>
          <w:pgMar w:left="436" w:top="297" w:right="4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0" w:type="dxa"/>
            <w:vAlign w:val="bottom"/>
            <w:gridSpan w:val="5"/>
          </w:tcPr>
          <w:p>
            <w:pPr>
              <w:jc w:val="center"/>
              <w:ind w:right="2160"/>
              <w:spacing w:after="0"/>
              <w:rPr>
                <w:sz w:val="20"/>
                <w:szCs w:val="20"/>
                <w:color w:val="auto"/>
              </w:rPr>
            </w:pPr>
            <w:r>
              <w:rPr>
                <w:rFonts w:ascii="Arial" w:cs="Arial" w:eastAsia="Arial" w:hAnsi="Arial"/>
                <w:sz w:val="18"/>
                <w:szCs w:val="18"/>
                <w:b w:val="1"/>
                <w:bCs w:val="1"/>
                <w:color w:val="auto"/>
                <w:w w:val="98"/>
              </w:rPr>
              <w:t>TABLE OF CONTENTS</w:t>
            </w:r>
          </w:p>
        </w:tc>
        <w:tc>
          <w:tcPr>
            <w:tcW w:w="1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0" w:type="dxa"/>
            <w:vAlign w:val="bottom"/>
            <w:gridSpan w:val="6"/>
          </w:tcPr>
          <w:p>
            <w:pPr>
              <w:jc w:val="center"/>
              <w:ind w:right="1540"/>
              <w:spacing w:after="0"/>
              <w:rPr>
                <w:sz w:val="20"/>
                <w:szCs w:val="20"/>
                <w:color w:val="auto"/>
              </w:rPr>
            </w:pPr>
            <w:r>
              <w:rPr>
                <w:rFonts w:ascii="Arial" w:cs="Arial" w:eastAsia="Arial" w:hAnsi="Arial"/>
                <w:sz w:val="18"/>
                <w:szCs w:val="18"/>
                <w:b w:val="1"/>
                <w:bCs w:val="1"/>
                <w:color w:val="auto"/>
                <w:w w:val="97"/>
              </w:rPr>
              <w:t>PROSPECTUS SUPPLEMENT</w:t>
            </w: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gridSpan w:val="29"/>
          </w:tcPr>
          <w:p>
            <w:pPr>
              <w:spacing w:after="0"/>
              <w:rPr>
                <w:sz w:val="20"/>
                <w:szCs w:val="20"/>
                <w:color w:val="auto"/>
              </w:rPr>
            </w:pPr>
            <w:r>
              <w:rPr>
                <w:rFonts w:ascii="Arial" w:cs="Arial" w:eastAsia="Arial" w:hAnsi="Arial"/>
                <w:sz w:val="18"/>
                <w:szCs w:val="18"/>
                <w:color w:val="0000EE"/>
              </w:rPr>
              <w:t>TABLE OF CONTENTS</w:t>
            </w:r>
          </w:p>
        </w:tc>
        <w:tc>
          <w:tcPr>
            <w:tcW w:w="19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3"/>
              </w:rPr>
              <w:t>ABOUT THIS PROSPECTUS SUPPLEMENT</w:t>
            </w:r>
          </w:p>
        </w:tc>
        <w:tc>
          <w:tcPr>
            <w:tcW w:w="5240" w:type="dxa"/>
            <w:vAlign w:val="bottom"/>
            <w:gridSpan w:val="8"/>
          </w:tcPr>
          <w:p>
            <w:pPr>
              <w:spacing w:after="0"/>
              <w:rPr>
                <w:sz w:val="17"/>
                <w:szCs w:val="17"/>
                <w:color w:val="auto"/>
              </w:rPr>
            </w:pPr>
          </w:p>
        </w:tc>
        <w:tc>
          <w:tcPr>
            <w:tcW w:w="19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Arial" w:cs="Arial" w:eastAsia="Arial" w:hAnsi="Arial"/>
                <w:sz w:val="18"/>
                <w:szCs w:val="18"/>
                <w:color w:val="0000EE"/>
              </w:rPr>
              <w:t>PROSPECTUS SUPPLEMENT SUMMARY</w:t>
            </w:r>
          </w:p>
        </w:tc>
        <w:tc>
          <w:tcPr>
            <w:tcW w:w="19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3"/>
              </w:rPr>
              <w:t>THE OFFERING</w:t>
            </w:r>
          </w:p>
        </w:tc>
        <w:tc>
          <w:tcPr>
            <w:tcW w:w="2000" w:type="dxa"/>
            <w:vAlign w:val="bottom"/>
            <w:tcBorders>
              <w:top w:val="single" w:sz="8" w:color="0000EE"/>
            </w:tcBorders>
            <w:gridSpan w:val="17"/>
          </w:tcPr>
          <w:p>
            <w:pPr>
              <w:spacing w:after="0"/>
              <w:rPr>
                <w:sz w:val="17"/>
                <w:szCs w:val="17"/>
                <w:color w:val="auto"/>
              </w:rPr>
            </w:pPr>
          </w:p>
        </w:tc>
        <w:tc>
          <w:tcPr>
            <w:tcW w:w="5400" w:type="dxa"/>
            <w:vAlign w:val="bottom"/>
            <w:gridSpan w:val="10"/>
          </w:tcPr>
          <w:p>
            <w:pPr>
              <w:spacing w:after="0"/>
              <w:rPr>
                <w:sz w:val="17"/>
                <w:szCs w:val="17"/>
                <w:color w:val="auto"/>
              </w:rPr>
            </w:pPr>
          </w:p>
        </w:tc>
        <w:tc>
          <w:tcPr>
            <w:tcW w:w="19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w:t>
            </w:r>
          </w:p>
        </w:tc>
        <w:tc>
          <w:tcPr>
            <w:tcW w:w="0" w:type="dxa"/>
            <w:vAlign w:val="bottom"/>
          </w:tcPr>
          <w:p>
            <w:pPr>
              <w:spacing w:after="0"/>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Arial" w:cs="Arial" w:eastAsia="Arial" w:hAnsi="Arial"/>
                <w:sz w:val="18"/>
                <w:szCs w:val="18"/>
                <w:color w:val="0000EE"/>
              </w:rPr>
              <w:t>FEES AND EXPENSES</w:t>
            </w:r>
          </w:p>
        </w:tc>
        <w:tc>
          <w:tcPr>
            <w:tcW w:w="19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S-6</w:t>
            </w:r>
          </w:p>
        </w:tc>
        <w:tc>
          <w:tcPr>
            <w:tcW w:w="0" w:type="dxa"/>
            <w:vAlign w:val="bottom"/>
          </w:tcPr>
          <w:p>
            <w:pPr>
              <w:spacing w:after="0"/>
              <w:rPr>
                <w:sz w:val="1"/>
                <w:szCs w:val="1"/>
                <w:color w:val="auto"/>
              </w:rPr>
            </w:pPr>
          </w:p>
        </w:tc>
      </w:tr>
      <w:tr>
        <w:trPr>
          <w:trHeight w:val="196"/>
        </w:trPr>
        <w:tc>
          <w:tcPr>
            <w:tcW w:w="182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RISK FACTORS</w:t>
            </w:r>
          </w:p>
        </w:tc>
        <w:tc>
          <w:tcPr>
            <w:tcW w:w="6860" w:type="dxa"/>
            <w:vAlign w:val="bottom"/>
            <w:gridSpan w:val="21"/>
          </w:tcPr>
          <w:p>
            <w:pPr>
              <w:spacing w:after="0"/>
              <w:rPr>
                <w:sz w:val="17"/>
                <w:szCs w:val="17"/>
                <w:color w:val="auto"/>
              </w:rPr>
            </w:pPr>
          </w:p>
        </w:tc>
        <w:tc>
          <w:tcPr>
            <w:tcW w:w="19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S-9</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Arial" w:cs="Arial" w:eastAsia="Arial" w:hAnsi="Arial"/>
                <w:sz w:val="18"/>
                <w:szCs w:val="18"/>
                <w:color w:val="0000EE"/>
              </w:rPr>
              <w:t>FORWARD-LOOKING STATEMENTS</w:t>
            </w: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USE OF PROCEEDS</w:t>
            </w:r>
          </w:p>
        </w:tc>
        <w:tc>
          <w:tcPr>
            <w:tcW w:w="1340" w:type="dxa"/>
            <w:vAlign w:val="bottom"/>
            <w:tcBorders>
              <w:top w:val="single" w:sz="8" w:color="0000EE"/>
            </w:tcBorders>
            <w:gridSpan w:val="11"/>
          </w:tcPr>
          <w:p>
            <w:pPr>
              <w:spacing w:after="0"/>
              <w:rPr>
                <w:sz w:val="17"/>
                <w:szCs w:val="17"/>
                <w:color w:val="auto"/>
              </w:rPr>
            </w:pPr>
          </w:p>
        </w:tc>
        <w:tc>
          <w:tcPr>
            <w:tcW w:w="5760" w:type="dxa"/>
            <w:vAlign w:val="bottom"/>
            <w:gridSpan w:val="12"/>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Arial" w:cs="Arial" w:eastAsia="Arial" w:hAnsi="Arial"/>
                <w:sz w:val="18"/>
                <w:szCs w:val="18"/>
                <w:color w:val="0000EE"/>
              </w:rPr>
              <w:t>PRICE RANGE OF CAPITAL STOCK</w:t>
            </w: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9"/>
              </w:rPr>
              <w:t>CAPITALIZATION</w:t>
            </w:r>
          </w:p>
        </w:tc>
        <w:tc>
          <w:tcPr>
            <w:tcW w:w="1380" w:type="dxa"/>
            <w:vAlign w:val="bottom"/>
            <w:tcBorders>
              <w:top w:val="single" w:sz="8" w:color="0000EE"/>
            </w:tcBorders>
            <w:gridSpan w:val="10"/>
          </w:tcPr>
          <w:p>
            <w:pPr>
              <w:spacing w:after="0"/>
              <w:rPr>
                <w:sz w:val="17"/>
                <w:szCs w:val="17"/>
                <w:color w:val="auto"/>
              </w:rPr>
            </w:pPr>
          </w:p>
        </w:tc>
        <w:tc>
          <w:tcPr>
            <w:tcW w:w="5820" w:type="dxa"/>
            <w:vAlign w:val="bottom"/>
            <w:gridSpan w:val="14"/>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Arial" w:cs="Arial" w:eastAsia="Arial" w:hAnsi="Arial"/>
                <w:sz w:val="18"/>
                <w:szCs w:val="18"/>
                <w:color w:val="0000EE"/>
              </w:rPr>
              <w:t>UNDERWRITING</w:t>
            </w: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20"/>
        </w:trPr>
        <w:tc>
          <w:tcPr>
            <w:tcW w:w="1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LEGAL MATTERS</w:t>
            </w:r>
          </w:p>
        </w:tc>
        <w:tc>
          <w:tcPr>
            <w:tcW w:w="7220" w:type="dxa"/>
            <w:vAlign w:val="bottom"/>
            <w:gridSpan w:val="25"/>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S-20</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96"/>
              </w:rPr>
              <w:t>INDEPENDENT REGISTERED PUBLIC ACCOUNTING FIRM</w:t>
            </w:r>
          </w:p>
        </w:tc>
        <w:tc>
          <w:tcPr>
            <w:tcW w:w="3880" w:type="dxa"/>
            <w:vAlign w:val="bottom"/>
            <w:gridSpan w:val="3"/>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S-20</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6"/>
              </w:rPr>
              <w:t>INDEPENDENT AUDITOR</w:t>
            </w:r>
          </w:p>
        </w:tc>
        <w:tc>
          <w:tcPr>
            <w:tcW w:w="6580" w:type="dxa"/>
            <w:vAlign w:val="bottom"/>
            <w:gridSpan w:val="18"/>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S-20</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4"/>
              </w:rPr>
              <w:t>INCORPORATION BY REFERENCE</w:t>
            </w:r>
          </w:p>
        </w:tc>
        <w:tc>
          <w:tcPr>
            <w:tcW w:w="5860" w:type="dxa"/>
            <w:vAlign w:val="bottom"/>
            <w:gridSpan w:val="15"/>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S-21</w:t>
            </w:r>
          </w:p>
        </w:tc>
        <w:tc>
          <w:tcPr>
            <w:tcW w:w="0" w:type="dxa"/>
            <w:vAlign w:val="bottom"/>
          </w:tcPr>
          <w:p>
            <w:pPr>
              <w:spacing w:after="0"/>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Arial" w:cs="Arial" w:eastAsia="Arial" w:hAnsi="Arial"/>
                <w:sz w:val="18"/>
                <w:szCs w:val="18"/>
                <w:color w:val="0000EE"/>
              </w:rPr>
              <w:t>AVAILABLE INFORMATION</w:t>
            </w: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S-21</w:t>
            </w:r>
          </w:p>
        </w:tc>
        <w:tc>
          <w:tcPr>
            <w:tcW w:w="0" w:type="dxa"/>
            <w:vAlign w:val="bottom"/>
          </w:tcPr>
          <w:p>
            <w:pPr>
              <w:spacing w:after="0"/>
              <w:rPr>
                <w:sz w:val="1"/>
                <w:szCs w:val="1"/>
                <w:color w:val="auto"/>
              </w:rPr>
            </w:pPr>
          </w:p>
        </w:tc>
      </w:tr>
      <w:tr>
        <w:trPr>
          <w:trHeight w:val="669"/>
        </w:trPr>
        <w:tc>
          <w:tcPr>
            <w:tcW w:w="1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20" w:type="dxa"/>
            <w:vAlign w:val="bottom"/>
            <w:gridSpan w:val="2"/>
          </w:tcPr>
          <w:p>
            <w:pPr>
              <w:jc w:val="center"/>
              <w:ind w:right="2540"/>
              <w:spacing w:after="0"/>
              <w:rPr>
                <w:sz w:val="20"/>
                <w:szCs w:val="20"/>
                <w:color w:val="auto"/>
              </w:rPr>
            </w:pPr>
            <w:r>
              <w:rPr>
                <w:rFonts w:ascii="Arial" w:cs="Arial" w:eastAsia="Arial" w:hAnsi="Arial"/>
                <w:sz w:val="18"/>
                <w:szCs w:val="18"/>
                <w:b w:val="1"/>
                <w:bCs w:val="1"/>
                <w:color w:val="auto"/>
                <w:w w:val="96"/>
              </w:rPr>
              <w:t>PROSPECTUS</w:t>
            </w: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680" w:type="dxa"/>
            <w:vAlign w:val="bottom"/>
            <w:gridSpan w:val="29"/>
            <w:vMerge w:val="restart"/>
          </w:tcPr>
          <w:p>
            <w:pPr>
              <w:spacing w:after="0"/>
              <w:rPr>
                <w:sz w:val="20"/>
                <w:szCs w:val="20"/>
                <w:color w:val="auto"/>
              </w:rPr>
            </w:pPr>
            <w:r>
              <w:rPr>
                <w:rFonts w:ascii="Arial" w:cs="Arial" w:eastAsia="Arial" w:hAnsi="Arial"/>
                <w:sz w:val="18"/>
                <w:szCs w:val="18"/>
                <w:color w:val="0000EE"/>
              </w:rPr>
              <w:t>PROSPECTUS SUMMARY</w:t>
            </w:r>
          </w:p>
        </w:tc>
        <w:tc>
          <w:tcPr>
            <w:tcW w:w="19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8680" w:type="dxa"/>
            <w:vAlign w:val="bottom"/>
            <w:gridSpan w:val="29"/>
            <w:vMerge w:val="continue"/>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FEES AND EXPENSES</w:t>
            </w:r>
          </w:p>
        </w:tc>
        <w:tc>
          <w:tcPr>
            <w:tcW w:w="6600" w:type="dxa"/>
            <w:vAlign w:val="bottom"/>
            <w:gridSpan w:val="19"/>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82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RISK FACTORS</w:t>
            </w:r>
          </w:p>
        </w:tc>
        <w:tc>
          <w:tcPr>
            <w:tcW w:w="6860" w:type="dxa"/>
            <w:vAlign w:val="bottom"/>
            <w:gridSpan w:val="21"/>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Arial" w:cs="Arial" w:eastAsia="Arial" w:hAnsi="Arial"/>
                <w:sz w:val="18"/>
                <w:szCs w:val="18"/>
                <w:color w:val="0000EE"/>
              </w:rPr>
              <w:t>FORWARD-LOOKING STATEMENTS</w:t>
            </w: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USE OF PROCEEDS</w:t>
            </w:r>
          </w:p>
        </w:tc>
        <w:tc>
          <w:tcPr>
            <w:tcW w:w="1340" w:type="dxa"/>
            <w:vAlign w:val="bottom"/>
            <w:tcBorders>
              <w:top w:val="single" w:sz="8" w:color="0000EE"/>
            </w:tcBorders>
            <w:gridSpan w:val="11"/>
          </w:tcPr>
          <w:p>
            <w:pPr>
              <w:spacing w:after="0"/>
              <w:rPr>
                <w:sz w:val="17"/>
                <w:szCs w:val="17"/>
                <w:color w:val="auto"/>
              </w:rPr>
            </w:pPr>
          </w:p>
        </w:tc>
        <w:tc>
          <w:tcPr>
            <w:tcW w:w="5760" w:type="dxa"/>
            <w:vAlign w:val="bottom"/>
            <w:gridSpan w:val="12"/>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3"/>
              </w:rPr>
              <w:t>SENIOR SECURITIES</w:t>
            </w:r>
          </w:p>
        </w:tc>
        <w:tc>
          <w:tcPr>
            <w:tcW w:w="6960" w:type="dxa"/>
            <w:vAlign w:val="bottom"/>
            <w:gridSpan w:val="22"/>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4"/>
              </w:rPr>
              <w:t>PRICE RANGE OF COMMON STOCK</w:t>
            </w:r>
          </w:p>
        </w:tc>
        <w:tc>
          <w:tcPr>
            <w:tcW w:w="5720" w:type="dxa"/>
            <w:vAlign w:val="bottom"/>
            <w:gridSpan w:val="11"/>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0000EE"/>
            </w:tcBorders>
            <w:gridSpan w:val="25"/>
          </w:tcPr>
          <w:p>
            <w:pPr>
              <w:spacing w:after="0" w:line="196" w:lineRule="exact"/>
              <w:rPr>
                <w:sz w:val="20"/>
                <w:szCs w:val="20"/>
                <w:color w:val="auto"/>
              </w:rPr>
            </w:pPr>
            <w:r>
              <w:rPr>
                <w:rFonts w:ascii="Arial" w:cs="Arial" w:eastAsia="Arial" w:hAnsi="Arial"/>
                <w:sz w:val="18"/>
                <w:szCs w:val="18"/>
                <w:color w:val="0000EE"/>
                <w:w w:val="95"/>
              </w:rPr>
              <w:t>SALES OF COMMON STOCK BELOW NET ASSET VALUE</w:t>
            </w:r>
          </w:p>
        </w:tc>
        <w:tc>
          <w:tcPr>
            <w:tcW w:w="4040" w:type="dxa"/>
            <w:vAlign w:val="bottom"/>
            <w:gridSpan w:val="4"/>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6"/>
              </w:rPr>
              <w:t>DISTRIBUTIONS</w:t>
            </w:r>
          </w:p>
        </w:tc>
        <w:tc>
          <w:tcPr>
            <w:tcW w:w="7300" w:type="dxa"/>
            <w:vAlign w:val="bottom"/>
            <w:gridSpan w:val="26"/>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Arial" w:cs="Arial" w:eastAsia="Arial" w:hAnsi="Arial"/>
                <w:sz w:val="18"/>
                <w:szCs w:val="18"/>
                <w:color w:val="0000EE"/>
              </w:rPr>
              <w:t>PORTFOLIO COMPANIES</w:t>
            </w: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6"/>
              </w:rPr>
              <w:t>PORTFOLIO MANAGEMENT</w:t>
            </w:r>
          </w:p>
        </w:tc>
        <w:tc>
          <w:tcPr>
            <w:tcW w:w="6360" w:type="dxa"/>
            <w:vAlign w:val="bottom"/>
            <w:gridSpan w:val="16"/>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Arial" w:cs="Arial" w:eastAsia="Arial" w:hAnsi="Arial"/>
                <w:sz w:val="18"/>
                <w:szCs w:val="18"/>
                <w:color w:val="0000EE"/>
              </w:rPr>
              <w:t>DETERMINATION OF NET ASSET VALUE</w:t>
            </w: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336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6"/>
              </w:rPr>
              <w:t>DESCRIPTION OF OUR CAPITAL STOCK</w:t>
            </w:r>
          </w:p>
        </w:tc>
        <w:tc>
          <w:tcPr>
            <w:tcW w:w="5320" w:type="dxa"/>
            <w:vAlign w:val="bottom"/>
            <w:gridSpan w:val="9"/>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Arial" w:cs="Arial" w:eastAsia="Arial" w:hAnsi="Arial"/>
                <w:sz w:val="18"/>
                <w:szCs w:val="18"/>
                <w:color w:val="0000EE"/>
              </w:rPr>
              <w:t>DESCRIPTION OF OUR PREFERRED STOCK</w:t>
            </w: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DESCRIPTION OF OUR WARRANTS</w:t>
            </w:r>
          </w:p>
        </w:tc>
        <w:tc>
          <w:tcPr>
            <w:tcW w:w="5120" w:type="dxa"/>
            <w:vAlign w:val="bottom"/>
            <w:gridSpan w:val="7"/>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Arial" w:cs="Arial" w:eastAsia="Arial" w:hAnsi="Arial"/>
                <w:sz w:val="18"/>
                <w:szCs w:val="18"/>
                <w:color w:val="0000EE"/>
              </w:rPr>
              <w:t>DESCRIPTION OF OUR SUBSCRIPTION RIGHTS</w:t>
            </w: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3"/>
          </w:tcPr>
          <w:p>
            <w:pPr>
              <w:spacing w:after="0" w:line="196" w:lineRule="exact"/>
              <w:rPr>
                <w:sz w:val="20"/>
                <w:szCs w:val="20"/>
                <w:color w:val="auto"/>
              </w:rPr>
            </w:pPr>
            <w:r>
              <w:rPr>
                <w:rFonts w:ascii="Arial" w:cs="Arial" w:eastAsia="Arial" w:hAnsi="Arial"/>
                <w:sz w:val="18"/>
                <w:szCs w:val="18"/>
                <w:color w:val="0000EE"/>
              </w:rPr>
              <w:t>DESCRIPTION OF OUR DEBT SECURITIES</w:t>
            </w:r>
          </w:p>
        </w:tc>
        <w:tc>
          <w:tcPr>
            <w:tcW w:w="4800" w:type="dxa"/>
            <w:vAlign w:val="bottom"/>
            <w:gridSpan w:val="6"/>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180" w:type="dxa"/>
            <w:vAlign w:val="bottom"/>
            <w:gridSpan w:val="9"/>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6"/>
              </w:rPr>
              <w:t>BROKERAGE ALLOCATIONS AND OTHER PRACTICES</w:t>
            </w:r>
          </w:p>
        </w:tc>
        <w:tc>
          <w:tcPr>
            <w:tcW w:w="4200" w:type="dxa"/>
            <w:vAlign w:val="bottom"/>
            <w:gridSpan w:val="5"/>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Arial" w:cs="Arial" w:eastAsia="Arial" w:hAnsi="Arial"/>
                <w:sz w:val="18"/>
                <w:szCs w:val="18"/>
                <w:color w:val="0000EE"/>
              </w:rPr>
              <w:t>MATERIAL U.S. FEDERAL INCOME TAX CONSIDERATIONS</w:t>
            </w: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860" w:type="dxa"/>
            <w:vAlign w:val="bottom"/>
            <w:tcBorders>
              <w:top w:val="single" w:sz="8" w:color="0000EE"/>
            </w:tcBorders>
            <w:gridSpan w:val="27"/>
          </w:tcPr>
          <w:p>
            <w:pPr>
              <w:spacing w:after="0" w:line="196" w:lineRule="exact"/>
              <w:rPr>
                <w:sz w:val="20"/>
                <w:szCs w:val="20"/>
                <w:color w:val="auto"/>
              </w:rPr>
            </w:pPr>
            <w:r>
              <w:rPr>
                <w:rFonts w:ascii="Arial" w:cs="Arial" w:eastAsia="Arial" w:hAnsi="Arial"/>
                <w:sz w:val="18"/>
                <w:szCs w:val="18"/>
                <w:color w:val="0000EE"/>
              </w:rPr>
              <w:t>PLAN OF DISTRIBUTION</w:t>
            </w:r>
          </w:p>
        </w:tc>
        <w:tc>
          <w:tcPr>
            <w:tcW w:w="3820" w:type="dxa"/>
            <w:vAlign w:val="bottom"/>
            <w:gridSpan w:val="2"/>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80" w:type="dxa"/>
            <w:vAlign w:val="bottom"/>
            <w:gridSpan w:val="16"/>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tcBorders>
              <w:bottom w:val="single" w:sz="8" w:color="0000EE"/>
            </w:tcBorders>
            <w:gridSpan w:val="28"/>
          </w:tcPr>
          <w:p>
            <w:pPr>
              <w:spacing w:after="0" w:line="196" w:lineRule="exact"/>
              <w:rPr>
                <w:sz w:val="20"/>
                <w:szCs w:val="20"/>
                <w:color w:val="auto"/>
              </w:rPr>
            </w:pPr>
            <w:r>
              <w:rPr>
                <w:rFonts w:ascii="Arial" w:cs="Arial" w:eastAsia="Arial" w:hAnsi="Arial"/>
                <w:sz w:val="18"/>
                <w:szCs w:val="18"/>
                <w:color w:val="0000EE"/>
                <w:w w:val="96"/>
              </w:rPr>
              <w:t>SUB-ADMINISTRATOR, CUSTODIAN, TRANSFER AGENT AND TRUSTEE</w:t>
            </w:r>
          </w:p>
        </w:tc>
        <w:tc>
          <w:tcPr>
            <w:tcW w:w="2740" w:type="dxa"/>
            <w:vAlign w:val="bottom"/>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LEGAL MATTERS</w:t>
            </w:r>
          </w:p>
        </w:tc>
        <w:tc>
          <w:tcPr>
            <w:tcW w:w="7220" w:type="dxa"/>
            <w:vAlign w:val="bottom"/>
            <w:gridSpan w:val="25"/>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96"/>
              </w:rPr>
              <w:t>INDEPENDENT REGISTERED PUBLIC ACCOUNTING FIRM</w:t>
            </w:r>
          </w:p>
        </w:tc>
        <w:tc>
          <w:tcPr>
            <w:tcW w:w="3880" w:type="dxa"/>
            <w:vAlign w:val="bottom"/>
            <w:gridSpan w:val="3"/>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4"/>
              </w:rPr>
              <w:t>INCORPORATION BY REFERENCE</w:t>
            </w:r>
          </w:p>
        </w:tc>
        <w:tc>
          <w:tcPr>
            <w:tcW w:w="5860" w:type="dxa"/>
            <w:vAlign w:val="bottom"/>
            <w:gridSpan w:val="15"/>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Arial" w:cs="Arial" w:eastAsia="Arial" w:hAnsi="Arial"/>
                <w:sz w:val="18"/>
                <w:szCs w:val="18"/>
                <w:color w:val="0000EE"/>
              </w:rPr>
              <w:t>AVAILABLE INFORMATION</w:t>
            </w:r>
          </w:p>
        </w:tc>
        <w:tc>
          <w:tcPr>
            <w:tcW w:w="23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97" w:right="49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ABOUT THIS PROSPECTUS SUPPLEMENT</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document is in two parts. The first part is this prospectus supplement, which describes specific details regarding the terms of this offering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Generally, when we refer to this “prospectus”, we are referring to both this prospectus supplement and the accompanying prospectus combined, together with any free writing prospectus that we have authorized for use in connection with this offering or any exhibits and documents incorporated by reference. Please carefully read this prospectus supplement and the accompanying prospectus together with any free writing prospectus that we have authorized for use in connection with this offering and any exhibits and documents incorporated by reference before you make an investment decision.</w:t>
      </w:r>
    </w:p>
    <w:p>
      <w:pPr>
        <w:spacing w:after="0" w:line="178"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auto"/>
        </w:rPr>
        <w:t>YOU SHOULD RELY ONLY ON THE INFORMATION CONTAINED IN THIS PROSPECTUS SUPPLEMENT, INCLUDING ANY DOCUMENTS WE INCORPORATE BY REFERENCE HEREIN, THE ACCOMPANYING PROSPECTUS AND ANY FREE WRITING PROSPECTUS PREPARED BY OR ON BEHALF OF US THAT RELATES TO THIS OFFERING, INCLUDING THE DOCUMENTS WE INCORPORATE BY REFERENCE THEREIN. NEITHER WE NOR ANY UNDERWRITER HAS AUTHORIZED ANY OTHER PERSON TO PROVIDE YOU WITH DIFFERENT OR ADDITIONAL INFORMATION OR TO MAKE REPRESENTATIONS AS TO MATTERS NOT STATED IN THIS PROSPECTUS SUPPLEMENT, THE ACCOMPANYING PROSPECTUS OR IN ANY FREE WRITING PROSPECTUS PREPARED BY OR ON BEHALF OF US THAT RELATES TO THIS OFFERING. WE TAKE NO RESPONSIBILITY FOR, AND CAN PROVIDE NO ASSURANCE AS TO THE RELIABILITY OF, ANY OTHER INFORMATION THAT OTHERS MAY GIVE YOU. IF ANYONE PROVIDES YOU WITH DIFFERENT OR ADDITIONAL INFORMATION, YOU SHOULD NOT RELY ON IT. WE ARE NOT, AND THE UNDERWRITERS ARE NOT, MAKING AN OFFER TO SELL SHARES OF OUR COMMON STOCK IN ANY JURISDICTION WHERE THE OFFER OR SALE IS NOT PERMITTED. YOU SHOULD ASSUME THAT THE INFORMATION APPEARING IN THIS PROSPECTUS SUPPLEMENT, INCLUDING THE DOCUMENTS WE INCORPORATE BY REFERENCE HEREIN, THE ACCOMPANYING PROSPECTUS AND ANY FREE WRITING PROSPECTUS, INCLUDING THE DOCUMENTS WE INCORPORATE BY REFERENCE THEREIN, ARE ACCURATE ONLY AS OF THEIR RESPECTIVE DATE, REGARDLESS OF THE TIME OF DELIVERY OF THIS PROSPECTUS SUPPLEMENT, THE ACCOMPANYING PROSPECTUS, ANY FREE WRITING PROSPECTUS OR ANY SALES OF SHARES OF OUR COMMON STOCK. OUR BUSINESS, FINANCIAL CONDITION, RESULTS OF OPERATIONS AND PROSPECTS MAY HAVE CHANGED SINCE THOSE DATES.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97" w:right="499" w:bottom="1440" w:gutter="0" w:footer="0" w:header="0"/>
        </w:sectPr>
      </w:pPr>
    </w:p>
    <w:bookmarkStart w:id="4" w:name="page5"/>
    <w:bookmarkEnd w:id="4"/>
    <w:p>
      <w:pPr>
        <w:jc w:val="center"/>
        <w:ind w:right="-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831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74865" cy="5831205"/>
                    </a:xfrm>
                    <a:prstGeom prst="rect">
                      <a:avLst/>
                    </a:prstGeom>
                    <a:noFill/>
                  </pic:spPr>
                </pic:pic>
              </a:graphicData>
            </a:graphic>
          </wp:anchor>
        </w:drawing>
        <w:t>PROSPECTUS SUPPLEMENT SUMMARY</w:t>
      </w:r>
    </w:p>
    <w:p>
      <w:pPr>
        <w:spacing w:after="0" w:line="229" w:lineRule="exact"/>
        <w:rPr>
          <w:sz w:val="20"/>
          <w:szCs w:val="20"/>
          <w:color w:val="auto"/>
        </w:rPr>
      </w:pPr>
    </w:p>
    <w:p>
      <w:pPr>
        <w:ind w:left="2"/>
        <w:spacing w:after="0" w:line="270" w:lineRule="auto"/>
        <w:rPr>
          <w:sz w:val="20"/>
          <w:szCs w:val="20"/>
          <w:color w:val="auto"/>
        </w:rPr>
      </w:pPr>
      <w:r>
        <w:rPr>
          <w:rFonts w:ascii="Arial" w:cs="Arial" w:eastAsia="Arial" w:hAnsi="Arial"/>
          <w:sz w:val="17"/>
          <w:szCs w:val="17"/>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us and our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the section titled “Risk Factors” in our most recent Annual Report on Form 10-K, our most recent Quarterly Report on Form 10-Q and elsewhere in this prospectus supplement and the accompanying prospectus. You should read carefully the more detailed information set forth under “Risk Factors” and the other information included in this prospectus supplement and accompanying prospectus.</w:t>
      </w:r>
    </w:p>
    <w:p>
      <w:pPr>
        <w:spacing w:after="0" w:line="181" w:lineRule="exact"/>
        <w:rPr>
          <w:sz w:val="20"/>
          <w:szCs w:val="20"/>
          <w:color w:val="auto"/>
        </w:rPr>
      </w:pPr>
    </w:p>
    <w:p>
      <w:pPr>
        <w:ind w:left="2" w:right="40"/>
        <w:spacing w:after="0" w:line="283" w:lineRule="auto"/>
        <w:rPr>
          <w:sz w:val="20"/>
          <w:szCs w:val="20"/>
          <w:color w:val="auto"/>
        </w:rPr>
      </w:pPr>
      <w:r>
        <w:rPr>
          <w:rFonts w:ascii="Arial" w:cs="Arial" w:eastAsia="Arial" w:hAnsi="Arial"/>
          <w:sz w:val="16"/>
          <w:szCs w:val="16"/>
          <w:i w:val="1"/>
          <w:iCs w:val="1"/>
          <w:color w:val="auto"/>
        </w:rPr>
        <w:t>In this prospectus supplement and the accompanying prospectus, except where the context suggests otherwise, the terms “Company,” “we,” “our” or “us” refer to PennantPark Floating Rate Capital Ltd. and its wholly-owned consolidated subsidiaries; “Funding I” refers to PennantPark Floating Rate Funding I, LLC; “PSSL” refers to PennantPark Senior Secured Loan Fund I LLC, an unconsolidated joint venture; “PTSF” refers to PennantPark-TSO Senior Loan Fund, LP, an unconsolidated limited partnership; “PennantPark Investment Advisers” or “Investment Adviser” refer to PennantPark Investment Advisers, LLC; “Administrator” refers to PennantPark Investment Administration, LLC; “2023 Notes” refers to our 4.3% Series A notes due 2023; “2026 Notes” refers to our 4.25% Notes due 2026; “1940 Act” refers to the Investment Company Act of 1940, as amended; “Code” refers to the Internal Revenue Code of 1986, as amended; “RIC” refers to a regulated investment company under the Code; “BDC” refers to a business development company under the 1940 Act; “Credit Facility” refers to our multi-currency senior secured revolving credit facility, as amended from time to time, with Truist Bank and other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w:t>
      </w:r>
    </w:p>
    <w:p>
      <w:pPr>
        <w:spacing w:after="0" w:line="1" w:lineRule="exact"/>
        <w:rPr>
          <w:sz w:val="20"/>
          <w:szCs w:val="20"/>
          <w:color w:val="auto"/>
        </w:rPr>
      </w:pPr>
    </w:p>
    <w:p>
      <w:pPr>
        <w:ind w:left="2" w:hanging="2"/>
        <w:spacing w:after="0" w:line="255" w:lineRule="auto"/>
        <w:tabs>
          <w:tab w:leader="none" w:pos="266"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borrowing of the Class A-1 Senior Secured Floating Rate Notes due 2031 by the Securitization Issuers in connection with the Debt Securitization; and “Depositor” refers to PennantPark CLO I Depositor, LLC. References to our portfolio, our investments, the Credit Facility, and our business include investments we make through our subsidiaries.</w:t>
      </w:r>
    </w:p>
    <w:p>
      <w:pPr>
        <w:spacing w:after="0" w:line="29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left="2" w:right="240"/>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46" w:lineRule="exact"/>
        <w:rPr>
          <w:sz w:val="20"/>
          <w:szCs w:val="20"/>
          <w:color w:val="auto"/>
        </w:rPr>
      </w:pPr>
    </w:p>
    <w:p>
      <w:pPr>
        <w:ind w:left="2" w:right="220"/>
        <w:spacing w:after="0" w:line="275"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w:t>
      </w:r>
    </w:p>
    <w:p>
      <w:pPr>
        <w:spacing w:after="0" w:line="284"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642"/>
          </w:cols>
          <w:pgMar w:left="618" w:top="486" w:right="639" w:bottom="1440" w:gutter="0" w:footer="0" w:header="0"/>
        </w:sectPr>
      </w:pPr>
    </w:p>
    <w:bookmarkStart w:id="5" w:name="page6"/>
    <w:bookmarkEnd w:id="5"/>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831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74865" cy="5831205"/>
                    </a:xfrm>
                    <a:prstGeom prst="rect">
                      <a:avLst/>
                    </a:prstGeom>
                    <a:noFill/>
                  </pic:spPr>
                </pic:pic>
              </a:graphicData>
            </a:graphic>
          </wp:anchor>
        </w:drawing>
        <w:t>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Under normal market conditions, we generally expect that at least 80% of the value of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entered into an investment advisory management agreement, or the Investment Management Agreement, with the Investment Adviser, an external adviser that manages our day-to-day operation.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or the Administration Agreement.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 Our board of directors, a majority of whom are independent of us, provides overall supervision of our activities, and the Investment Adviser supervises our day-to-day activities.</w:t>
      </w:r>
    </w:p>
    <w:p>
      <w:pPr>
        <w:spacing w:after="0" w:line="18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Funding I, our wholly-owned subsidiary and a special purpose entity, was organized in Delaware as a limited liability company in May 2011. On August 12, 2021, Funding I, as borrower, entered into the Credit Facility, which provides the ability for Funding I to borrow up to $300 million. The Credit Facility is secured by all of the assets of Funding I.</w:t>
      </w:r>
    </w:p>
    <w:p>
      <w:pPr>
        <w:spacing w:after="0" w:line="18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580"/>
          </w:cols>
          <w:pgMar w:left="620" w:top="490" w:right="6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8025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74865" cy="4802505"/>
                    </a:xfrm>
                    <a:prstGeom prst="rect">
                      <a:avLst/>
                    </a:prstGeom>
                    <a:noFill/>
                  </pic:spPr>
                </pic:pic>
              </a:graphicData>
            </a:graphic>
          </wp:anchor>
        </w:drawing>
        <w:t>Our Investment Adviser and Administrator</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w:t>
      </w:r>
    </w:p>
    <w:p>
      <w:pPr>
        <w:spacing w:after="0" w:line="1"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$16.6 billion in 623 companies with more than 200 different financial sponsors through its managed funds, which includes investments by the Company totaling $4.9 billion in 447 companies.</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w:t>
      </w:r>
    </w:p>
    <w:p>
      <w:pPr>
        <w:spacing w:after="0" w:line="19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Factors—Risks Relating to our Business and Structure—There are significant potential conflicts of interest which could impact our</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 returns</w:t>
      </w:r>
      <w:r>
        <w:rPr>
          <w:rFonts w:ascii="Arial" w:cs="Arial" w:eastAsia="Arial" w:hAnsi="Arial"/>
          <w:sz w:val="18"/>
          <w:szCs w:val="18"/>
          <w:color w:val="auto"/>
        </w:rPr>
        <w:t>” in our most recent Annual Report on Form 10-K for more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Our administrative and principal executive offices are located at 1691 Michigan Avenue, Miami Beach, FL 33139. Our common stock is quoted on the NYSE and the TASE under the symbol “PFLT.”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Except for the documents incorporated by reference into this prospectus supplement and the accompanying prospectus,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on our website is not part of this prospectus supplement or the accompanying prospectus. We file periodic reports, proxy statements and other information with the SEC and make such reports available on our website free of charge as soon as reasonably practicable. In addition, the SEC maintains an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that contains reports, proxy and information statements, and other information regarding issuers that file electronically with the SEC.</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640"/>
          </w:cols>
          <w:pgMar w:left="620" w:top="486" w:right="6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OFFERING</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section outlines the specific legal and financial terms of this offering. You should read this section together with the more general description of our common stock in the accompanying prospectus under the heading “Description of Our Capital Stock” before investing in our common stock.</w:t>
      </w:r>
    </w:p>
    <w:p>
      <w:pPr>
        <w:sectPr>
          <w:pgSz w:w="11900" w:h="16838" w:orient="portrait"/>
          <w:cols w:equalWidth="0" w:num="1">
            <w:col w:w="11000"/>
          </w:cols>
          <w:pgMar w:left="440" w:top="297" w:right="45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offered by the Company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4,000,000 shares (or 4,600,000 shares if the underwriters exercise their option to purchase additional shares in full)</w:t>
      </w:r>
    </w:p>
    <w:p>
      <w:pPr>
        <w:spacing w:after="0" w:line="197" w:lineRule="exact"/>
        <w:rPr>
          <w:sz w:val="20"/>
          <w:szCs w:val="20"/>
          <w:color w:val="auto"/>
        </w:rPr>
      </w:pPr>
    </w:p>
    <w:p>
      <w:pPr>
        <w:sectPr>
          <w:pgSz w:w="11900" w:h="16838" w:orient="portrait"/>
          <w:cols w:equalWidth="0" w:num="2">
            <w:col w:w="3460" w:space="720"/>
            <w:col w:w="6820"/>
          </w:cols>
          <w:pgMar w:left="440" w:top="297" w:right="459" w:bottom="1440" w:gutter="0" w:footer="0" w:header="0"/>
          <w:type w:val="continuous"/>
        </w:sectPr>
      </w:pPr>
    </w:p>
    <w:p>
      <w:pPr>
        <w:spacing w:after="0"/>
        <w:rPr>
          <w:sz w:val="20"/>
          <w:szCs w:val="20"/>
          <w:color w:val="auto"/>
        </w:rPr>
      </w:pPr>
      <w:r>
        <w:rPr>
          <w:rFonts w:ascii="Arial" w:cs="Arial" w:eastAsia="Arial" w:hAnsi="Arial"/>
          <w:sz w:val="16"/>
          <w:szCs w:val="16"/>
          <w:color w:val="auto"/>
        </w:rPr>
        <w:t>Common stock outstanding prior to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41,345,638 shares</w:t>
      </w:r>
    </w:p>
    <w:p>
      <w:pPr>
        <w:spacing w:after="0" w:line="211" w:lineRule="exact"/>
        <w:rPr>
          <w:sz w:val="20"/>
          <w:szCs w:val="20"/>
          <w:color w:val="auto"/>
        </w:rPr>
      </w:pPr>
    </w:p>
    <w:p>
      <w:pPr>
        <w:sectPr>
          <w:pgSz w:w="11900" w:h="16838" w:orient="portrait"/>
          <w:cols w:equalWidth="0" w:num="2">
            <w:col w:w="3480" w:space="700"/>
            <w:col w:w="6820"/>
          </w:cols>
          <w:pgMar w:left="440" w:top="297" w:right="45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Common stock outstanding following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45,345,638 shares</w:t>
      </w:r>
    </w:p>
    <w:p>
      <w:pPr>
        <w:spacing w:after="0" w:line="211" w:lineRule="exact"/>
        <w:rPr>
          <w:sz w:val="20"/>
          <w:szCs w:val="20"/>
          <w:color w:val="auto"/>
        </w:rPr>
      </w:pPr>
    </w:p>
    <w:p>
      <w:pPr>
        <w:sectPr>
          <w:pgSz w:w="11900" w:h="16838" w:orient="portrait"/>
          <w:cols w:equalWidth="0" w:num="2">
            <w:col w:w="3640" w:space="540"/>
            <w:col w:w="6820"/>
          </w:cols>
          <w:pgMar w:left="440" w:top="297" w:right="459" w:bottom="1440" w:gutter="0" w:footer="0" w:header="0"/>
          <w:type w:val="continuous"/>
        </w:sectPr>
      </w:pPr>
    </w:p>
    <w:p>
      <w:pPr>
        <w:spacing w:after="0" w:line="89" w:lineRule="exact"/>
        <w:rPr>
          <w:sz w:val="20"/>
          <w:szCs w:val="20"/>
          <w:color w:val="auto"/>
        </w:rPr>
      </w:pPr>
    </w:p>
    <w:p>
      <w:pPr>
        <w:ind w:left="4180" w:right="160"/>
        <w:spacing w:after="0" w:line="259" w:lineRule="auto"/>
        <w:rPr>
          <w:sz w:val="20"/>
          <w:szCs w:val="20"/>
          <w:color w:val="auto"/>
        </w:rPr>
      </w:pPr>
      <w:r>
        <w:rPr>
          <w:rFonts w:ascii="Arial" w:cs="Arial" w:eastAsia="Arial" w:hAnsi="Arial"/>
          <w:sz w:val="18"/>
          <w:szCs w:val="18"/>
          <w:color w:val="auto"/>
        </w:rPr>
        <w:t>The number of shares outstanding after the offering assumes the underwriters’ option to purchase additional shares is not exercised. If the option to purchase additional shares is exercised in full, we will issue an additional 600,000 shares and will have 45,945,638 shares outstanding after the offering.</w:t>
      </w:r>
    </w:p>
    <w:p>
      <w:pPr>
        <w:sectPr>
          <w:pgSz w:w="11900" w:h="16838" w:orient="portrait"/>
          <w:cols w:equalWidth="0" w:num="1">
            <w:col w:w="11000"/>
          </w:cols>
          <w:pgMar w:left="440" w:top="297" w:right="45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NYSE symbol</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“PFLT”</w:t>
      </w:r>
    </w:p>
    <w:p>
      <w:pPr>
        <w:spacing w:after="0" w:line="200" w:lineRule="exact"/>
        <w:rPr>
          <w:sz w:val="20"/>
          <w:szCs w:val="20"/>
          <w:color w:val="auto"/>
        </w:rPr>
      </w:pPr>
    </w:p>
    <w:p>
      <w:pPr>
        <w:sectPr>
          <w:pgSz w:w="11900" w:h="16838" w:orient="portrait"/>
          <w:cols w:equalWidth="0" w:num="2">
            <w:col w:w="3460" w:space="720"/>
            <w:col w:w="6820"/>
          </w:cols>
          <w:pgMar w:left="440" w:top="297" w:right="459" w:bottom="1440" w:gutter="0" w:footer="0" w:header="0"/>
          <w:type w:val="continuous"/>
        </w:sectPr>
      </w:pPr>
    </w:p>
    <w:p>
      <w:pPr>
        <w:spacing w:after="0" w:line="66" w:lineRule="exact"/>
        <w:rPr>
          <w:sz w:val="20"/>
          <w:szCs w:val="20"/>
          <w:color w:val="auto"/>
        </w:rPr>
      </w:pPr>
    </w:p>
    <w:p>
      <w:pPr>
        <w:ind w:left="4180" w:right="20"/>
        <w:spacing w:after="0" w:line="277" w:lineRule="auto"/>
        <w:rPr>
          <w:sz w:val="20"/>
          <w:szCs w:val="20"/>
          <w:color w:val="auto"/>
        </w:rPr>
      </w:pPr>
      <w:r>
        <w:rPr>
          <w:rFonts w:ascii="Arial" w:cs="Arial" w:eastAsia="Arial" w:hAnsi="Arial"/>
          <w:sz w:val="18"/>
          <w:szCs w:val="18"/>
          <w:color w:val="auto"/>
        </w:rPr>
        <w:t>Common stock issued in this offering will be dual listed on the NYSE and the TASE under the symbol “PFLT”.</w:t>
      </w:r>
    </w:p>
    <w:p>
      <w:pPr>
        <w:sectPr>
          <w:pgSz w:w="11900" w:h="16838" w:orient="portrait"/>
          <w:cols w:equalWidth="0" w:num="1">
            <w:col w:w="11000"/>
          </w:cols>
          <w:pgMar w:left="440" w:top="297" w:right="45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We estimate that the net proceeds we receive from this offering will be approximately $47.9 million (or approximately $55.1 million if the underwriters fully exercise their option to purchase additional shares), after deducting underwriting discounts and commissions of approximately $1.5 million (or approximately $1.7 million if the underwriters fully exercise their option to purchase additional shares) payable by us and estimated offering expenses of approximately $250,000 payable by us.</w:t>
      </w:r>
    </w:p>
    <w:p>
      <w:pPr>
        <w:spacing w:after="0" w:line="200" w:lineRule="exact"/>
        <w:rPr>
          <w:sz w:val="20"/>
          <w:szCs w:val="20"/>
          <w:color w:val="auto"/>
        </w:rPr>
      </w:pPr>
    </w:p>
    <w:p>
      <w:pPr>
        <w:sectPr>
          <w:pgSz w:w="11900" w:h="16838" w:orient="portrait"/>
          <w:cols w:equalWidth="0" w:num="2">
            <w:col w:w="3460" w:space="720"/>
            <w:col w:w="6820"/>
          </w:cols>
          <w:pgMar w:left="440" w:top="297" w:right="459" w:bottom="1440" w:gutter="0" w:footer="0" w:header="0"/>
          <w:type w:val="continuous"/>
        </w:sectPr>
      </w:pPr>
    </w:p>
    <w:p>
      <w:pPr>
        <w:spacing w:after="0" w:line="5" w:lineRule="exact"/>
        <w:rPr>
          <w:sz w:val="20"/>
          <w:szCs w:val="20"/>
          <w:color w:val="auto"/>
        </w:rPr>
      </w:pPr>
    </w:p>
    <w:p>
      <w:pPr>
        <w:ind w:left="4180" w:right="180"/>
        <w:spacing w:after="0" w:line="311" w:lineRule="auto"/>
        <w:rPr>
          <w:sz w:val="20"/>
          <w:szCs w:val="20"/>
          <w:color w:val="auto"/>
        </w:rPr>
      </w:pPr>
      <w:r>
        <w:rPr>
          <w:rFonts w:ascii="Arial" w:cs="Arial" w:eastAsia="Arial" w:hAnsi="Arial"/>
          <w:sz w:val="16"/>
          <w:szCs w:val="16"/>
          <w:color w:val="auto"/>
        </w:rPr>
        <w:t>We expect to use the net proceeds from this offering to reduce outstanding obligations under our existing indebtedness, to invest in new or existing portfolio companies, to capitalize a subsidiary or new joint venture or for other general corporate or strategic purposes.</w:t>
      </w:r>
    </w:p>
    <w:p>
      <w:pPr>
        <w:spacing w:after="0" w:line="17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See “Use of Proceeds” for more information.</w:t>
      </w:r>
    </w:p>
    <w:p>
      <w:pPr>
        <w:sectPr>
          <w:pgSz w:w="11900" w:h="16838" w:orient="portrait"/>
          <w:cols w:equalWidth="0" w:num="1">
            <w:col w:w="11000"/>
          </w:cols>
          <w:pgMar w:left="440" w:top="297" w:right="4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Trading at a Discount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Shares of closed-end investment companies, including BDCs, frequently trade at a discount to their NAV. The risk that our shares may trade at a discount to our NAV is separate and distinct from the risk that our NAV per share may decline. We cannot predict whether our shares will trade above, at or below NAV.</w:t>
      </w:r>
    </w:p>
    <w:p>
      <w:pPr>
        <w:spacing w:after="0" w:line="200" w:lineRule="exact"/>
        <w:rPr>
          <w:sz w:val="20"/>
          <w:szCs w:val="20"/>
          <w:color w:val="auto"/>
        </w:rPr>
      </w:pPr>
    </w:p>
    <w:p>
      <w:pPr>
        <w:sectPr>
          <w:pgSz w:w="11900" w:h="16838" w:orient="portrait"/>
          <w:cols w:equalWidth="0" w:num="2">
            <w:col w:w="3460" w:space="720"/>
            <w:col w:w="6820"/>
          </w:cols>
          <w:pgMar w:left="440" w:top="297" w:right="45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Distributions on Common Stock</w:t>
      </w:r>
    </w:p>
    <w:p>
      <w:pPr>
        <w:spacing w:after="0" w:line="20" w:lineRule="exact"/>
        <w:rPr>
          <w:sz w:val="20"/>
          <w:szCs w:val="20"/>
          <w:color w:val="auto"/>
        </w:rPr>
      </w:pPr>
      <w:r>
        <w:rPr>
          <w:sz w:val="20"/>
          <w:szCs w:val="20"/>
          <w:color w:val="auto"/>
        </w:rPr>
        <w:br w:type="column"/>
      </w:r>
    </w:p>
    <w:p>
      <w:pPr>
        <w:ind w:right="40"/>
        <w:spacing w:after="0" w:line="263" w:lineRule="auto"/>
        <w:rPr>
          <w:sz w:val="20"/>
          <w:szCs w:val="20"/>
          <w:color w:val="auto"/>
        </w:rPr>
      </w:pPr>
      <w:r>
        <w:rPr>
          <w:rFonts w:ascii="Arial" w:cs="Arial" w:eastAsia="Arial" w:hAnsi="Arial"/>
          <w:sz w:val="18"/>
          <w:szCs w:val="18"/>
          <w:color w:val="auto"/>
        </w:rPr>
        <w:t>The timing and amount of our monthly distributions to stockholders, if any, are determined by our board of directors. While we intend to make distributions on a monthly basis to our stockholders out of</w:t>
      </w:r>
    </w:p>
    <w:p>
      <w:pPr>
        <w:spacing w:after="0" w:line="116" w:lineRule="exact"/>
        <w:rPr>
          <w:sz w:val="20"/>
          <w:szCs w:val="20"/>
          <w:color w:val="auto"/>
        </w:rPr>
      </w:pPr>
    </w:p>
    <w:p>
      <w:pPr>
        <w:sectPr>
          <w:pgSz w:w="11900" w:h="16838" w:orient="portrait"/>
          <w:cols w:equalWidth="0" w:num="2">
            <w:col w:w="3460" w:space="720"/>
            <w:col w:w="6820"/>
          </w:cols>
          <w:pgMar w:left="440" w:top="297" w:right="45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000"/>
          </w:cols>
          <w:pgMar w:left="440" w:top="297" w:right="459" w:bottom="1440" w:gutter="0" w:footer="0" w:header="0"/>
          <w:type w:val="continuous"/>
        </w:sectPr>
      </w:pPr>
    </w:p>
    <w:bookmarkStart w:id="8" w:name="page9"/>
    <w:bookmarkEnd w:id="8"/>
    <w:p>
      <w:pPr>
        <w:ind w:left="41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assets legally available for distribution, we may not be able to achieve operating results that will allow us to make distributions at a specific level or to increase the amount of our distributions from time to time.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ability to be subject to tax as a RIC. We cannot assure stockholders that they will receive any distributions.</w:t>
      </w:r>
    </w:p>
    <w:p>
      <w:pPr>
        <w:sectPr>
          <w:pgSz w:w="11900" w:h="16838" w:orient="portrait"/>
          <w:cols w:equalWidth="0" w:num="1">
            <w:col w:w="11000"/>
          </w:cols>
          <w:pgMar w:left="440" w:top="301" w:right="45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Taxation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92" w:lineRule="exact"/>
        <w:rPr>
          <w:sz w:val="20"/>
          <w:szCs w:val="20"/>
          <w:color w:val="auto"/>
        </w:rPr>
      </w:pPr>
    </w:p>
    <w:p>
      <w:pPr>
        <w:sectPr>
          <w:pgSz w:w="11900" w:h="16838" w:orient="portrait"/>
          <w:cols w:equalWidth="0" w:num="2">
            <w:col w:w="3460" w:space="720"/>
            <w:col w:w="6820"/>
          </w:cols>
          <w:pgMar w:left="440" w:top="301" w:right="459" w:bottom="1440" w:gutter="0" w:footer="0" w:header="0"/>
          <w:type w:val="continuous"/>
        </w:sectPr>
      </w:pPr>
    </w:p>
    <w:p>
      <w:pPr>
        <w:spacing w:after="0"/>
        <w:rPr>
          <w:sz w:val="20"/>
          <w:szCs w:val="20"/>
          <w:color w:val="auto"/>
        </w:rPr>
      </w:pPr>
      <w:r>
        <w:rPr>
          <w:rFonts w:ascii="Arial" w:cs="Arial" w:eastAsia="Arial" w:hAnsi="Arial"/>
          <w:sz w:val="16"/>
          <w:szCs w:val="16"/>
          <w:color w:val="auto"/>
        </w:rPr>
        <w:t>Lock-Up Arrangements</w:t>
      </w:r>
    </w:p>
    <w:p>
      <w:pPr>
        <w:spacing w:after="0" w:line="20" w:lineRule="exact"/>
        <w:rPr>
          <w:sz w:val="20"/>
          <w:szCs w:val="20"/>
          <w:color w:val="auto"/>
        </w:rPr>
      </w:pPr>
      <w:r>
        <w:rPr>
          <w:sz w:val="20"/>
          <w:szCs w:val="20"/>
          <w:color w:val="auto"/>
        </w:rPr>
        <w:br w:type="column"/>
      </w:r>
    </w:p>
    <w:p>
      <w:pPr>
        <w:spacing w:after="0" w:line="273" w:lineRule="auto"/>
        <w:rPr>
          <w:sz w:val="20"/>
          <w:szCs w:val="20"/>
          <w:color w:val="auto"/>
        </w:rPr>
      </w:pPr>
      <w:r>
        <w:rPr>
          <w:rFonts w:ascii="Arial" w:cs="Arial" w:eastAsia="Arial" w:hAnsi="Arial"/>
          <w:sz w:val="17"/>
          <w:szCs w:val="17"/>
          <w:color w:val="auto"/>
        </w:rPr>
        <w:t>We have agreed, with exceptions, not to sell or transfer any shares for 60 days after the date of this prospectus supplement without first obtaining the written consent of Morgan Stanley &amp; Co. LLC. In addition, our executive officers and directors, PennantPark Investment Advisers, and Pennant Park Investment Administration have agreed to certain restrictions on sales of our common stock for a period of 60 days from the date of this prospectus supplement. See “Underwriting—No Sales of Similar Securities.”</w:t>
      </w:r>
    </w:p>
    <w:p>
      <w:pPr>
        <w:spacing w:after="0" w:line="200" w:lineRule="exact"/>
        <w:rPr>
          <w:sz w:val="20"/>
          <w:szCs w:val="20"/>
          <w:color w:val="auto"/>
        </w:rPr>
      </w:pPr>
    </w:p>
    <w:p>
      <w:pPr>
        <w:sectPr>
          <w:pgSz w:w="11900" w:h="16838" w:orient="portrait"/>
          <w:cols w:equalWidth="0" w:num="2">
            <w:col w:w="3460" w:space="720"/>
            <w:col w:w="6820"/>
          </w:cols>
          <w:pgMar w:left="440" w:top="301" w:right="45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20"/>
        <w:spacing w:after="0" w:line="291" w:lineRule="auto"/>
        <w:rPr>
          <w:sz w:val="20"/>
          <w:szCs w:val="20"/>
          <w:color w:val="auto"/>
        </w:rPr>
      </w:pPr>
      <w:r>
        <w:rPr>
          <w:rFonts w:ascii="Arial" w:cs="Arial" w:eastAsia="Arial" w:hAnsi="Arial"/>
          <w:sz w:val="16"/>
          <w:szCs w:val="16"/>
          <w:color w:val="auto"/>
        </w:rPr>
        <w:t>Investing in our common stock involves risks. See “Risk Factors” in this prospectus supplement and the accompanying prospectus, our most recent Annual Report on Form 10-K and our most recent Quarterly Report on Form 10-Q, each of which are incorporated by reference to this prospectus supplement, and in any free writing prospectuses we have authorized for use in connection with this offering, and under similar headings in the documents that are filed with the SEC on or after the date hereof and are incorporated by reference into this prospectus supplement and the accompanying prospectus.</w:t>
      </w:r>
    </w:p>
    <w:p>
      <w:pPr>
        <w:spacing w:after="0" w:line="99" w:lineRule="exact"/>
        <w:rPr>
          <w:sz w:val="20"/>
          <w:szCs w:val="20"/>
          <w:color w:val="auto"/>
        </w:rPr>
      </w:pPr>
    </w:p>
    <w:p>
      <w:pPr>
        <w:sectPr>
          <w:pgSz w:w="11900" w:h="16838" w:orient="portrait"/>
          <w:cols w:equalWidth="0" w:num="2">
            <w:col w:w="3460" w:space="720"/>
            <w:col w:w="6820"/>
          </w:cols>
          <w:pgMar w:left="440" w:top="301" w:right="45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S-5</w:t>
      </w:r>
    </w:p>
    <w:p>
      <w:pPr>
        <w:sectPr>
          <w:pgSz w:w="11900" w:h="16838" w:orient="portrait"/>
          <w:cols w:equalWidth="0" w:num="1">
            <w:col w:w="11000"/>
          </w:cols>
          <w:pgMar w:left="440" w:top="301" w:right="459" w:bottom="1440" w:gutter="0" w:footer="0" w:header="0"/>
          <w:type w:val="continuous"/>
        </w:sectPr>
      </w:pPr>
    </w:p>
    <w:bookmarkStart w:id="9" w:name="page10"/>
    <w:bookmarkEnd w:id="9"/>
    <w:p>
      <w:pPr>
        <w:jc w:val="center"/>
        <w:ind w:right="-1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FEES AND EXPENSES</w:t>
      </w:r>
    </w:p>
    <w:p>
      <w:pPr>
        <w:spacing w:after="0" w:line="229"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supplement contains a reference to fees or expenses paid by “you” or “us” or that “we” will pay, stockholders will indirectly bear such fees or expenses as investors in us.</w:t>
      </w:r>
    </w:p>
    <w:p>
      <w:pPr>
        <w:spacing w:after="0" w:line="229"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Sales load (as a percentage of offering price)</w:t>
            </w:r>
          </w:p>
        </w:tc>
        <w:tc>
          <w:tcPr>
            <w:tcW w:w="780" w:type="dxa"/>
            <w:vAlign w:val="bottom"/>
            <w:gridSpan w:val="3"/>
          </w:tcPr>
          <w:p>
            <w:pPr>
              <w:jc w:val="center"/>
              <w:spacing w:after="0" w:line="216" w:lineRule="exact"/>
              <w:rPr>
                <w:sz w:val="20"/>
                <w:szCs w:val="20"/>
                <w:color w:val="auto"/>
              </w:rPr>
            </w:pPr>
            <w:r>
              <w:rPr>
                <w:rFonts w:ascii="Arial" w:cs="Arial" w:eastAsia="Arial" w:hAnsi="Arial"/>
                <w:sz w:val="18"/>
                <w:szCs w:val="18"/>
                <w:color w:val="auto"/>
                <w:w w:val="86"/>
              </w:rPr>
              <w:t>3.00%</w:t>
            </w:r>
            <w:r>
              <w:rPr>
                <w:rFonts w:ascii="Arial" w:cs="Arial" w:eastAsia="Arial" w:hAnsi="Arial"/>
                <w:sz w:val="22"/>
                <w:szCs w:val="22"/>
                <w:color w:val="auto"/>
                <w:w w:val="86"/>
                <w:vertAlign w:val="superscript"/>
              </w:rPr>
              <w:t>(1)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20"/>
              <w:spacing w:after="0" w:line="216" w:lineRule="exact"/>
              <w:rPr>
                <w:sz w:val="20"/>
                <w:szCs w:val="20"/>
                <w:color w:val="auto"/>
              </w:rPr>
            </w:pPr>
            <w:r>
              <w:rPr>
                <w:rFonts w:ascii="Arial" w:cs="Arial" w:eastAsia="Arial" w:hAnsi="Arial"/>
                <w:sz w:val="18"/>
                <w:szCs w:val="18"/>
                <w:color w:val="auto"/>
                <w:w w:val="86"/>
              </w:rPr>
              <w:t>0.50%</w:t>
            </w:r>
            <w:r>
              <w:rPr>
                <w:rFonts w:ascii="Arial" w:cs="Arial" w:eastAsia="Arial" w:hAnsi="Arial"/>
                <w:sz w:val="22"/>
                <w:szCs w:val="22"/>
                <w:color w:val="auto"/>
                <w:w w:val="86"/>
                <w:vertAlign w:val="superscript"/>
              </w:rPr>
              <w:t>(2)</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Total stockholder expenses (as a percentage of offering price)</w:t>
            </w:r>
          </w:p>
        </w:tc>
        <w:tc>
          <w:tcPr>
            <w:tcW w:w="40" w:type="dxa"/>
            <w:vAlign w:val="bottom"/>
            <w:vMerge w:val="restart"/>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740" w:type="dxa"/>
            <w:vAlign w:val="bottom"/>
            <w:gridSpan w:val="2"/>
          </w:tcPr>
          <w:p>
            <w:pPr>
              <w:jc w:val="center"/>
              <w:ind w:right="20"/>
              <w:spacing w:after="0" w:line="223" w:lineRule="exact"/>
              <w:rPr>
                <w:sz w:val="20"/>
                <w:szCs w:val="20"/>
                <w:color w:val="auto"/>
              </w:rPr>
            </w:pPr>
            <w:r>
              <w:rPr>
                <w:rFonts w:ascii="Arial" w:cs="Arial" w:eastAsia="Arial" w:hAnsi="Arial"/>
                <w:sz w:val="18"/>
                <w:szCs w:val="18"/>
                <w:color w:val="auto"/>
                <w:w w:val="86"/>
              </w:rPr>
              <w:t>3.50%</w:t>
            </w:r>
            <w:r>
              <w:rPr>
                <w:rFonts w:ascii="Arial" w:cs="Arial" w:eastAsia="Arial" w:hAnsi="Arial"/>
                <w:sz w:val="22"/>
                <w:szCs w:val="22"/>
                <w:color w:val="auto"/>
                <w:w w:val="86"/>
                <w:vertAlign w:val="superscript"/>
              </w:rPr>
              <w:t>(3)</w:t>
            </w:r>
          </w:p>
        </w:tc>
        <w:tc>
          <w:tcPr>
            <w:tcW w:w="0" w:type="dxa"/>
            <w:vAlign w:val="bottom"/>
          </w:tcPr>
          <w:p>
            <w:pPr>
              <w:spacing w:after="0"/>
              <w:rPr>
                <w:sz w:val="1"/>
                <w:szCs w:val="1"/>
                <w:color w:val="auto"/>
              </w:rPr>
            </w:pP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5"/>
              </w:rPr>
              <w:t>Estimated annual expenses (as a percentage of average net assets attributable to</w:t>
            </w: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700" w:type="dxa"/>
            <w:vAlign w:val="bottom"/>
            <w:shd w:val="clear" w:color="auto" w:fill="CCEEFF"/>
          </w:tcPr>
          <w:p>
            <w:pPr>
              <w:ind w:left="200"/>
              <w:spacing w:after="0" w:line="248" w:lineRule="exact"/>
              <w:rPr>
                <w:sz w:val="20"/>
                <w:szCs w:val="20"/>
                <w:color w:val="auto"/>
              </w:rPr>
            </w:pPr>
            <w:r>
              <w:rPr>
                <w:rFonts w:ascii="Arial" w:cs="Arial" w:eastAsia="Arial" w:hAnsi="Arial"/>
                <w:sz w:val="18"/>
                <w:szCs w:val="18"/>
                <w:b w:val="1"/>
                <w:bCs w:val="1"/>
                <w:color w:val="auto"/>
              </w:rPr>
              <w:t>common shares)</w:t>
            </w:r>
            <w:r>
              <w:rPr>
                <w:rFonts w:ascii="Arial" w:cs="Arial" w:eastAsia="Arial" w:hAnsi="Arial"/>
                <w:sz w:val="22"/>
                <w:szCs w:val="22"/>
                <w:b w:val="1"/>
                <w:bCs w:val="1"/>
                <w:color w:val="auto"/>
                <w:vertAlign w:val="superscript"/>
              </w:rPr>
              <w:t>(3)</w:t>
            </w:r>
          </w:p>
        </w:tc>
        <w:tc>
          <w:tcPr>
            <w:tcW w:w="40" w:type="dxa"/>
            <w:vAlign w:val="bottom"/>
            <w:shd w:val="clear" w:color="auto" w:fill="CCEEFF"/>
          </w:tcPr>
          <w:p>
            <w:pPr>
              <w:spacing w:after="0"/>
              <w:rPr>
                <w:sz w:val="21"/>
                <w:szCs w:val="21"/>
                <w:color w:val="auto"/>
              </w:rPr>
            </w:pPr>
          </w:p>
        </w:tc>
        <w:tc>
          <w:tcPr>
            <w:tcW w:w="38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Management fees</w:t>
            </w:r>
          </w:p>
        </w:tc>
        <w:tc>
          <w:tcPr>
            <w:tcW w:w="780" w:type="dxa"/>
            <w:vAlign w:val="bottom"/>
            <w:gridSpan w:val="3"/>
          </w:tcPr>
          <w:p>
            <w:pPr>
              <w:jc w:val="center"/>
              <w:spacing w:after="0" w:line="243" w:lineRule="exact"/>
              <w:rPr>
                <w:sz w:val="20"/>
                <w:szCs w:val="20"/>
                <w:color w:val="auto"/>
              </w:rPr>
            </w:pPr>
            <w:r>
              <w:rPr>
                <w:rFonts w:ascii="Arial" w:cs="Arial" w:eastAsia="Arial" w:hAnsi="Arial"/>
                <w:sz w:val="18"/>
                <w:szCs w:val="18"/>
                <w:color w:val="auto"/>
                <w:w w:val="83"/>
              </w:rPr>
              <w:t>2.33 %</w:t>
            </w:r>
            <w:r>
              <w:rPr>
                <w:rFonts w:ascii="Arial" w:cs="Arial" w:eastAsia="Arial" w:hAnsi="Arial"/>
                <w:sz w:val="22"/>
                <w:szCs w:val="22"/>
                <w:color w:val="auto"/>
                <w:w w:val="83"/>
                <w:vertAlign w:val="superscript"/>
              </w:rPr>
              <w:t>(4)</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Incentive fees</w:t>
            </w:r>
          </w:p>
        </w:tc>
        <w:tc>
          <w:tcPr>
            <w:tcW w:w="780" w:type="dxa"/>
            <w:vAlign w:val="bottom"/>
            <w:gridSpan w:val="3"/>
            <w:shd w:val="clear" w:color="auto" w:fill="CCEEFF"/>
          </w:tcPr>
          <w:p>
            <w:pPr>
              <w:jc w:val="center"/>
              <w:spacing w:after="0" w:line="243" w:lineRule="exact"/>
              <w:rPr>
                <w:sz w:val="20"/>
                <w:szCs w:val="20"/>
                <w:color w:val="auto"/>
              </w:rPr>
            </w:pPr>
            <w:r>
              <w:rPr>
                <w:rFonts w:ascii="Arial" w:cs="Arial" w:eastAsia="Arial" w:hAnsi="Arial"/>
                <w:sz w:val="18"/>
                <w:szCs w:val="18"/>
                <w:color w:val="auto"/>
                <w:w w:val="83"/>
              </w:rPr>
              <w:t>1.96 %</w:t>
            </w:r>
            <w:r>
              <w:rPr>
                <w:rFonts w:ascii="Arial" w:cs="Arial" w:eastAsia="Arial" w:hAnsi="Arial"/>
                <w:sz w:val="22"/>
                <w:szCs w:val="22"/>
                <w:color w:val="auto"/>
                <w:w w:val="83"/>
                <w:vertAlign w:val="superscript"/>
              </w:rPr>
              <w:t>(5)</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Interest on borrowed funds</w:t>
            </w:r>
          </w:p>
        </w:tc>
        <w:tc>
          <w:tcPr>
            <w:tcW w:w="780" w:type="dxa"/>
            <w:vAlign w:val="bottom"/>
            <w:gridSpan w:val="3"/>
          </w:tcPr>
          <w:p>
            <w:pPr>
              <w:jc w:val="center"/>
              <w:spacing w:after="0" w:line="243" w:lineRule="exact"/>
              <w:rPr>
                <w:sz w:val="20"/>
                <w:szCs w:val="20"/>
                <w:color w:val="auto"/>
              </w:rPr>
            </w:pPr>
            <w:r>
              <w:rPr>
                <w:rFonts w:ascii="Arial" w:cs="Arial" w:eastAsia="Arial" w:hAnsi="Arial"/>
                <w:sz w:val="18"/>
                <w:szCs w:val="18"/>
                <w:color w:val="auto"/>
                <w:w w:val="83"/>
              </w:rPr>
              <w:t>5.61 %</w:t>
            </w:r>
            <w:r>
              <w:rPr>
                <w:rFonts w:ascii="Arial" w:cs="Arial" w:eastAsia="Arial" w:hAnsi="Arial"/>
                <w:sz w:val="22"/>
                <w:szCs w:val="22"/>
                <w:color w:val="auto"/>
                <w:w w:val="83"/>
                <w:vertAlign w:val="superscript"/>
              </w:rPr>
              <w:t>(6)</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fund fees and expenses</w:t>
            </w:r>
          </w:p>
        </w:tc>
        <w:tc>
          <w:tcPr>
            <w:tcW w:w="780" w:type="dxa"/>
            <w:vAlign w:val="bottom"/>
            <w:gridSpan w:val="3"/>
            <w:shd w:val="clear" w:color="auto" w:fill="CCEEFF"/>
          </w:tcPr>
          <w:p>
            <w:pPr>
              <w:jc w:val="center"/>
              <w:spacing w:after="0" w:line="243" w:lineRule="exact"/>
              <w:rPr>
                <w:sz w:val="20"/>
                <w:szCs w:val="20"/>
                <w:color w:val="auto"/>
              </w:rPr>
            </w:pPr>
            <w:r>
              <w:rPr>
                <w:rFonts w:ascii="Arial" w:cs="Arial" w:eastAsia="Arial" w:hAnsi="Arial"/>
                <w:sz w:val="18"/>
                <w:szCs w:val="18"/>
                <w:color w:val="auto"/>
                <w:w w:val="83"/>
              </w:rPr>
              <w:t>6.97 %</w:t>
            </w:r>
            <w:r>
              <w:rPr>
                <w:rFonts w:ascii="Arial" w:cs="Arial" w:eastAsia="Arial" w:hAnsi="Arial"/>
                <w:sz w:val="22"/>
                <w:szCs w:val="22"/>
                <w:color w:val="auto"/>
                <w:w w:val="83"/>
                <w:vertAlign w:val="superscript"/>
              </w:rPr>
              <w:t>(7)</w:t>
            </w:r>
          </w:p>
        </w:tc>
        <w:tc>
          <w:tcPr>
            <w:tcW w:w="0" w:type="dxa"/>
            <w:vAlign w:val="bottom"/>
          </w:tcPr>
          <w:p>
            <w:pPr>
              <w:spacing w:after="0"/>
              <w:rPr>
                <w:sz w:val="1"/>
                <w:szCs w:val="1"/>
                <w:color w:val="auto"/>
              </w:rPr>
            </w:pPr>
          </w:p>
        </w:tc>
      </w:tr>
      <w:tr>
        <w:trPr>
          <w:trHeight w:val="257"/>
        </w:trPr>
        <w:tc>
          <w:tcPr>
            <w:tcW w:w="670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3"/>
              </w:rPr>
              <w:t>0.68 %</w:t>
            </w:r>
            <w:r>
              <w:rPr>
                <w:rFonts w:ascii="Arial" w:cs="Arial" w:eastAsia="Arial" w:hAnsi="Arial"/>
                <w:sz w:val="22"/>
                <w:szCs w:val="22"/>
                <w:color w:val="auto"/>
                <w:w w:val="83"/>
                <w:vertAlign w:val="superscript"/>
              </w:rPr>
              <w:t>(8)</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estimated annual expenses</w:t>
            </w:r>
          </w:p>
        </w:tc>
        <w:tc>
          <w:tcPr>
            <w:tcW w:w="780" w:type="dxa"/>
            <w:vAlign w:val="bottom"/>
            <w:gridSpan w:val="3"/>
            <w:shd w:val="clear" w:color="auto" w:fill="CCEEFF"/>
          </w:tcPr>
          <w:p>
            <w:pPr>
              <w:jc w:val="right"/>
              <w:ind w:right="60"/>
              <w:spacing w:after="0" w:line="243" w:lineRule="exact"/>
              <w:rPr>
                <w:sz w:val="20"/>
                <w:szCs w:val="20"/>
                <w:color w:val="auto"/>
              </w:rPr>
            </w:pPr>
            <w:r>
              <w:rPr>
                <w:rFonts w:ascii="Arial" w:cs="Arial" w:eastAsia="Arial" w:hAnsi="Arial"/>
                <w:sz w:val="18"/>
                <w:szCs w:val="18"/>
                <w:color w:val="auto"/>
                <w:w w:val="83"/>
              </w:rPr>
              <w:t>17.55 %</w:t>
            </w:r>
            <w:r>
              <w:rPr>
                <w:rFonts w:ascii="Arial" w:cs="Arial" w:eastAsia="Arial" w:hAnsi="Arial"/>
                <w:sz w:val="22"/>
                <w:szCs w:val="22"/>
                <w:color w:val="auto"/>
                <w:w w:val="83"/>
                <w:vertAlign w:val="superscript"/>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5323205</wp:posOffset>
            </wp:positionH>
            <wp:positionV relativeFrom="paragraph">
              <wp:posOffset>-179070</wp:posOffset>
            </wp:positionV>
            <wp:extent cx="342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87" w:lineRule="exact"/>
        <w:rPr>
          <w:sz w:val="20"/>
          <w:szCs w:val="20"/>
          <w:color w:val="auto"/>
        </w:rPr>
      </w:pPr>
    </w:p>
    <w:p>
      <w:pPr>
        <w:ind w:left="424" w:right="140" w:hanging="424"/>
        <w:spacing w:after="0" w:line="27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underwriting discount and commission with respect to shares of our common stock sold in this offering, which is a one-time fee paid to the underwriters, is the only sales load paid in connection with this offering.</w:t>
      </w:r>
    </w:p>
    <w:p>
      <w:pPr>
        <w:spacing w:after="0" w:line="75"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percentage reflects estimated offering expenses payable by us of approximately $250,000 for the estimated duration of this offering and are based on the offering of 4,000,000 shares at the offering price of $12.40 per share.</w:t>
      </w:r>
    </w:p>
    <w:p>
      <w:pPr>
        <w:spacing w:after="0" w:line="75"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June 30, 2022, plus net proceeds anticipated from this offering but excluding the underwriters’ option to purchase additional shares. There is no guarantee that there will be any sales of our common stock pursuant to this prospectus supplement and the accompanying prospectus.</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on June 30, 2022.</w:t>
      </w:r>
    </w:p>
    <w:p>
      <w:pPr>
        <w:spacing w:after="0" w:line="130" w:lineRule="exact"/>
        <w:rPr>
          <w:rFonts w:ascii="Arial" w:cs="Arial" w:eastAsia="Arial" w:hAnsi="Arial"/>
          <w:sz w:val="18"/>
          <w:szCs w:val="18"/>
          <w:color w:val="auto"/>
        </w:rPr>
      </w:pPr>
    </w:p>
    <w:p>
      <w:pPr>
        <w:ind w:left="424" w:right="20" w:hanging="424"/>
        <w:spacing w:after="0" w:line="269"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quarter ended June 30, 2022,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the U.S. generally accepted accounting principles. As we cannot predict our future net investment income or capital gains, the incentive fee paid in future periods, if any, may be substantially different than the fee earned during the fiscal quarter ended June 30, 2022. For more detailed information about the incentive fee, please see “Item 1. Business-Investment Management Agreement” and “Item 1. Business-Investment Advisory Fees” in our most recent Annual Report on Form 10-K.</w:t>
      </w:r>
    </w:p>
    <w:p>
      <w:pPr>
        <w:spacing w:after="0" w:line="111"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04"/>
          </w:cols>
          <w:pgMar w:left="436" w:top="297" w:right="559" w:bottom="1440" w:gutter="0" w:footer="0" w:header="0"/>
        </w:sectPr>
      </w:pPr>
    </w:p>
    <w:bookmarkStart w:id="10" w:name="page11"/>
    <w:bookmarkEnd w:id="10"/>
    <w:p>
      <w:pPr>
        <w:ind w:left="424" w:right="40" w:hanging="424"/>
        <w:spacing w:after="0" w:line="273"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As of June 30, 2022, we had $259.3 million in borrowings outstanding under our Credit Facility, $97.0 million outstanding under our 2023 Notes, $185.0 million outstanding under of 2026 Notes and $228.0 million outstanding under the 2031 Asset-Backed Debt. We may use proceeds of this offering to repay outstanding obligations under our existing financing arrangements or other indebtedness. After completing this offering, we may continue to borrow under our existing financing arrangements to finance our investment objectives. We have estimated the annual interest expense on borrowed funds and we caution you that our actual interest expense in the future will depend on prevailing interest rates and our rate of borrowing, which may be substantially higher than the amount provided in this table.</w:t>
      </w:r>
    </w:p>
    <w:p>
      <w:pPr>
        <w:spacing w:after="0" w:line="83" w:lineRule="exact"/>
        <w:rPr>
          <w:rFonts w:ascii="Arial" w:cs="Arial" w:eastAsia="Arial" w:hAnsi="Arial"/>
          <w:sz w:val="17"/>
          <w:szCs w:val="17"/>
          <w:color w:val="auto"/>
        </w:rPr>
      </w:pPr>
    </w:p>
    <w:p>
      <w:pPr>
        <w:ind w:left="424" w:hanging="424"/>
        <w:spacing w:after="0" w:line="301"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quarter ended June 30, 2022, annualized for a full year. Expenses for PSSL may fluctuate over time and may be substantially higher or lower in the future.​</w:t>
      </w:r>
    </w:p>
    <w:p>
      <w:pPr>
        <w:spacing w:after="0" w:line="49" w:lineRule="exact"/>
        <w:rPr>
          <w:rFonts w:ascii="Arial" w:cs="Arial" w:eastAsia="Arial" w:hAnsi="Arial"/>
          <w:sz w:val="16"/>
          <w:szCs w:val="16"/>
          <w:color w:val="auto"/>
        </w:rPr>
      </w:pPr>
    </w:p>
    <w:p>
      <w:pPr>
        <w:ind w:left="444" w:right="20"/>
        <w:spacing w:after="0" w:line="257" w:lineRule="auto"/>
        <w:rPr>
          <w:rFonts w:ascii="Arial" w:cs="Arial" w:eastAsia="Arial" w:hAnsi="Arial"/>
          <w:sz w:val="16"/>
          <w:szCs w:val="16"/>
          <w:color w:val="auto"/>
        </w:rPr>
      </w:pPr>
      <w:r>
        <w:rPr>
          <w:rFonts w:ascii="Arial" w:cs="Arial" w:eastAsia="Arial" w:hAnsi="Arial"/>
          <w:sz w:val="18"/>
          <w:szCs w:val="18"/>
          <w:color w:val="auto"/>
        </w:rPr>
        <w:t>Our stockholders indirectly bear 23.08% of the expenses of our investment in PTSF. A management fee equal to 0.30% per annum of the gross assets of PTSF and its subsidiaries is charged by PennantPark Investment Advisers in connection with PTSF (the portion of which is attributable to the Company is waived by PennantPark Investment Advisers). For this chart, PTSF fees and operating expenses are based on our share of the actual fees and operating expenses of PTSF for the fiscal quarter ended June 30, 2022, annualized for a full year. Expenses for PTSF may fluctuate over time and may be substantially higher or lower in the future.​</w:t>
      </w:r>
    </w:p>
    <w:p>
      <w:pPr>
        <w:spacing w:after="0" w:line="93" w:lineRule="exact"/>
        <w:rPr>
          <w:rFonts w:ascii="Arial" w:cs="Arial" w:eastAsia="Arial" w:hAnsi="Arial"/>
          <w:sz w:val="16"/>
          <w:szCs w:val="16"/>
          <w:color w:val="auto"/>
        </w:rPr>
      </w:pPr>
    </w:p>
    <w:p>
      <w:pPr>
        <w:ind w:left="424" w:right="40" w:hanging="424"/>
        <w:spacing w:after="0" w:line="259"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taxes and the expenses of the Investment Adviser reimbursable under our Investment Management Agreement and of the Administrator reimbursable under our Administration Agreement. Such expenses are estimated for the current fiscal year based on actual other expenses for the three months ended June 30, 2022, annualized for the full year.</w:t>
      </w:r>
    </w:p>
    <w:p>
      <w:pPr>
        <w:spacing w:after="0" w:line="92" w:lineRule="exact"/>
        <w:rPr>
          <w:rFonts w:ascii="Arial" w:cs="Arial" w:eastAsia="Arial" w:hAnsi="Arial"/>
          <w:sz w:val="18"/>
          <w:szCs w:val="18"/>
          <w:color w:val="auto"/>
        </w:rPr>
      </w:pPr>
    </w:p>
    <w:p>
      <w:pPr>
        <w:ind w:left="424" w:right="60" w:hanging="424"/>
        <w:spacing w:after="0" w:line="273"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7.10% of average total assets.​</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jc w:val="both"/>
        <w:ind w:left="4" w:right="180"/>
        <w:spacing w:after="0" w:line="279" w:lineRule="auto"/>
        <w:rPr>
          <w:sz w:val="20"/>
          <w:szCs w:val="20"/>
          <w:color w:val="auto"/>
        </w:rPr>
      </w:pPr>
      <w:r>
        <w:rPr>
          <w:rFonts w:ascii="Arial" w:cs="Arial" w:eastAsia="Arial" w:hAnsi="Arial"/>
          <w:sz w:val="17"/>
          <w:szCs w:val="17"/>
          <w:color w:val="auto"/>
        </w:rPr>
        <w:t>The following example illustrates the projected dollar amount of total cumulative expenses that you would pay on a $1,000 hypothetical investment in common shares, assuming (1) a 3.0% sales load (the commission to be paid by us with respect to common stock sold by us in this offering) (see note 1 above) and offering expenses totaling 0.50%, (2) total net estimated annual expenses of 15.59% of average net assets attributable to common shares as set forth in the table above (other than performance-based incentive fees) and (3) a 5.0% annual return.</w:t>
      </w:r>
    </w:p>
    <w:p>
      <w:pPr>
        <w:spacing w:after="0" w:line="177"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w w:val="90"/>
              </w:rPr>
              <w:t xml:space="preserve">You would pay the following expenses on a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1,000 common stock investment</w:t>
            </w:r>
          </w:p>
        </w:tc>
        <w:tc>
          <w:tcPr>
            <w:tcW w:w="2620" w:type="dxa"/>
            <w:vAlign w:val="bottom"/>
            <w:vMerge w:val="restart"/>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1 Year</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220" w:type="dxa"/>
            <w:vAlign w:val="bottom"/>
          </w:tcPr>
          <w:p>
            <w:pPr>
              <w:spacing w:after="0"/>
              <w:rPr>
                <w:sz w:val="14"/>
                <w:szCs w:val="14"/>
                <w:color w:val="auto"/>
              </w:rPr>
            </w:pPr>
          </w:p>
        </w:tc>
        <w:tc>
          <w:tcPr>
            <w:tcW w:w="58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76"/>
              </w:rPr>
              <w:t>5</w:t>
            </w:r>
          </w:p>
        </w:tc>
        <w:tc>
          <w:tcPr>
            <w:tcW w:w="42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9"/>
              </w:rPr>
              <w:t>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680" w:type="dxa"/>
            <w:vAlign w:val="bottom"/>
            <w:tcBorders>
              <w:bottom w:val="single" w:sz="8" w:color="auto"/>
            </w:tcBorders>
            <w:vMerge w:val="continue"/>
          </w:tcPr>
          <w:p>
            <w:pPr>
              <w:spacing w:after="0"/>
              <w:rPr>
                <w:sz w:val="15"/>
                <w:szCs w:val="15"/>
                <w:color w:val="auto"/>
              </w:rPr>
            </w:pPr>
          </w:p>
        </w:tc>
        <w:tc>
          <w:tcPr>
            <w:tcW w:w="262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5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7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Years</w:t>
            </w:r>
          </w:p>
        </w:tc>
        <w:tc>
          <w:tcPr>
            <w:tcW w:w="4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175"/>
        </w:trPr>
        <w:tc>
          <w:tcPr>
            <w:tcW w:w="73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Assuming a 5% annual return (assumes no return from net realized capital gains or net</w:t>
            </w:r>
          </w:p>
        </w:tc>
        <w:tc>
          <w:tcPr>
            <w:tcW w:w="4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capital appreciation)</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$ 177</w:t>
            </w:r>
          </w:p>
        </w:tc>
        <w:tc>
          <w:tcPr>
            <w:tcW w:w="5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$419</w:t>
            </w:r>
          </w:p>
        </w:tc>
        <w:tc>
          <w:tcPr>
            <w:tcW w:w="100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9"/>
              </w:rPr>
              <w:t>$612</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4"/>
              </w:rPr>
              <w:t>$941</w:t>
            </w:r>
          </w:p>
        </w:tc>
        <w:tc>
          <w:tcPr>
            <w:tcW w:w="0" w:type="dxa"/>
            <w:vAlign w:val="bottom"/>
          </w:tcPr>
          <w:p>
            <w:pPr>
              <w:spacing w:after="0"/>
              <w:rPr>
                <w:sz w:val="1"/>
                <w:szCs w:val="1"/>
                <w:color w:val="auto"/>
              </w:rPr>
            </w:pPr>
          </w:p>
        </w:tc>
      </w:tr>
      <w:tr>
        <w:trPr>
          <w:trHeight w:val="202"/>
        </w:trPr>
        <w:tc>
          <w:tcPr>
            <w:tcW w:w="7300" w:type="dxa"/>
            <w:vAlign w:val="bottom"/>
            <w:gridSpan w:val="2"/>
          </w:tcPr>
          <w:p>
            <w:pPr>
              <w:spacing w:after="0" w:line="201" w:lineRule="exact"/>
              <w:rPr>
                <w:sz w:val="20"/>
                <w:szCs w:val="20"/>
                <w:color w:val="auto"/>
              </w:rPr>
            </w:pPr>
            <w:r>
              <w:rPr>
                <w:rFonts w:ascii="Arial" w:cs="Arial" w:eastAsia="Arial" w:hAnsi="Arial"/>
                <w:sz w:val="18"/>
                <w:szCs w:val="18"/>
                <w:color w:val="auto"/>
                <w:w w:val="95"/>
              </w:rPr>
              <w:t>Assuming a 5% annual return (assumes return only from realized capital gains and thus subject</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ind w:left="180"/>
              <w:spacing w:after="0"/>
              <w:rPr>
                <w:sz w:val="20"/>
                <w:szCs w:val="20"/>
                <w:color w:val="auto"/>
              </w:rPr>
            </w:pPr>
            <w:r>
              <w:rPr>
                <w:rFonts w:ascii="Arial" w:cs="Arial" w:eastAsia="Arial" w:hAnsi="Arial"/>
                <w:sz w:val="18"/>
                <w:szCs w:val="18"/>
                <w:color w:val="auto"/>
              </w:rPr>
              <w:t>to the capital gains incentive fee)</w:t>
            </w:r>
          </w:p>
        </w:tc>
        <w:tc>
          <w:tcPr>
            <w:tcW w:w="820" w:type="dxa"/>
            <w:vAlign w:val="bottom"/>
            <w:gridSpan w:val="2"/>
          </w:tcPr>
          <w:p>
            <w:pPr>
              <w:spacing w:after="0"/>
              <w:rPr>
                <w:sz w:val="20"/>
                <w:szCs w:val="20"/>
                <w:color w:val="auto"/>
              </w:rPr>
            </w:pPr>
            <w:r>
              <w:rPr>
                <w:rFonts w:ascii="Arial" w:cs="Arial" w:eastAsia="Arial" w:hAnsi="Arial"/>
                <w:sz w:val="18"/>
                <w:szCs w:val="18"/>
                <w:color w:val="auto"/>
              </w:rPr>
              <w:t>$ 186</w:t>
            </w:r>
          </w:p>
        </w:tc>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$437</w:t>
            </w: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$633</w:t>
            </w:r>
          </w:p>
        </w:tc>
        <w:tc>
          <w:tcPr>
            <w:tcW w:w="4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$957</w:t>
            </w:r>
          </w:p>
        </w:tc>
        <w:tc>
          <w:tcPr>
            <w:tcW w:w="0" w:type="dxa"/>
            <w:vAlign w:val="bottom"/>
          </w:tcPr>
          <w:p>
            <w:pPr>
              <w:spacing w:after="0"/>
              <w:rPr>
                <w:sz w:val="1"/>
                <w:szCs w:val="1"/>
                <w:color w:val="auto"/>
              </w:rPr>
            </w:pPr>
          </w:p>
        </w:tc>
      </w:tr>
      <w:tr>
        <w:trPr>
          <w:trHeight w:val="365"/>
        </w:trPr>
        <w:tc>
          <w:tcPr>
            <w:tcW w:w="4680" w:type="dxa"/>
            <w:vAlign w:val="bottom"/>
          </w:tcPr>
          <w:p>
            <w:pPr>
              <w:spacing w:after="0"/>
              <w:rPr>
                <w:sz w:val="24"/>
                <w:szCs w:val="24"/>
                <w:color w:val="auto"/>
              </w:rPr>
            </w:pPr>
          </w:p>
        </w:tc>
        <w:tc>
          <w:tcPr>
            <w:tcW w:w="2620" w:type="dxa"/>
            <w:vAlign w:val="bottom"/>
          </w:tcPr>
          <w:p>
            <w:pPr>
              <w:ind w:left="260"/>
              <w:spacing w:after="0"/>
              <w:rPr>
                <w:sz w:val="20"/>
                <w:szCs w:val="20"/>
                <w:color w:val="auto"/>
              </w:rPr>
            </w:pPr>
            <w:r>
              <w:rPr>
                <w:rFonts w:ascii="Arial" w:cs="Arial" w:eastAsia="Arial" w:hAnsi="Arial"/>
                <w:sz w:val="18"/>
                <w:szCs w:val="18"/>
                <w:color w:val="auto"/>
              </w:rPr>
              <w:t>S-7</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01" w:right="439" w:bottom="1440" w:gutter="0" w:footer="0" w:header="0"/>
        </w:sectPr>
      </w:pPr>
    </w:p>
    <w:bookmarkStart w:id="11" w:name="page12"/>
    <w:bookmarkEnd w:id="1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5.0% annual return, our performance will vary and may result in a return greater or less than 5.0%. If we were to earn an annual return equal to or less than 5.0%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“Item 5. Market for Registrant’s Common Equity, Related Stockholder Matters and Issuer Purchases of Equity Securities-Distributions” in our most recent Annual Report on Form 10-K for more information.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80"/>
          </w:cols>
          <w:pgMar w:left="440" w:top="301" w:right="479" w:bottom="1440" w:gutter="0" w:footer="0" w:header="0"/>
        </w:sectPr>
      </w:pPr>
    </w:p>
    <w:bookmarkStart w:id="12" w:name="page13"/>
    <w:bookmarkEnd w:id="1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RISK FACTORS</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Investing in our shares of our common stock may be speculative and involves a high degree of risk. You should carefully consider the risk factors incorporated by reference from our most recent Annual Report on Form 10-K and our most recent Quarterly Report on Form 10-Q as well as other information contained or incorporated by reference into this prospectus supplement and the accompanying prospectus, any free writing prospectus we have authorized for use in connection with this offering and under similar headings in the documents that we file with the SEC on or after the date of this prospectus supplement and are incorporated by reference into this prospectus supplement and the accompanying prospectus.</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risks described in these documents are not the only risks we face. Additional risks and uncertainties not currently known to us or that we currently deem to be immaterial also may materially adversely affect our business, financial condition and/or operating results. In such case, our NAV and the trading price of our common stock could decline, and you may lose all or part of your investment.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0840"/>
          </w:cols>
          <w:pgMar w:left="440" w:top="297" w:right="61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FORWARD-LOOKING STATEMENTS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prospectus supplement, including the documents we incorporate by reference herein, and the accompanying prospectus and any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including the documents we incorporate by reference herein, and the accompanying prospectus and any free writing prospectus, including the documents we incorporate by reference therein, involve risks and uncertainties, including statements as to:</w:t>
      </w:r>
    </w:p>
    <w:p>
      <w:pPr>
        <w:spacing w:after="0" w:line="83"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960" w:right="20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 including as a result of the current pandemic caused by COVID-19;</w:t>
      </w:r>
    </w:p>
    <w:p>
      <w:pPr>
        <w:spacing w:after="0" w:line="75" w:lineRule="exact"/>
        <w:rPr>
          <w:rFonts w:ascii="Arial" w:cs="Arial" w:eastAsia="Arial" w:hAnsi="Arial"/>
          <w:sz w:val="18"/>
          <w:szCs w:val="18"/>
          <w:color w:val="auto"/>
        </w:rPr>
      </w:pPr>
    </w:p>
    <w:p>
      <w:pPr>
        <w:ind w:left="960" w:hanging="424"/>
        <w:spacing w:after="0" w:line="34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continue to effectively manage our business due to the significant disruptions caused by the current COVID-19 pandemic;</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expected financings and investments and ability to fund capital commitments to PSSL;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United Kingdom’s withdrawal from the European Union (commonly known as “Brexit”) and other world economic and political issues.</w:t>
      </w:r>
    </w:p>
    <w:p>
      <w:pPr>
        <w:spacing w:after="0" w:line="17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in our most recent Annual Report 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0980"/>
          </w:cols>
          <w:pgMar w:left="440" w:top="297" w:right="479" w:bottom="1440" w:gutter="0" w:footer="0" w:header="0"/>
        </w:sectPr>
      </w:pPr>
    </w:p>
    <w:bookmarkStart w:id="14" w:name="page15"/>
    <w:bookmarkEnd w:id="14"/>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Form 10-K, our most recent Quarterly Report on Form 10-Q, in the documents incorporated by reference herein, and elsewhere in this prospectus supplement and the accompany prospectus.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the documents we incorporate by reference therein, should not be regarded as a representation by us that our plans and objectives will be achieved. 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SEC including Annual Reports on Form 10-K, Quarterly Reports on Form 10-Q and Current Reports on Form 8-K.</w:t>
      </w:r>
    </w:p>
    <w:p>
      <w:pPr>
        <w:spacing w:after="0" w:line="18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You should understand that, under Sections 27A(b)(2)(B) of the Securities Act of 1933, as amended, or the Securities Act, and Section 21E(b)(2)(B) of the Securities Exchange Act of 1934, as amended, or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0980"/>
          </w:cols>
          <w:pgMar w:left="440" w:top="301" w:right="47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USE OF PROCEEDS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estimate that net proceeds we will receive from the sale of 4,000,000 shares of our common stock in this offering will be approximately $47.9 million (or approximately $55.1 million if the underwriters fully exercise their option to purchase additional shares), in each case based on a public offering price of $12.40 per share, after deducting underwriting discounts and commissions of approximately $1.5 million (or approximately $1.7 million if the underwriters fully exercise their option to purchase additional shares) and estimated offering expenses of approximately $250,000 payable by us.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expect to use the net proceeds from selling securities pursuant to this prospectus supplement to reduce outstanding obligations under our existing indebtedness, to invest in new or existing portfolio companies, to capitalize a subsidiary or new joint venture or for other general corporate or strategic purposes. Affiliates of certain of the underwriters serve as lenders under our Credit Facility and thereby may receive proceeds from this offering that are used to reduce our outstanding obligations under our Credit Facility.</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June 30, 2022, Funding I had approximately $259.3 million in outstanding borrowings under the Credit Facility. Borrowings under the Credit Facility bear interest at an annual rate equal to LIBOR (or an alternative risk-free floating interest rate index) plus 225 basis points and, after the revolving period that ends in August 2024, the rate sets to LIBOR (or an alternative risk-free floating interest rate index) plus 250 basis points for the remaining two years, maturing in August 2026. At June 30, 2022, the weighted average interest rate of the Credit Facility was 3.3%, exclusive of the fee on undrawn commitments. The Credit Facility is secured by all of the assets of Funding I and we own 100% of the equity interest in Funding I and treat the indebtedness of Funding I as our leverage.</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w:t>
      </w:r>
      <w:r>
        <w:rPr>
          <w:rFonts w:ascii="Arial" w:cs="Arial" w:eastAsia="Arial" w:hAnsi="Arial"/>
          <w:sz w:val="17"/>
          <w:szCs w:val="17"/>
          <w:i w:val="1"/>
          <w:iCs w:val="1"/>
          <w:color w:val="auto"/>
        </w:rPr>
        <w:t>Business—Regulation—Temporary</w:t>
      </w:r>
      <w:r>
        <w:rPr>
          <w:rFonts w:ascii="Arial" w:cs="Arial" w:eastAsia="Arial" w:hAnsi="Arial"/>
          <w:sz w:val="17"/>
          <w:szCs w:val="17"/>
          <w:color w:val="auto"/>
        </w:rPr>
        <w:t xml:space="preserve"> </w:t>
      </w:r>
      <w:r>
        <w:rPr>
          <w:rFonts w:ascii="Arial" w:cs="Arial" w:eastAsia="Arial" w:hAnsi="Arial"/>
          <w:sz w:val="17"/>
          <w:szCs w:val="17"/>
          <w:i w:val="1"/>
          <w:iCs w:val="1"/>
          <w:color w:val="auto"/>
        </w:rPr>
        <w:t>Investments</w:t>
      </w:r>
      <w:r>
        <w:rPr>
          <w:rFonts w:ascii="Arial" w:cs="Arial" w:eastAsia="Arial" w:hAnsi="Arial"/>
          <w:sz w:val="17"/>
          <w:szCs w:val="17"/>
          <w:color w:val="auto"/>
        </w:rPr>
        <w:t>” in our most recently filed Annual Report on Form 10-K for more information.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0980"/>
          </w:cols>
          <w:pgMar w:left="440" w:top="297" w:right="479" w:bottom="1440" w:gutter="0" w:footer="0" w:header="0"/>
        </w:sectPr>
      </w:pPr>
    </w:p>
    <w:bookmarkStart w:id="16" w:name="page17"/>
    <w:bookmarkEnd w:id="1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PRICE RANGE OF COMMON STOCK</w:t>
      </w:r>
    </w:p>
    <w:p>
      <w:pPr>
        <w:spacing w:after="0" w:line="229"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Our common stock is traded on the NYSE under the symbol “PFLT.” Prior to April 14, 2022, our common stock was traded on The Nasdaq Global Select Market under the same symbol. The following table lists the high and low closing sale prices for our common stock, the closing sale prices as a premium or (discount) to our NAV and quarterly distributions per share since October 1, 2019. On August 8, 2022, the last reported closing price of our common stock was $13.19 per share.</w:t>
      </w:r>
    </w:p>
    <w:p>
      <w:pPr>
        <w:spacing w:after="0" w:line="19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4"/>
            <w:vMerge w:val="restart"/>
          </w:tcPr>
          <w:p>
            <w:pPr>
              <w:jc w:val="right"/>
              <w:ind w:right="68"/>
              <w:spacing w:after="0"/>
              <w:rPr>
                <w:sz w:val="20"/>
                <w:szCs w:val="20"/>
                <w:color w:val="auto"/>
              </w:rPr>
            </w:pPr>
            <w:r>
              <w:rPr>
                <w:rFonts w:ascii="Arial" w:cs="Arial" w:eastAsia="Arial" w:hAnsi="Arial"/>
                <w:sz w:val="14"/>
                <w:szCs w:val="14"/>
                <w:b w:val="1"/>
                <w:bCs w:val="1"/>
                <w:color w:val="auto"/>
              </w:rPr>
              <w:t>Closing Sales Price</w:t>
            </w:r>
          </w:p>
        </w:tc>
        <w:tc>
          <w:tcPr>
            <w:tcW w:w="420" w:type="dxa"/>
            <w:vAlign w:val="bottom"/>
            <w:vMerge w:val="restart"/>
          </w:tcPr>
          <w:p>
            <w:pPr>
              <w:spacing w:after="0"/>
              <w:rPr>
                <w:sz w:val="14"/>
                <w:szCs w:val="14"/>
                <w:color w:val="auto"/>
              </w:rPr>
            </w:pPr>
          </w:p>
        </w:tc>
        <w:tc>
          <w:tcPr>
            <w:tcW w:w="18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Premium (Discount)</w:t>
            </w:r>
          </w:p>
        </w:tc>
        <w:tc>
          <w:tcPr>
            <w:tcW w:w="18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Premium (Discount)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20" w:type="dxa"/>
            <w:vAlign w:val="bottom"/>
          </w:tcPr>
          <w:p>
            <w:pPr>
              <w:spacing w:after="0"/>
              <w:rPr>
                <w:sz w:val="6"/>
                <w:szCs w:val="6"/>
                <w:color w:val="auto"/>
              </w:rPr>
            </w:pPr>
          </w:p>
        </w:tc>
        <w:tc>
          <w:tcPr>
            <w:tcW w:w="2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tcBorders>
              <w:bottom w:val="single" w:sz="8" w:color="auto"/>
            </w:tcBorders>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84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of High Sales</w:t>
            </w:r>
          </w:p>
        </w:tc>
        <w:tc>
          <w:tcPr>
            <w:tcW w:w="1820" w:type="dxa"/>
            <w:vAlign w:val="bottom"/>
            <w:gridSpan w:val="2"/>
            <w:vMerge w:val="restart"/>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of Low Sales</w:t>
            </w:r>
          </w:p>
        </w:tc>
        <w:tc>
          <w:tcPr>
            <w:tcW w:w="10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5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2700" w:type="dxa"/>
            <w:vAlign w:val="bottom"/>
            <w:vMerge w:val="restart"/>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8"/>
                <w:szCs w:val="8"/>
                <w:b w:val="1"/>
                <w:bCs w:val="1"/>
                <w:color w:val="auto"/>
              </w:rPr>
              <w:t>(1)</w:t>
            </w:r>
          </w:p>
        </w:tc>
        <w:tc>
          <w:tcPr>
            <w:tcW w:w="200" w:type="dxa"/>
            <w:vAlign w:val="bottom"/>
          </w:tcPr>
          <w:p>
            <w:pPr>
              <w:spacing w:after="0"/>
              <w:rPr>
                <w:sz w:val="4"/>
                <w:szCs w:val="4"/>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4"/>
                <w:szCs w:val="4"/>
                <w:color w:val="auto"/>
              </w:rPr>
            </w:pPr>
          </w:p>
        </w:tc>
        <w:tc>
          <w:tcPr>
            <w:tcW w:w="9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Low</w:t>
            </w:r>
          </w:p>
        </w:tc>
        <w:tc>
          <w:tcPr>
            <w:tcW w:w="1840" w:type="dxa"/>
            <w:vAlign w:val="bottom"/>
            <w:gridSpan w:val="2"/>
            <w:vMerge w:val="continue"/>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84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5"/>
              </w:rPr>
              <w:t>Price to NAV</w:t>
            </w:r>
            <w:r>
              <w:rPr>
                <w:rFonts w:ascii="Arial" w:cs="Arial" w:eastAsia="Arial" w:hAnsi="Arial"/>
                <w:sz w:val="8"/>
                <w:szCs w:val="8"/>
                <w:b w:val="1"/>
                <w:bCs w:val="1"/>
                <w:color w:val="auto"/>
                <w:w w:val="95"/>
              </w:rPr>
              <w:t>(2)</w:t>
            </w:r>
          </w:p>
        </w:tc>
        <w:tc>
          <w:tcPr>
            <w:tcW w:w="182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7"/>
              </w:rPr>
              <w:t>Price to NAV</w:t>
            </w:r>
            <w:r>
              <w:rPr>
                <w:rFonts w:ascii="Arial" w:cs="Arial" w:eastAsia="Arial" w:hAnsi="Arial"/>
                <w:sz w:val="8"/>
                <w:szCs w:val="8"/>
                <w:b w:val="1"/>
                <w:bCs w:val="1"/>
                <w:color w:val="auto"/>
                <w:w w:val="97"/>
              </w:rPr>
              <w:t>(2)</w:t>
            </w:r>
          </w:p>
        </w:tc>
        <w:tc>
          <w:tcPr>
            <w:tcW w:w="100" w:type="dxa"/>
            <w:vAlign w:val="bottom"/>
          </w:tcPr>
          <w:p>
            <w:pPr>
              <w:spacing w:after="0"/>
              <w:rPr>
                <w:sz w:val="15"/>
                <w:szCs w:val="15"/>
                <w:color w:val="auto"/>
              </w:rPr>
            </w:pPr>
          </w:p>
        </w:tc>
        <w:tc>
          <w:tcPr>
            <w:tcW w:w="9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90"/>
        </w:trPr>
        <w:tc>
          <w:tcPr>
            <w:tcW w:w="3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Ending September 30, 2022</w:t>
            </w:r>
          </w:p>
        </w:tc>
        <w:tc>
          <w:tcPr>
            <w:tcW w:w="4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Fourth quarter (as of August 8, 2022)</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 N/A</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$ 13.19</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$ 11.85</w:t>
            </w:r>
          </w:p>
        </w:tc>
        <w:tc>
          <w:tcPr>
            <w:tcW w:w="18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18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300"/>
              <w:spacing w:after="0" w:line="216" w:lineRule="exact"/>
              <w:rPr>
                <w:sz w:val="20"/>
                <w:szCs w:val="20"/>
                <w:color w:val="auto"/>
              </w:rPr>
            </w:pPr>
            <w:r>
              <w:rPr>
                <w:rFonts w:ascii="Arial" w:cs="Arial" w:eastAsia="Arial" w:hAnsi="Arial"/>
                <w:sz w:val="18"/>
                <w:szCs w:val="18"/>
                <w:color w:val="auto"/>
                <w:w w:val="92"/>
              </w:rPr>
              <w:t>0.095</w:t>
            </w:r>
            <w:r>
              <w:rPr>
                <w:rFonts w:ascii="Arial" w:cs="Arial" w:eastAsia="Arial" w:hAnsi="Arial"/>
                <w:sz w:val="22"/>
                <w:szCs w:val="22"/>
                <w:color w:val="auto"/>
                <w:w w:val="92"/>
                <w:vertAlign w:val="superscript"/>
              </w:rPr>
              <w:t>(3)</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12.21</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14.20</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10.45</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w:t>
            </w:r>
          </w:p>
        </w:tc>
        <w:tc>
          <w:tcPr>
            <w:tcW w:w="1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12.62</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13.56</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12.23</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7</w:t>
            </w:r>
          </w:p>
        </w:tc>
        <w:tc>
          <w:tcPr>
            <w:tcW w:w="182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12.70</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13.80</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12.23</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Year Ended September 30, 2021</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12.62</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13.41</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12.51</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1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12.81</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13.19</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11.94</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1820" w:type="dxa"/>
            <w:vAlign w:val="bottom"/>
            <w:gridSpan w:val="2"/>
          </w:tcPr>
          <w:p>
            <w:pPr>
              <w:jc w:val="right"/>
              <w:ind w:right="5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12.71</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12.63</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10.46</w:t>
            </w:r>
          </w:p>
        </w:tc>
        <w:tc>
          <w:tcPr>
            <w:tcW w:w="1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1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12.70</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10.96</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7.80</w:t>
            </w:r>
          </w:p>
        </w:tc>
        <w:tc>
          <w:tcPr>
            <w:tcW w:w="1840" w:type="dxa"/>
            <w:vAlign w:val="bottom"/>
            <w:gridSpan w:val="2"/>
          </w:tcPr>
          <w:p>
            <w:pPr>
              <w:jc w:val="right"/>
              <w:ind w:right="520"/>
              <w:spacing w:after="0"/>
              <w:rPr>
                <w:sz w:val="20"/>
                <w:szCs w:val="20"/>
                <w:color w:val="auto"/>
              </w:rPr>
            </w:pPr>
            <w:r>
              <w:rPr>
                <w:rFonts w:ascii="Arial" w:cs="Arial" w:eastAsia="Arial" w:hAnsi="Arial"/>
                <w:sz w:val="18"/>
                <w:szCs w:val="18"/>
                <w:color w:val="auto"/>
              </w:rPr>
              <w:t>(14)</w:t>
            </w:r>
          </w:p>
        </w:tc>
        <w:tc>
          <w:tcPr>
            <w:tcW w:w="1820" w:type="dxa"/>
            <w:vAlign w:val="bottom"/>
            <w:gridSpan w:val="2"/>
          </w:tcPr>
          <w:p>
            <w:pPr>
              <w:jc w:val="right"/>
              <w:ind w:right="5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September 30, 2020</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12.31</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8.82</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7.98</w:t>
            </w:r>
          </w:p>
        </w:tc>
        <w:tc>
          <w:tcPr>
            <w:tcW w:w="1840" w:type="dxa"/>
            <w:vAlign w:val="bottom"/>
            <w:gridSpan w:val="2"/>
          </w:tcPr>
          <w:p>
            <w:pPr>
              <w:jc w:val="right"/>
              <w:ind w:right="520"/>
              <w:spacing w:after="0"/>
              <w:rPr>
                <w:sz w:val="20"/>
                <w:szCs w:val="20"/>
                <w:color w:val="auto"/>
              </w:rPr>
            </w:pPr>
            <w:r>
              <w:rPr>
                <w:rFonts w:ascii="Arial" w:cs="Arial" w:eastAsia="Arial" w:hAnsi="Arial"/>
                <w:sz w:val="18"/>
                <w:szCs w:val="18"/>
                <w:color w:val="auto"/>
              </w:rPr>
              <w:t>(28)</w:t>
            </w:r>
          </w:p>
        </w:tc>
        <w:tc>
          <w:tcPr>
            <w:tcW w:w="1820" w:type="dxa"/>
            <w:vAlign w:val="bottom"/>
            <w:gridSpan w:val="2"/>
          </w:tcPr>
          <w:p>
            <w:pPr>
              <w:jc w:val="right"/>
              <w:ind w:right="5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12.16</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9.48</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4.46</w:t>
            </w:r>
          </w:p>
        </w:tc>
        <w:tc>
          <w:tcPr>
            <w:tcW w:w="1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w:t>
            </w:r>
          </w:p>
        </w:tc>
        <w:tc>
          <w:tcPr>
            <w:tcW w:w="1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12.12</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12.67</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3.75</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1820" w:type="dxa"/>
            <w:vAlign w:val="bottom"/>
            <w:gridSpan w:val="2"/>
          </w:tcPr>
          <w:p>
            <w:pPr>
              <w:jc w:val="right"/>
              <w:ind w:right="5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12.95</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12.56</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11.33</w:t>
            </w:r>
          </w:p>
        </w:tc>
        <w:tc>
          <w:tcPr>
            <w:tcW w:w="1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24" w:right="160" w:hanging="424"/>
        <w:spacing w:after="0" w:line="277"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less NAV per share, divided by the quarter-end NAV per share.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a distribution of $0.095 per share payable on September 1, 2022 to stockholders of record as of August 18, 2022.</w:t>
      </w:r>
    </w:p>
    <w:p>
      <w:pPr>
        <w:spacing w:after="0" w:line="225" w:lineRule="exact"/>
        <w:rPr>
          <w:sz w:val="20"/>
          <w:szCs w:val="20"/>
          <w:color w:val="auto"/>
        </w:rPr>
      </w:pPr>
    </w:p>
    <w:p>
      <w:pPr>
        <w:ind w:left="4" w:right="100"/>
        <w:spacing w:after="0" w:line="275" w:lineRule="auto"/>
        <w:rPr>
          <w:sz w:val="20"/>
          <w:szCs w:val="20"/>
          <w:color w:val="auto"/>
        </w:rPr>
      </w:pPr>
      <w:r>
        <w:rPr>
          <w:rFonts w:ascii="Arial" w:cs="Arial" w:eastAsia="Arial" w:hAnsi="Arial"/>
          <w:sz w:val="17"/>
          <w:szCs w:val="17"/>
          <w:color w:val="auto"/>
        </w:rPr>
        <w:t>Shares of BDCs may trade at a market price both above and below the NAV that is attributable to those shares. Our shares have traded above and below our NAV. Our shares closed on the relevant exchange at $11.48 and $12.79 on June 30, 2022 and September 30, 2021, respectively. Our NAV per share was $12.21 and $12.62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June 30, 2022, we had 37 stockholders of record.</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024"/>
          </w:cols>
          <w:pgMar w:left="436" w:top="297" w:right="439" w:bottom="1440" w:gutter="0" w:footer="0" w:header="0"/>
        </w:sectPr>
      </w:pPr>
    </w:p>
    <w:bookmarkStart w:id="17" w:name="page18"/>
    <w:bookmarkEnd w:id="17"/>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CAPITALIZATION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sets forth:</w:t>
      </w:r>
    </w:p>
    <w:p>
      <w:pPr>
        <w:spacing w:after="0" w:line="131" w:lineRule="exact"/>
        <w:rPr>
          <w:sz w:val="20"/>
          <w:szCs w:val="20"/>
          <w:color w:val="auto"/>
        </w:rPr>
      </w:pPr>
    </w:p>
    <w:p>
      <w:pPr>
        <w:ind w:left="964" w:hanging="424"/>
        <w:spacing w:after="0"/>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actual capitalization as of June 30, 2022; and</w:t>
      </w:r>
    </w:p>
    <w:p>
      <w:pPr>
        <w:spacing w:after="0" w:line="130" w:lineRule="exact"/>
        <w:rPr>
          <w:rFonts w:ascii="Arial" w:cs="Arial" w:eastAsia="Arial" w:hAnsi="Arial"/>
          <w:sz w:val="18"/>
          <w:szCs w:val="18"/>
          <w:color w:val="auto"/>
        </w:rPr>
      </w:pPr>
    </w:p>
    <w:p>
      <w:pPr>
        <w:ind w:left="964" w:right="260" w:hanging="424"/>
        <w:spacing w:after="0" w:line="286" w:lineRule="auto"/>
        <w:tabs>
          <w:tab w:leader="none" w:pos="964"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pro forma capitalization to give effect to the sale of shares of our common stock in this offering (assuming no exercise of the underwriters’ option to purchase additional shares) based on the public offering price of $12.40 per share, after deducting underwriting discounts and commission and estimated offering expenses of approximately $250,000 payable by us.</w:t>
      </w:r>
    </w:p>
    <w:p>
      <w:pPr>
        <w:spacing w:after="0" w:line="165"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This table should be read in conjunction with the “Use of Proceeds” section of this prospectus supplement, the “Management’s Discussion and Analysis of Financial Condition and Results of Operations” section and the financial statements and notes thereto in our most recently filed Annual Report on Form 10-K and our most recently filed Quarterly Report on Form 10-Q.</w:t>
      </w:r>
    </w:p>
    <w:p>
      <w:pPr>
        <w:spacing w:after="0" w:line="202"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As of June 30, 2022</w:t>
      </w:r>
    </w:p>
    <w:p>
      <w:pPr>
        <w:jc w:val="center"/>
        <w:ind w:left="7660"/>
        <w:spacing w:after="0" w:line="236" w:lineRule="auto"/>
        <w:rPr>
          <w:sz w:val="20"/>
          <w:szCs w:val="20"/>
          <w:color w:val="auto"/>
        </w:rPr>
      </w:pPr>
      <w:r>
        <w:rPr>
          <w:rFonts w:ascii="Arial" w:cs="Arial" w:eastAsia="Arial" w:hAnsi="Arial"/>
          <w:sz w:val="14"/>
          <w:szCs w:val="14"/>
          <w:b w:val="1"/>
          <w:bCs w:val="1"/>
          <w:color w:val="auto"/>
        </w:rPr>
        <w:t>(unaudited)</w:t>
      </w:r>
    </w:p>
    <w:tbl>
      <w:tblPr>
        <w:tblLayout w:type="fixed"/>
        <w:tblInd w:w="444"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80" w:type="dxa"/>
            <w:vAlign w:val="bottom"/>
            <w:tcBorders>
              <w:top w:val="single" w:sz="8" w:color="auto"/>
            </w:tcBorders>
            <w:gridSpan w:val="6"/>
          </w:tcPr>
          <w:p>
            <w:pPr>
              <w:ind w:left="100"/>
              <w:spacing w:after="0" w:line="119" w:lineRule="exact"/>
              <w:rPr>
                <w:sz w:val="20"/>
                <w:szCs w:val="20"/>
                <w:color w:val="auto"/>
              </w:rPr>
            </w:pPr>
            <w:r>
              <w:rPr>
                <w:rFonts w:ascii="Arial" w:cs="Arial" w:eastAsia="Arial" w:hAnsi="Arial"/>
                <w:sz w:val="13"/>
                <w:szCs w:val="13"/>
                <w:b w:val="1"/>
                <w:bCs w:val="1"/>
                <w:color w:val="auto"/>
              </w:rPr>
              <w:t>(dollars in thousands, except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7"/>
          </w:tcPr>
          <w:p>
            <w:pPr>
              <w:jc w:val="right"/>
              <w:ind w:right="760"/>
              <w:spacing w:after="0" w:line="149" w:lineRule="exact"/>
              <w:rPr>
                <w:sz w:val="20"/>
                <w:szCs w:val="20"/>
                <w:color w:val="auto"/>
              </w:rPr>
            </w:pPr>
            <w:r>
              <w:rPr>
                <w:rFonts w:ascii="Arial" w:cs="Arial" w:eastAsia="Arial" w:hAnsi="Arial"/>
                <w:sz w:val="14"/>
                <w:szCs w:val="14"/>
                <w:b w:val="1"/>
                <w:bCs w:val="1"/>
                <w:color w:val="auto"/>
              </w:rPr>
              <w:t>data per share)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ind w:left="100"/>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4"/>
                <w:szCs w:val="1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Pro Forma(1)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1,226,442</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1,226,442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24,096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24,096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1,291,154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1,339,016</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253,443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2023 Notes payable</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94,717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94,717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2026 Notes payable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182,082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2031 Asset-Backed Debt</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225,970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225,970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30,029</w:t>
            </w: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786,241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786,241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spacing w:after="0" w:line="201" w:lineRule="exact"/>
              <w:rPr>
                <w:sz w:val="20"/>
                <w:szCs w:val="20"/>
                <w:color w:val="auto"/>
              </w:rPr>
            </w:pPr>
            <w:r>
              <w:rPr>
                <w:rFonts w:ascii="Arial" w:cs="Arial" w:eastAsia="Arial" w:hAnsi="Arial"/>
                <w:sz w:val="18"/>
                <w:szCs w:val="18"/>
                <w:color w:val="auto"/>
                <w:w w:val="95"/>
              </w:rPr>
              <w:t>Common stock, par value $0.001 per share, 41,345,638 shares issued and outstanding as of June 30,</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2022, 45,345,638 shares issued and outstanding pro forma</w:t>
            </w: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570,663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(65,791)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(65,791)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552,775</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4" w:right="540" w:hanging="424"/>
        <w:spacing w:after="0" w:line="27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up to 600,000 shares of our common stock issuable by us upon exercise of the underwriters’ option to purchase additional shares (assuming the net proceeds from this offering are invested in cash and cash equivalents).</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0944"/>
          </w:cols>
          <w:pgMar w:left="436" w:top="297" w:right="51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UNDERWRITING</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intend to offer the shares through the underwriters named in the table below. Morgan Stanley &amp; Co. LLC, Goldman Sachs &amp; Co. LLC, J.P. Morgan Securities LLC, Keefe, Bruyette &amp; Woods, Inc., RBC Capital Markets, LLC and Truist Securities, Inc.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94"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 Names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58"/>
        </w:trPr>
        <w:tc>
          <w:tcPr>
            <w:tcW w:w="6440" w:type="dxa"/>
            <w:vAlign w:val="bottom"/>
            <w:gridSpan w:val="3"/>
            <w:vMerge w:val="continue"/>
          </w:tcPr>
          <w:p>
            <w:pPr>
              <w:spacing w:after="0"/>
              <w:rPr>
                <w:sz w:val="13"/>
                <w:szCs w:val="13"/>
                <w:color w:val="auto"/>
              </w:rPr>
            </w:pPr>
          </w:p>
        </w:tc>
        <w:tc>
          <w:tcPr>
            <w:tcW w:w="104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bottom w:val="single" w:sz="8" w:color="CCEEFF"/>
            </w:tcBorders>
            <w:shd w:val="clear" w:color="auto" w:fill="000000"/>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Morgan Stanley &amp; Co. LLC</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Keefe, Bruyette &amp; Woods, Inc.</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Truist Securities, Inc.</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Janney Montgomery Scott LLC</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Ladenburg Thalmann &amp; Co. Inc.</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 Group LLC</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Comerica Securities, Inc.</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option to purchase additional shares described below, if they purchase any of the shares. The underwriters reserve the right to withdraw, cancel or modify offers to the public and to reject orders in whole or in part.</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and breaches of representations and warranties set forth in the underwriting agreement, or to contribute to payments the underwriters may be required to make in respect of those liabilities.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underwriters have advised us that they propose initially to offer the shares to the public at the public offering price on the cover page of this prospectus supplement and to certain other Financial Industry Regulatory Authority (FINRA) members at that price less a concession not in excess of $0.30 per share. After the public offering, the public offering price, concession and discount may be changed. No such change shall change the amount of proceeds to be received by us as set forth on the cover page of this prospectus supplement.</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option to purchase up to an additional 600,000 shares.</w:t>
      </w:r>
    </w:p>
    <w:p>
      <w:pPr>
        <w:spacing w:after="0" w:line="189"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4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Without Option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With Option</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12.400</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49,600,000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57,040,000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Underwriting discounts and commissions (sales load)</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0.372</w:t>
            </w:r>
          </w:p>
        </w:tc>
        <w:tc>
          <w:tcPr>
            <w:tcW w:w="5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1,488,000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1,711,200</w:t>
            </w:r>
          </w:p>
        </w:tc>
        <w:tc>
          <w:tcPr>
            <w:tcW w:w="80" w:type="dxa"/>
            <w:vAlign w:val="bottom"/>
          </w:tcPr>
          <w:p>
            <w:pPr>
              <w:spacing w:after="0"/>
              <w:rPr>
                <w:sz w:val="18"/>
                <w:szCs w:val="18"/>
                <w:color w:val="auto"/>
              </w:rPr>
            </w:pPr>
          </w:p>
        </w:tc>
      </w:tr>
      <w:tr>
        <w:trPr>
          <w:trHeight w:val="202"/>
        </w:trPr>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Proceeds to PennantPark Floating Rate Capital Ltd. (before offering</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 of $250,000)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12.028</w:t>
            </w:r>
          </w:p>
        </w:tc>
        <w:tc>
          <w:tcPr>
            <w:tcW w:w="5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48,112,000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55,328,800</w:t>
            </w:r>
          </w:p>
        </w:tc>
        <w:tc>
          <w:tcPr>
            <w:tcW w:w="80" w:type="dxa"/>
            <w:vAlign w:val="bottom"/>
            <w:shd w:val="clear" w:color="auto" w:fill="CCEEFF"/>
          </w:tcPr>
          <w:p>
            <w:pPr>
              <w:spacing w:after="0"/>
              <w:rPr>
                <w:sz w:val="20"/>
                <w:szCs w:val="20"/>
                <w:color w:val="auto"/>
              </w:rPr>
            </w:pPr>
          </w:p>
        </w:tc>
      </w:tr>
      <w:tr>
        <w:trPr>
          <w:trHeight w:val="365"/>
        </w:trPr>
        <w:tc>
          <w:tcPr>
            <w:tcW w:w="5260" w:type="dxa"/>
            <w:vAlign w:val="bottom"/>
          </w:tcPr>
          <w:p>
            <w:pPr>
              <w:ind w:left="4460"/>
              <w:spacing w:after="0"/>
              <w:rPr>
                <w:sz w:val="20"/>
                <w:szCs w:val="20"/>
                <w:color w:val="auto"/>
              </w:rPr>
            </w:pPr>
            <w:r>
              <w:rPr>
                <w:rFonts w:ascii="Arial" w:cs="Arial" w:eastAsia="Arial" w:hAnsi="Arial"/>
                <w:sz w:val="18"/>
                <w:szCs w:val="18"/>
                <w:color w:val="auto"/>
              </w:rPr>
              <w:t>S-15</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960"/>
          </w:cols>
          <w:pgMar w:left="440" w:top="297" w:right="4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Option to Purchase Additional Shares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granted an option to the underwriters to purchase up to 600,000 additional shares at the public offering price less the underwriting discount. The underwriters may exercise this option for 30 days from the date of this prospectus supplement. If the underwriters exercise this option, each will be obligated, subject to conditions contained in the underwriting agreement, to purchase the additional shares approximately proportionate to that underwriter’s initial purchase commitment.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agreed, with exceptions, not to sell or transfer any shares for 60 days after the date of this prospectus supplement without first obtaining the written consent of Morgan Stanley &amp; Co. LLC.</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executive officers and directors, PennantPark Investment Advisers, and Pennant Park Investment Administration have agreed, with exceptions, not to sell or transfer any common stock for 60 days after the date of this prospectus supplement without first obtaining the written consent of Morgan Stanley &amp; Co. LLC. Specifically, we and these other individuals and entities have agreed not to directly or indirectly:</w:t>
      </w:r>
    </w:p>
    <w:p>
      <w:pPr>
        <w:spacing w:after="0" w:line="71" w:lineRule="exact"/>
        <w:rPr>
          <w:sz w:val="20"/>
          <w:szCs w:val="20"/>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130" w:lineRule="exact"/>
        <w:rPr>
          <w:rFonts w:ascii="Arial" w:cs="Arial" w:eastAsia="Arial" w:hAnsi="Arial"/>
          <w:sz w:val="18"/>
          <w:szCs w:val="18"/>
          <w:color w:val="auto"/>
        </w:rPr>
      </w:pPr>
    </w:p>
    <w:p>
      <w:pPr>
        <w:ind w:left="960" w:right="200" w:hanging="424"/>
        <w:spacing w:after="0" w:line="342"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common stock or other securities, in cash or otherwise.</w:t>
      </w:r>
    </w:p>
    <w:p>
      <w:pPr>
        <w:spacing w:after="0" w:line="12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Stock Exchange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NYSE and the TASE under the symbol “PFLT.”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Positions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the offering, the underwriters may purchase and sell our common stock in the open market. These transactions may include short sales and purchases on the open market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the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0980"/>
          </w:cols>
          <w:pgMar w:left="440" w:top="297" w:right="479" w:bottom="1440" w:gutter="0" w:footer="0" w:header="0"/>
        </w:sectPr>
      </w:pPr>
    </w:p>
    <w:bookmarkStart w:id="20" w:name="page21"/>
    <w:bookmarkEnd w:id="20"/>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NYSE, in the over-the-counter market or otherwise.</w:t>
      </w:r>
    </w:p>
    <w:p>
      <w:pPr>
        <w:spacing w:after="0" w:line="187"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underwriters will engage in these transactions or that these transactions, once commenced, will not be discontinued without notice.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Market Making</w:t>
      </w:r>
    </w:p>
    <w:p>
      <w:pPr>
        <w:spacing w:after="0" w:line="121"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In connection with this offering, underwriters may engage in passive market making transactions in the common stock on the NYSE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are not required to engage in passive market making and may end passive market making activities at any time.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Shares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and brokerage and other financing and non-financial activities and services. The underwriters and their respective affiliates have provided in the past to the Company and may provide from time to time in the future in the ordinary course of their business certain commercial banking, financial advisory, investment banking and other services to us for which they have received or will be entitled to receive separate fees and expenses. In particular, the underwriters or their affiliates may execute transactions with or on behalf of the Company. In addition, the underwriters or their affiliates may act as arrangers, underwriters or placement agents for companies whose securities are sold to us.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us or any of the portfolio companies.</w:t>
      </w:r>
    </w:p>
    <w:p>
      <w:pPr>
        <w:spacing w:after="0" w:line="18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000"/>
          </w:cols>
          <w:pgMar w:left="440" w:top="301" w:right="459" w:bottom="1440" w:gutter="0" w:footer="0" w:header="0"/>
        </w:sectPr>
      </w:pPr>
    </w:p>
    <w:bookmarkStart w:id="21" w:name="page22"/>
    <w:bookmarkEnd w:id="21"/>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After the date of this prospectus supplement, the underwriters and their affiliates may from time to time obtain information regarding specific portfolio companies or us that may not be available to the general public.</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such information is obtained by the underwriters and their affiliates in the ordinary course of their business and not in connection with the offering of the common stock. In addition, after the offering period for the sale of our common stock, the underwriters or their affiliates may develop analyses or opinions related to PennantPark Floating Rate Capital Ltd.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Floating Rate Capital Ltd. to our stockholders.</w:t>
      </w:r>
    </w:p>
    <w:p>
      <w:pPr>
        <w:spacing w:after="0" w:line="19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Affiliates of certain of the underwriters serve as agents and/or lenders under our Credit Facility and may serve as lenders under any future credit facilities. Certain of the underwriters and their affiliates were underwriters in connection with our initial public offering and our subsequent common stock offerings and debt offerings for which they received customary fees.</w:t>
      </w:r>
    </w:p>
    <w:p>
      <w:pPr>
        <w:spacing w:after="0" w:line="18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Proceeds of this offering will be used to repay indebtedness under the Credit Facility. Accordingly, affiliates of certain of the underwriters may receive more than 5% of the proceeds of the offering to the extent such proceeds are used to repay amounts outstanding under our Credit Facility.</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principal business addresses of the underwriters are: Morgan Stanley &amp; Co. LLC, 1585 Broadway, New York, NY 10036; Goldman Sachs &amp; Co. LLC, 200 West Street, New York, NY 10282; J.P. Morgan Securities LLC, 383 Madison Avenue, New York, NY 10179; Keefe, Bruyette &amp; Woods, Inc., 787 Seventh Avenue, New York, NY 10019; RBC Capital Markets, LLC, 200 Vesey Street, New York, NY 10281; and Truist Securities, Inc., 3333 Peachtree Road, NE, Atlanta, GA 30326.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this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offer in Australia of our common stock may only be made to persons, or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common stock without disclosure to investors under Chapter 6D of the Corporations Act.</w:t>
      </w:r>
    </w:p>
    <w:p>
      <w:pPr>
        <w:spacing w:after="0" w:line="18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000"/>
          </w:cols>
          <w:pgMar w:left="440" w:top="301" w:right="459" w:bottom="1440" w:gutter="0" w:footer="0" w:header="0"/>
        </w:sectPr>
      </w:pPr>
    </w:p>
    <w:bookmarkStart w:id="22" w:name="page23"/>
    <w:bookmarkEnd w:id="22"/>
    <w:p>
      <w:pPr>
        <w:ind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common stock to which this prospectus supplement relates may be illiquid and/or subject to restrictions on their resale. Prospective purchasers of the common stock offered should conduct their own due diligence on the common stock. If you do not understand the contents of this prospectus supplement you should consult an authorized financial advisor.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Shares of our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000"/>
          </w:cols>
          <w:pgMar w:left="440" w:top="301" w:right="459" w:bottom="1440" w:gutter="0" w:footer="0" w:header="0"/>
        </w:sectPr>
      </w:pPr>
    </w:p>
    <w:bookmarkStart w:id="23" w:name="page24"/>
    <w:bookmarkEnd w:id="2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LEGAL MATTERS</w:t>
      </w:r>
    </w:p>
    <w:p>
      <w:pPr>
        <w:spacing w:after="0" w:line="229"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Certain legal matters regarding the securities offered by this prospectus supplement will be passed upon for PennantPark Floating Rate Capital Ltd. by Dechert LLP and Venable LLP. Certain legal matters in connection with the offering will be passed upon for the underwriters by Kirkland &amp; Ellis LLP.</w:t>
      </w: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consolidated financial statements and the related consolidated senior securities table of PennantPark Floating Rate Capital Ltd. as of September 30, 2021 and 2020 and for each of the years in the three-year period ended September 30, 2021 and the effectiveness of internal control over financial reporting as of September 30, 2021 incorporated in this prospectus supplement by reference from our Annual Report on Form 10-K for the year ended September 30, 2021 have been audited by RSM US LLP, an independent registered public accounting firm, as stated in their reports thereon, incorporated herein by reference, and have been incorporated in this prospectus supplement in reliance upon such reports.</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INDEPENDENT AUDITOR</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consolidated financial statements of PSSL as of and for the fiscal years ended September 30, 2021 and September 30, 2020 included as Exhibits 99.3 and 99.4, respectively, in our Annual Report on Form 10-K for the fiscal year ended September 30, 2021 have been so included in reliance on the report of RSM US LLP.</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0920"/>
          </w:cols>
          <w:pgMar w:left="440" w:top="297" w:right="5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INCORPORATION BY REFERENCE</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This prospectus supplement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supplement.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supplement incorporates by reference the documents set forth below that have previously been filed with the SEC:</w:t>
      </w:r>
    </w:p>
    <w:p>
      <w:pPr>
        <w:spacing w:after="0" w:line="131" w:lineRule="exact"/>
        <w:rPr>
          <w:sz w:val="20"/>
          <w:szCs w:val="20"/>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September 30, 2021, filed with the SEC on November 17, 2021;</w:t>
      </w:r>
    </w:p>
    <w:p>
      <w:pPr>
        <w:spacing w:after="0" w:line="130" w:lineRule="exact"/>
        <w:rPr>
          <w:rFonts w:ascii="Arial" w:cs="Arial" w:eastAsia="Arial" w:hAnsi="Arial"/>
          <w:sz w:val="18"/>
          <w:szCs w:val="18"/>
          <w:color w:val="auto"/>
        </w:rPr>
      </w:pPr>
    </w:p>
    <w:p>
      <w:pPr>
        <w:ind w:left="960" w:right="20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fiscal quarters ended </w:t>
      </w:r>
      <w:hyperlink r:id="rId39">
        <w:r>
          <w:rPr>
            <w:rFonts w:ascii="Arial" w:cs="Arial" w:eastAsia="Arial" w:hAnsi="Arial"/>
            <w:sz w:val="18"/>
            <w:szCs w:val="18"/>
            <w:u w:val="single" w:color="auto"/>
            <w:color w:val="0000EE"/>
          </w:rPr>
          <w:t>December 31, 2021</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EE"/>
          </w:rPr>
          <w:t>March 31,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1">
        <w:r>
          <w:rPr>
            <w:rFonts w:ascii="Arial" w:cs="Arial" w:eastAsia="Arial" w:hAnsi="Arial"/>
            <w:sz w:val="18"/>
            <w:szCs w:val="18"/>
            <w:u w:val="single" w:color="auto"/>
            <w:color w:val="0000EE"/>
          </w:rPr>
          <w:t>June 30, 2022</w:t>
        </w:r>
      </w:hyperlink>
      <w:r>
        <w:rPr>
          <w:rFonts w:ascii="Arial" w:cs="Arial" w:eastAsia="Arial" w:hAnsi="Arial"/>
          <w:sz w:val="18"/>
          <w:szCs w:val="18"/>
          <w:color w:val="auto"/>
        </w:rPr>
        <w:t>, filed with the SEC on February 9, 2022, May 5, 2022 and August 3, 2022, respectively;</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42">
        <w:r>
          <w:rPr>
            <w:rFonts w:ascii="Arial" w:cs="Arial" w:eastAsia="Arial" w:hAnsi="Arial"/>
            <w:sz w:val="18"/>
            <w:szCs w:val="18"/>
            <w:u w:val="single" w:color="auto"/>
            <w:color w:val="0000EE"/>
          </w:rPr>
          <w:t>February 14, 2022</w:t>
        </w:r>
      </w:hyperlink>
      <w:r>
        <w:rPr>
          <w:rFonts w:ascii="Arial" w:cs="Arial" w:eastAsia="Arial" w:hAnsi="Arial"/>
          <w:sz w:val="18"/>
          <w:szCs w:val="18"/>
          <w:color w:val="auto"/>
        </w:rPr>
        <w:t xml:space="preserve">, </w:t>
      </w:r>
      <w:hyperlink r:id="rId43">
        <w:r>
          <w:rPr>
            <w:rFonts w:ascii="Arial" w:cs="Arial" w:eastAsia="Arial" w:hAnsi="Arial"/>
            <w:sz w:val="18"/>
            <w:szCs w:val="18"/>
            <w:u w:val="single" w:color="auto"/>
            <w:color w:val="0000EE"/>
          </w:rPr>
          <w:t>May 6, 2022</w:t>
        </w:r>
      </w:hyperlink>
      <w:r>
        <w:rPr>
          <w:rFonts w:ascii="Arial" w:cs="Arial" w:eastAsia="Arial" w:hAnsi="Arial"/>
          <w:sz w:val="18"/>
          <w:szCs w:val="18"/>
          <w:color w:val="auto"/>
        </w:rPr>
        <w:t xml:space="preserve">, and </w:t>
      </w:r>
      <w:hyperlink r:id="rId44">
        <w:r>
          <w:rPr>
            <w:rFonts w:ascii="Arial" w:cs="Arial" w:eastAsia="Arial" w:hAnsi="Arial"/>
            <w:sz w:val="18"/>
            <w:szCs w:val="18"/>
            <w:u w:val="single" w:color="auto"/>
            <w:color w:val="0000EE"/>
          </w:rPr>
          <w:t>June 2,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45">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with the SEC on December 9, 2021; and</w:t>
      </w:r>
    </w:p>
    <w:p>
      <w:pPr>
        <w:spacing w:after="0" w:line="130" w:lineRule="exact"/>
        <w:rPr>
          <w:rFonts w:ascii="Arial" w:cs="Arial" w:eastAsia="Arial" w:hAnsi="Arial"/>
          <w:sz w:val="18"/>
          <w:szCs w:val="18"/>
          <w:color w:val="auto"/>
        </w:rPr>
      </w:pPr>
    </w:p>
    <w:p>
      <w:pPr>
        <w:jc w:val="both"/>
        <w:ind w:left="960" w:right="460" w:hanging="424"/>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referenced in our Registration Statement on </w:t>
      </w:r>
      <w:hyperlink r:id="rId46">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(No. 001-35127), filed with the SEC on March 31, 2022, including any amendment or report filed for the purpose of updating such description prior to the termination of the offering of the common stock registered hereby.</w:t>
      </w:r>
    </w:p>
    <w:p>
      <w:pPr>
        <w:spacing w:after="0" w:line="18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rFonts w:ascii="Arial" w:cs="Arial" w:eastAsia="Arial" w:hAnsi="Arial"/>
          <w:sz w:val="18"/>
          <w:szCs w:val="18"/>
          <w:color w:val="auto"/>
        </w:rPr>
      </w:pPr>
    </w:p>
    <w:p>
      <w:pPr>
        <w:ind w:right="160"/>
        <w:spacing w:after="0" w:line="255" w:lineRule="auto"/>
        <w:rPr>
          <w:sz w:val="20"/>
          <w:szCs w:val="20"/>
          <w:color w:val="auto"/>
        </w:rPr>
      </w:pPr>
      <w:r>
        <w:rPr>
          <w:rFonts w:ascii="Arial" w:cs="Arial" w:eastAsia="Arial" w:hAnsi="Arial"/>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Except for the documents incorporated by reference into this prospectus supplement and the accompanying prospectus,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www.sec.gov.</w:t>
      </w:r>
    </w:p>
    <w:p>
      <w:pPr>
        <w:spacing w:after="0" w:line="12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0980"/>
          </w:cols>
          <w:pgMar w:left="440" w:top="297"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PROSPECTUS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147955</wp:posOffset>
            </wp:positionV>
            <wp:extent cx="2219960" cy="514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22199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202" w:lineRule="exact"/>
        <w:rPr>
          <w:sz w:val="20"/>
          <w:szCs w:val="20"/>
          <w:color w:val="auto"/>
        </w:rPr>
      </w:pPr>
    </w:p>
    <w:p>
      <w:pPr>
        <w:ind w:right="60" w:firstLine="562"/>
        <w:spacing w:after="0" w:line="277" w:lineRule="auto"/>
        <w:rPr>
          <w:sz w:val="20"/>
          <w:szCs w:val="20"/>
          <w:color w:val="auto"/>
        </w:rPr>
      </w:pPr>
      <w:r>
        <w:rPr>
          <w:rFonts w:ascii="Arial" w:cs="Arial" w:eastAsia="Arial" w:hAnsi="Arial"/>
          <w:sz w:val="18"/>
          <w:szCs w:val="18"/>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130" w:lineRule="exact"/>
        <w:rPr>
          <w:sz w:val="20"/>
          <w:szCs w:val="20"/>
          <w:color w:val="auto"/>
        </w:rPr>
      </w:pPr>
    </w:p>
    <w:p>
      <w:pPr>
        <w:ind w:right="80" w:firstLine="562"/>
        <w:spacing w:after="0" w:line="301" w:lineRule="auto"/>
        <w:rPr>
          <w:sz w:val="20"/>
          <w:szCs w:val="20"/>
          <w:color w:val="auto"/>
        </w:rPr>
      </w:pPr>
      <w:r>
        <w:rPr>
          <w:rFonts w:ascii="Arial" w:cs="Arial" w:eastAsia="Arial" w:hAnsi="Arial"/>
          <w:sz w:val="16"/>
          <w:szCs w:val="16"/>
          <w:color w:val="auto"/>
        </w:rPr>
        <w:t>Our investment objectives are to generate both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117" w:lineRule="exact"/>
        <w:rPr>
          <w:sz w:val="20"/>
          <w:szCs w:val="20"/>
          <w:color w:val="auto"/>
        </w:rPr>
      </w:pPr>
    </w:p>
    <w:p>
      <w:pPr>
        <w:ind w:right="280" w:firstLine="562"/>
        <w:spacing w:after="0" w:line="277"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143" w:lineRule="exact"/>
        <w:rPr>
          <w:sz w:val="20"/>
          <w:szCs w:val="20"/>
          <w:color w:val="auto"/>
        </w:rPr>
      </w:pPr>
    </w:p>
    <w:p>
      <w:pPr>
        <w:ind w:firstLine="562"/>
        <w:spacing w:after="0" w:line="269" w:lineRule="auto"/>
        <w:rPr>
          <w:sz w:val="20"/>
          <w:szCs w:val="20"/>
          <w:color w:val="auto"/>
        </w:rPr>
      </w:pPr>
      <w:r>
        <w:rPr>
          <w:rFonts w:ascii="Arial" w:cs="Arial" w:eastAsia="Arial" w:hAnsi="Arial"/>
          <w:sz w:val="17"/>
          <w:szCs w:val="17"/>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or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7 and “Sales of Common Stock Below Net Asset Value” on page 13 of this prospectus for more information.</w:t>
      </w:r>
    </w:p>
    <w:p>
      <w:pPr>
        <w:spacing w:after="0" w:line="141" w:lineRule="exact"/>
        <w:rPr>
          <w:sz w:val="20"/>
          <w:szCs w:val="20"/>
          <w:color w:val="auto"/>
        </w:rPr>
      </w:pPr>
    </w:p>
    <w:p>
      <w:pPr>
        <w:ind w:right="140" w:firstLine="562"/>
        <w:spacing w:after="0" w:line="263" w:lineRule="auto"/>
        <w:rPr>
          <w:sz w:val="20"/>
          <w:szCs w:val="20"/>
          <w:color w:val="auto"/>
        </w:rPr>
      </w:pPr>
      <w:r>
        <w:rPr>
          <w:rFonts w:ascii="Arial" w:cs="Arial" w:eastAsia="Arial" w:hAnsi="Arial"/>
          <w:sz w:val="18"/>
          <w:szCs w:val="18"/>
          <w:color w:val="auto"/>
        </w:rPr>
        <w:t>Our common stock is traded on The Nasdaq Global Select Market and the Tel Aviv Stock Exchange, or TASE, under the symbol “PFLT.” The last reported closing price for our common stock on The Nasdaq Global Select Market on January 27, 2020 was $12.01 per share, and our NAV on September 30, 2019 was $12.97 per share.</w:t>
      </w:r>
    </w:p>
    <w:p>
      <w:pPr>
        <w:spacing w:after="0" w:line="143" w:lineRule="exact"/>
        <w:rPr>
          <w:sz w:val="20"/>
          <w:szCs w:val="20"/>
          <w:color w:val="auto"/>
        </w:rPr>
      </w:pPr>
    </w:p>
    <w:p>
      <w:pPr>
        <w:ind w:right="80" w:firstLine="562"/>
        <w:spacing w:after="0" w:line="271" w:lineRule="auto"/>
        <w:rPr>
          <w:sz w:val="20"/>
          <w:szCs w:val="20"/>
          <w:color w:val="auto"/>
        </w:rPr>
      </w:pPr>
      <w:r>
        <w:rPr>
          <w:rFonts w:ascii="Arial" w:cs="Arial" w:eastAsia="Arial" w:hAnsi="Arial"/>
          <w:sz w:val="17"/>
          <w:szCs w:val="17"/>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i w:val="1"/>
          <w:iCs w:val="1"/>
          <w:color w:val="auto"/>
        </w:rPr>
        <w:t>.</w:t>
      </w:r>
      <w:r>
        <w:rPr>
          <w:rFonts w:ascii="Arial" w:cs="Arial" w:eastAsia="Arial" w:hAnsi="Arial"/>
          <w:sz w:val="17"/>
          <w:szCs w:val="17"/>
          <w:color w:val="auto"/>
        </w:rPr>
        <w:t xml:space="preserve"> The information on our website is not incorporated by reference into this prospectus. The SEC also maintains a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1" w:lineRule="exact"/>
        <w:rPr>
          <w:sz w:val="20"/>
          <w:szCs w:val="20"/>
          <w:color w:val="auto"/>
        </w:rPr>
      </w:pPr>
    </w:p>
    <w:p>
      <w:pPr>
        <w:ind w:right="140" w:firstLine="449"/>
        <w:spacing w:after="0" w:line="243" w:lineRule="auto"/>
        <w:rPr>
          <w:sz w:val="20"/>
          <w:szCs w:val="20"/>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beginning on page 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2" w:lineRule="exact"/>
        <w:rPr>
          <w:sz w:val="20"/>
          <w:szCs w:val="20"/>
          <w:color w:val="auto"/>
        </w:rPr>
      </w:pPr>
    </w:p>
    <w:p>
      <w:pPr>
        <w:ind w:right="420" w:firstLine="449"/>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dated January 29, 2020</w:t>
      </w:r>
    </w:p>
    <w:p>
      <w:pPr>
        <w:sectPr>
          <w:pgSz w:w="11900" w:h="16838" w:orient="portrait"/>
          <w:cols w:equalWidth="0" w:num="1">
            <w:col w:w="11220"/>
          </w:cols>
          <w:pgMar w:left="320" w:top="297" w:right="359" w:bottom="1440" w:gutter="0" w:footer="0" w:header="0"/>
        </w:sectPr>
      </w:pPr>
    </w:p>
    <w:bookmarkStart w:id="26" w:name="page27"/>
    <w:bookmarkEnd w:id="26"/>
    <w:p>
      <w:pPr>
        <w:ind w:firstLine="562"/>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40" w:type="dxa"/>
            <w:vAlign w:val="bottom"/>
            <w:gridSpan w:val="4"/>
          </w:tcPr>
          <w:p>
            <w:pPr>
              <w:ind w:left="2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100" w:type="dxa"/>
            <w:vAlign w:val="bottom"/>
            <w:gridSpan w:val="8"/>
            <w:vMerge w:val="restart"/>
          </w:tcPr>
          <w:p>
            <w:pPr>
              <w:spacing w:after="0"/>
              <w:rPr>
                <w:sz w:val="20"/>
                <w:szCs w:val="20"/>
                <w:color w:val="auto"/>
              </w:rPr>
            </w:pPr>
            <w:r>
              <w:rPr>
                <w:rFonts w:ascii="Arial" w:cs="Arial" w:eastAsia="Arial" w:hAnsi="Arial"/>
                <w:sz w:val="18"/>
                <w:szCs w:val="18"/>
                <w:color w:val="0000EE"/>
                <w:w w:val="94"/>
              </w:rPr>
              <w:t>PROSPECTUS SUMMARY</w:t>
            </w:r>
          </w:p>
        </w:tc>
        <w:tc>
          <w:tcPr>
            <w:tcW w:w="8780" w:type="dxa"/>
            <w:vAlign w:val="bottom"/>
            <w:gridSpan w:val="17"/>
            <w:vMerge w:val="restart"/>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2100" w:type="dxa"/>
            <w:vAlign w:val="bottom"/>
            <w:tcBorders>
              <w:bottom w:val="single" w:sz="8" w:color="0000EE"/>
            </w:tcBorders>
            <w:gridSpan w:val="8"/>
            <w:vMerge w:val="continue"/>
          </w:tcPr>
          <w:p>
            <w:pPr>
              <w:spacing w:after="0"/>
              <w:rPr>
                <w:sz w:val="14"/>
                <w:szCs w:val="14"/>
                <w:color w:val="auto"/>
              </w:rPr>
            </w:pPr>
          </w:p>
        </w:tc>
        <w:tc>
          <w:tcPr>
            <w:tcW w:w="8780" w:type="dxa"/>
            <w:vAlign w:val="bottom"/>
            <w:gridSpan w:val="17"/>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FEES AND EXPENSES</w:t>
            </w:r>
          </w:p>
        </w:tc>
        <w:tc>
          <w:tcPr>
            <w:tcW w:w="908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3"/>
              </w:rPr>
              <w:t>RISK FACTORS</w:t>
            </w:r>
          </w:p>
        </w:tc>
        <w:tc>
          <w:tcPr>
            <w:tcW w:w="962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5"/>
              </w:rPr>
              <w:t>FORWARD-LOOKING STATEMENTS</w:t>
            </w:r>
          </w:p>
        </w:tc>
        <w:tc>
          <w:tcPr>
            <w:tcW w:w="794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880" w:type="dxa"/>
            <w:vAlign w:val="bottom"/>
            <w:gridSpan w:val="25"/>
          </w:tcPr>
          <w:p>
            <w:pPr>
              <w:spacing w:after="0" w:line="196" w:lineRule="exact"/>
              <w:rPr>
                <w:sz w:val="20"/>
                <w:szCs w:val="20"/>
                <w:color w:val="auto"/>
              </w:rPr>
            </w:pPr>
            <w:r>
              <w:rPr>
                <w:rFonts w:ascii="Arial" w:cs="Arial" w:eastAsia="Arial" w:hAnsi="Arial"/>
                <w:sz w:val="18"/>
                <w:szCs w:val="18"/>
                <w:color w:val="0000EE"/>
              </w:rPr>
              <w:t>USE OF PROCEEDS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80" w:type="dxa"/>
            <w:vAlign w:val="bottom"/>
            <w:gridSpan w:val="25"/>
          </w:tcPr>
          <w:p>
            <w:pPr>
              <w:spacing w:after="0" w:line="196" w:lineRule="exact"/>
              <w:rPr>
                <w:sz w:val="20"/>
                <w:szCs w:val="20"/>
                <w:color w:val="auto"/>
              </w:rPr>
            </w:pPr>
            <w:r>
              <w:rPr>
                <w:rFonts w:ascii="Arial" w:cs="Arial" w:eastAsia="Arial" w:hAnsi="Arial"/>
                <w:sz w:val="18"/>
                <w:szCs w:val="18"/>
                <w:color w:val="0000EE"/>
              </w:rPr>
              <w:t>SENIOR SECURITIES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80" w:type="dxa"/>
            <w:vAlign w:val="bottom"/>
            <w:gridSpan w:val="25"/>
          </w:tcPr>
          <w:p>
            <w:pPr>
              <w:spacing w:after="0" w:line="196" w:lineRule="exact"/>
              <w:rPr>
                <w:sz w:val="20"/>
                <w:szCs w:val="20"/>
                <w:color w:val="auto"/>
              </w:rPr>
            </w:pPr>
            <w:r>
              <w:rPr>
                <w:rFonts w:ascii="Arial" w:cs="Arial" w:eastAsia="Arial" w:hAnsi="Arial"/>
                <w:sz w:val="18"/>
                <w:szCs w:val="18"/>
                <w:color w:val="0000EE"/>
              </w:rPr>
              <w:t>PRICE RANGE OF COMMON STOCK</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80" w:type="dxa"/>
            <w:vAlign w:val="bottom"/>
            <w:gridSpan w:val="25"/>
          </w:tcPr>
          <w:p>
            <w:pPr>
              <w:spacing w:after="0" w:line="196" w:lineRule="exact"/>
              <w:rPr>
                <w:sz w:val="20"/>
                <w:szCs w:val="20"/>
                <w:color w:val="auto"/>
              </w:rPr>
            </w:pPr>
            <w:r>
              <w:rPr>
                <w:rFonts w:ascii="Arial" w:cs="Arial" w:eastAsia="Arial" w:hAnsi="Arial"/>
                <w:sz w:val="18"/>
                <w:szCs w:val="18"/>
                <w:color w:val="0000EE"/>
              </w:rPr>
              <w:t>SALES OF COMMON STOCK BELOW NET ASSET VALUE</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4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DISTRIBUTIONS</w:t>
            </w:r>
          </w:p>
        </w:tc>
        <w:tc>
          <w:tcPr>
            <w:tcW w:w="624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3"/>
              </w:rPr>
              <w:t>PORTFOLIO COMPANIES</w:t>
            </w:r>
          </w:p>
        </w:tc>
        <w:tc>
          <w:tcPr>
            <w:tcW w:w="882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7"/>
              </w:rPr>
              <w:t>PORTFOLIO MANAGEMENT</w:t>
            </w:r>
          </w:p>
        </w:tc>
        <w:tc>
          <w:tcPr>
            <w:tcW w:w="854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6"/>
              </w:rPr>
              <w:t>DETERMINATION OF NET ASSET VALUE</w:t>
            </w:r>
          </w:p>
        </w:tc>
        <w:tc>
          <w:tcPr>
            <w:tcW w:w="75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5"/>
              </w:rPr>
              <w:t>DESCRIPTION OF OUR CAPITAL STOCK</w:t>
            </w:r>
          </w:p>
        </w:tc>
        <w:tc>
          <w:tcPr>
            <w:tcW w:w="75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3"/>
              </w:rPr>
              <w:t>DESCRIPTION OF OUR PREFERRED STOCK</w:t>
            </w:r>
          </w:p>
        </w:tc>
        <w:tc>
          <w:tcPr>
            <w:tcW w:w="730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4"/>
              </w:rPr>
              <w:t>DESCRIPTION OF OUR WARRANTS</w:t>
            </w:r>
          </w:p>
        </w:tc>
        <w:tc>
          <w:tcPr>
            <w:tcW w:w="796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4"/>
              </w:rPr>
              <w:t>DESCRIPTION OF OUR SUBSCRIPTION RIGHTS</w:t>
            </w:r>
          </w:p>
        </w:tc>
        <w:tc>
          <w:tcPr>
            <w:tcW w:w="69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4"/>
              </w:rPr>
              <w:t>DESCRIPTION OF OUR DEBT SECURITIES</w:t>
            </w:r>
          </w:p>
        </w:tc>
        <w:tc>
          <w:tcPr>
            <w:tcW w:w="74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0880" w:type="dxa"/>
            <w:vAlign w:val="bottom"/>
            <w:gridSpan w:val="25"/>
          </w:tcPr>
          <w:p>
            <w:pPr>
              <w:spacing w:after="0" w:line="196" w:lineRule="exact"/>
              <w:rPr>
                <w:sz w:val="20"/>
                <w:szCs w:val="20"/>
                <w:color w:val="auto"/>
              </w:rPr>
            </w:pPr>
            <w:r>
              <w:rPr>
                <w:rFonts w:ascii="Arial" w:cs="Arial" w:eastAsia="Arial" w:hAnsi="Arial"/>
                <w:sz w:val="18"/>
                <w:szCs w:val="18"/>
                <w:color w:val="0000EE"/>
              </w:rPr>
              <w:t>BROKERAGE ALLOCATIONS AND OTHER PRACTICES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60" w:type="dxa"/>
            <w:vAlign w:val="bottom"/>
            <w:gridSpan w:val="9"/>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6"/>
              </w:rPr>
              <w:t>MATERIAL U.S. FEDERAL INCOME TAX CONSIDERATIONS</w:t>
            </w:r>
          </w:p>
        </w:tc>
        <w:tc>
          <w:tcPr>
            <w:tcW w:w="600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7"/>
              </w:rPr>
              <w:t>PLAN OF DISTRIBUTION</w:t>
            </w:r>
          </w:p>
        </w:tc>
        <w:tc>
          <w:tcPr>
            <w:tcW w:w="882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0880" w:type="dxa"/>
            <w:vAlign w:val="bottom"/>
            <w:gridSpan w:val="25"/>
          </w:tcPr>
          <w:p>
            <w:pPr>
              <w:spacing w:after="0" w:line="196" w:lineRule="exact"/>
              <w:rPr>
                <w:sz w:val="20"/>
                <w:szCs w:val="20"/>
                <w:color w:val="auto"/>
              </w:rPr>
            </w:pPr>
            <w:r>
              <w:rPr>
                <w:rFonts w:ascii="Arial" w:cs="Arial" w:eastAsia="Arial" w:hAnsi="Arial"/>
                <w:sz w:val="18"/>
                <w:szCs w:val="18"/>
                <w:color w:val="0000EE"/>
              </w:rPr>
              <w:t>SUB-ADMINISTRATOR, CUSTODIAN, TRANSFER AGENT AND TRUSTEE</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5940" w:type="dxa"/>
            <w:vAlign w:val="bottom"/>
            <w:tcBorders>
              <w:top w:val="single" w:sz="8" w:color="0000EE"/>
            </w:tcBorders>
            <w:gridSpan w:val="24"/>
          </w:tcPr>
          <w:p>
            <w:pPr>
              <w:spacing w:after="0" w:line="196" w:lineRule="exact"/>
              <w:rPr>
                <w:sz w:val="20"/>
                <w:szCs w:val="20"/>
                <w:color w:val="auto"/>
              </w:rPr>
            </w:pPr>
            <w:r>
              <w:rPr>
                <w:rFonts w:ascii="Arial" w:cs="Arial" w:eastAsia="Arial" w:hAnsi="Arial"/>
                <w:sz w:val="18"/>
                <w:szCs w:val="18"/>
                <w:color w:val="0000EE"/>
              </w:rPr>
              <w:t>LEGAL MATTERS</w:t>
            </w:r>
          </w:p>
        </w:tc>
        <w:tc>
          <w:tcPr>
            <w:tcW w:w="49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80" w:type="dxa"/>
            <w:vAlign w:val="bottom"/>
            <w:gridSpan w:val="25"/>
          </w:tcPr>
          <w:p>
            <w:pPr>
              <w:spacing w:after="0" w:line="196" w:lineRule="exact"/>
              <w:rPr>
                <w:sz w:val="20"/>
                <w:szCs w:val="20"/>
                <w:color w:val="auto"/>
              </w:rPr>
            </w:pPr>
            <w:r>
              <w:rPr>
                <w:rFonts w:ascii="Arial" w:cs="Arial" w:eastAsia="Arial" w:hAnsi="Arial"/>
                <w:sz w:val="18"/>
                <w:szCs w:val="18"/>
                <w:color w:val="0000EE"/>
              </w:rPr>
              <w:t>INDEPENDENT REGISTERED PUBLIC ACCOUNTING FIRM</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80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INCORPORATION BY REFERENCE</w:t>
            </w:r>
          </w:p>
        </w:tc>
        <w:tc>
          <w:tcPr>
            <w:tcW w:w="608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228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9"/>
              </w:rPr>
              <w:t>AVAILABLE INFORMATION</w:t>
            </w:r>
          </w:p>
        </w:tc>
        <w:tc>
          <w:tcPr>
            <w:tcW w:w="540" w:type="dxa"/>
            <w:vAlign w:val="bottom"/>
            <w:tcBorders>
              <w:top w:val="single" w:sz="8" w:color="0000EE"/>
            </w:tcBorders>
            <w:gridSpan w:val="2"/>
          </w:tcPr>
          <w:p>
            <w:pPr>
              <w:spacing w:after="0"/>
              <w:rPr>
                <w:sz w:val="17"/>
                <w:szCs w:val="17"/>
                <w:color w:val="auto"/>
              </w:rPr>
            </w:pPr>
          </w:p>
        </w:tc>
        <w:tc>
          <w:tcPr>
            <w:tcW w:w="806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301" w:right="35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ABOUT THIS PROSPECTUS</w:t>
      </w:r>
    </w:p>
    <w:p>
      <w:pPr>
        <w:spacing w:after="0" w:line="229" w:lineRule="exact"/>
        <w:rPr>
          <w:sz w:val="20"/>
          <w:szCs w:val="20"/>
          <w:color w:val="auto"/>
        </w:rPr>
      </w:pPr>
    </w:p>
    <w:p>
      <w:pPr>
        <w:ind w:firstLine="562"/>
        <w:spacing w:after="0" w:line="287"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 titled “Available Information,” before you make an investment decision.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320" w:top="297" w:right="3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7029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74865" cy="5702935"/>
                    </a:xfrm>
                    <a:prstGeom prst="rect">
                      <a:avLst/>
                    </a:prstGeom>
                    <a:noFill/>
                  </pic:spPr>
                </pic:pic>
              </a:graphicData>
            </a:graphic>
          </wp:anchor>
        </w:drawing>
        <w:t>PROSPECTUS SUMMARY</w:t>
      </w:r>
    </w:p>
    <w:p>
      <w:pPr>
        <w:spacing w:after="0" w:line="229" w:lineRule="exact"/>
        <w:rPr>
          <w:sz w:val="20"/>
          <w:szCs w:val="20"/>
          <w:color w:val="auto"/>
        </w:rPr>
      </w:pPr>
    </w:p>
    <w:p>
      <w:pPr>
        <w:ind w:firstLine="434"/>
        <w:spacing w:after="0" w:line="28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“2023 Notes” refers to our 3.83% Series A notes due 2023; “Code” refers to the Internal Revenue Code of 1986, as amended; “RIC” refers to a regulated investment company under the Code; “1940 Act” refers to the Investment Company Act of 1940, as amended; “BDC” refers to a business development company under the 1940 Act; “Credit Facility” refers to our multi-currency senior secured revolving credit facility, as amended and restated with SunTrust Bank and other lenders, or the “Lenders”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A-1 Senior Secured Floating Rate Notes due 2031 by the Securitization Issuers in connection with the Debt Securitization.</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firstLine="434"/>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46" w:lineRule="exact"/>
        <w:rPr>
          <w:sz w:val="20"/>
          <w:szCs w:val="20"/>
          <w:color w:val="auto"/>
        </w:rPr>
      </w:pPr>
    </w:p>
    <w:p>
      <w:pPr>
        <w:ind w:firstLine="434"/>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40"/>
          </w:cols>
          <w:pgMar w:left="520" w:top="486" w:right="539" w:bottom="1440" w:gutter="0" w:footer="0" w:header="0"/>
        </w:sectPr>
      </w:pPr>
    </w:p>
    <w:bookmarkStart w:id="29" w:name="page30"/>
    <w:bookmarkEnd w:id="29"/>
    <w:p>
      <w:pPr>
        <w:ind w:firstLine="43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977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74865" cy="5977255"/>
                    </a:xfrm>
                    <a:prstGeom prst="rect">
                      <a:avLst/>
                    </a:prstGeom>
                    <a:noFill/>
                  </pic:spPr>
                </pic:pic>
              </a:graphicData>
            </a:graphic>
          </wp:anchor>
        </w:drawing>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78" w:lineRule="exact"/>
        <w:rPr>
          <w:sz w:val="20"/>
          <w:szCs w:val="20"/>
          <w:color w:val="auto"/>
        </w:rPr>
      </w:pPr>
    </w:p>
    <w:p>
      <w:pPr>
        <w:ind w:right="20" w:firstLine="434"/>
        <w:spacing w:after="0" w:line="255"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For a description of our debt capital, see “Management’s Discussion and Analysis of Financial Condition and Results of Operations—Liquidity and Capital Resources” in our most recent Annual Report on Form 10-K or Quarterly Report on Form 10-Q.</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right="80" w:firstLine="434"/>
        <w:spacing w:after="0" w:line="263"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formed Funding I in order to establish our Credit Facility.</w:t>
      </w:r>
    </w:p>
    <w:p>
      <w:pPr>
        <w:spacing w:after="0" w:line="211" w:lineRule="exact"/>
        <w:rPr>
          <w:sz w:val="20"/>
          <w:szCs w:val="20"/>
          <w:color w:val="auto"/>
        </w:rPr>
      </w:pPr>
    </w:p>
    <w:p>
      <w:pPr>
        <w:ind w:firstLine="434"/>
        <w:spacing w:after="0" w:line="263" w:lineRule="auto"/>
        <w:rPr>
          <w:sz w:val="20"/>
          <w:szCs w:val="20"/>
          <w:color w:val="auto"/>
        </w:rPr>
      </w:pPr>
      <w:r>
        <w:rPr>
          <w:rFonts w:ascii="Arial" w:cs="Arial" w:eastAsia="Arial" w:hAnsi="Arial"/>
          <w:sz w:val="18"/>
          <w:szCs w:val="18"/>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184" w:lineRule="exact"/>
        <w:rPr>
          <w:sz w:val="20"/>
          <w:szCs w:val="20"/>
          <w:color w:val="auto"/>
        </w:rPr>
      </w:pPr>
    </w:p>
    <w:p>
      <w:pPr>
        <w:ind w:right="240" w:firstLine="434"/>
        <w:spacing w:after="0" w:line="277" w:lineRule="auto"/>
        <w:rPr>
          <w:sz w:val="20"/>
          <w:szCs w:val="20"/>
          <w:color w:val="auto"/>
        </w:rPr>
      </w:pPr>
      <w:r>
        <w:rPr>
          <w:rFonts w:ascii="Arial" w:cs="Arial" w:eastAsia="Arial" w:hAnsi="Arial"/>
          <w:sz w:val="18"/>
          <w:szCs w:val="18"/>
          <w:color w:val="auto"/>
        </w:rPr>
        <w:t>In April 2019, our wholly owned subsidiary, the Securitization Issuer, was incorporated in the Cayman Islands as an exempted company with limited liability. We formed the Securitization Issuer in order to complete the Debt Securitization.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firstLine="434"/>
        <w:spacing w:after="0" w:line="270"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$10 billion in 526 companies with approximately 185 different financial sponsors through its managed funds.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0"/>
          </w:cols>
          <w:pgMar w:left="520" w:top="490" w:right="539" w:bottom="1440" w:gutter="0" w:footer="0" w:header="0"/>
        </w:sectPr>
      </w:pPr>
    </w:p>
    <w:bookmarkStart w:id="30" w:name="page31"/>
    <w:bookmarkEnd w:id="30"/>
    <w:p>
      <w:pPr>
        <w:ind w:right="60" w:firstLine="43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51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74865" cy="6251575"/>
                    </a:xfrm>
                    <a:prstGeom prst="rect">
                      <a:avLst/>
                    </a:prstGeom>
                    <a:noFill/>
                  </pic:spPr>
                </pic:pic>
              </a:graphicData>
            </a:graphic>
          </wp:anchor>
        </w:drawing>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right="20" w:firstLine="434"/>
        <w:spacing w:after="0" w:line="254"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private and public capital markets. We believe that, as a result of the difficulties in the credit markets and fewer sources of capital for middle-market companies, we see opportunities for improved risk-reward on our investments. Furthermore, we believe that with a large pool of uninvested private equity capital seeking debt capital to complete private investments and a substantial supply of refinancing opportunities, there is an opportunity to attain attractive risk-reward with debt investments. See “Business” in our most recent Annual Report on Form 10-K for more information.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40" w:firstLine="434"/>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intend to continue our monthly distributions to our stockholders. Our monthly distributions, if any, are determined by our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Distributions may include a return of capital. See “Distributions” for more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right="20" w:firstLine="434"/>
        <w:spacing w:after="0" w:line="296"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firstLine="434"/>
        <w:spacing w:after="0" w:line="277" w:lineRule="auto"/>
        <w:rPr>
          <w:sz w:val="20"/>
          <w:szCs w:val="20"/>
          <w:color w:val="auto"/>
        </w:rPr>
      </w:pPr>
      <w:r>
        <w:rPr>
          <w:rFonts w:ascii="Arial" w:cs="Arial" w:eastAsia="Arial" w:hAnsi="Arial"/>
          <w:sz w:val="18"/>
          <w:szCs w:val="18"/>
          <w:color w:val="auto"/>
        </w:rPr>
        <w:t>We may offer, from time to time, up to $500 million of our securities, on terms to be determined at the time of each such offering and set forth in a supplement to this prospectus.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520" w:top="490" w:right="519" w:bottom="1440" w:gutter="0" w:footer="0" w:header="0"/>
        </w:sectPr>
      </w:pPr>
    </w:p>
    <w:bookmarkStart w:id="31" w:name="page32"/>
    <w:bookmarkEnd w:id="31"/>
    <w:p>
      <w:pPr>
        <w:ind w:left="6" w:firstLine="43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7826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74865" cy="3782695"/>
                    </a:xfrm>
                    <a:prstGeom prst="rect">
                      <a:avLst/>
                    </a:prstGeom>
                    <a:noFill/>
                  </pic:spPr>
                </pic:pic>
              </a:graphicData>
            </a:graphic>
          </wp:anchor>
        </w:drawing>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92" w:lineRule="exact"/>
        <w:rPr>
          <w:sz w:val="20"/>
          <w:szCs w:val="20"/>
          <w:color w:val="auto"/>
        </w:rPr>
      </w:pPr>
    </w:p>
    <w:p>
      <w:pPr>
        <w:ind w:left="6" w:right="680" w:firstLine="434"/>
        <w:spacing w:after="0" w:line="308" w:lineRule="auto"/>
        <w:rPr>
          <w:sz w:val="20"/>
          <w:szCs w:val="20"/>
          <w:color w:val="auto"/>
        </w:rPr>
      </w:pPr>
      <w:r>
        <w:rPr>
          <w:rFonts w:ascii="Arial" w:cs="Arial" w:eastAsia="Arial" w:hAnsi="Arial"/>
          <w:sz w:val="17"/>
          <w:szCs w:val="17"/>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5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6" w:right="20" w:firstLine="434"/>
        <w:spacing w:after="0" w:line="301" w:lineRule="auto"/>
        <w:rPr>
          <w:sz w:val="20"/>
          <w:szCs w:val="20"/>
          <w:color w:val="auto"/>
        </w:rPr>
      </w:pPr>
      <w:r>
        <w:rPr>
          <w:rFonts w:ascii="Arial" w:cs="Arial" w:eastAsia="Arial" w:hAnsi="Arial"/>
          <w:sz w:val="16"/>
          <w:szCs w:val="16"/>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6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426"/>
        <w:spacing w:after="0"/>
        <w:rPr>
          <w:sz w:val="20"/>
          <w:szCs w:val="20"/>
          <w:color w:val="auto"/>
        </w:rPr>
      </w:pPr>
      <w:r>
        <w:rPr>
          <w:rFonts w:ascii="Arial" w:cs="Arial" w:eastAsia="Arial" w:hAnsi="Arial"/>
          <w:sz w:val="16"/>
          <w:szCs w:val="16"/>
          <w:color w:val="auto"/>
        </w:rPr>
        <w:t>Our administrative and principal executive offices are located at 590 Madison Avenue, 15th Floor, New York, NY 10022. Our phone number is</w:t>
      </w:r>
    </w:p>
    <w:p>
      <w:pPr>
        <w:spacing w:after="0" w:line="46" w:lineRule="exact"/>
        <w:rPr>
          <w:sz w:val="20"/>
          <w:szCs w:val="20"/>
          <w:color w:val="auto"/>
        </w:rPr>
      </w:pPr>
    </w:p>
    <w:p>
      <w:pPr>
        <w:ind w:left="6" w:hanging="6"/>
        <w:spacing w:after="0" w:line="255" w:lineRule="auto"/>
        <w:tabs>
          <w:tab w:leader="none" w:pos="4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311"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6"/>
          </w:cols>
          <w:pgMar w:left="514" w:top="490" w:right="5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FEES AND EXPENSES</w:t>
      </w:r>
    </w:p>
    <w:p>
      <w:pPr>
        <w:spacing w:after="0" w:line="229"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Sales load</w:t>
            </w:r>
          </w:p>
        </w:tc>
        <w:tc>
          <w:tcPr>
            <w:tcW w:w="800" w:type="dxa"/>
            <w:vAlign w:val="bottom"/>
            <w:gridSpan w:val="2"/>
          </w:tcPr>
          <w:p>
            <w:pPr>
              <w:jc w:val="right"/>
              <w:ind w:right="6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(1)</w:t>
            </w:r>
          </w:p>
        </w:tc>
      </w:tr>
      <w:tr>
        <w:trPr>
          <w:trHeight w:val="216"/>
        </w:trPr>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800" w:type="dxa"/>
            <w:vAlign w:val="bottom"/>
            <w:gridSpan w:val="2"/>
            <w:shd w:val="clear" w:color="auto" w:fill="CCEEFF"/>
          </w:tcPr>
          <w:p>
            <w:pPr>
              <w:jc w:val="right"/>
              <w:ind w:right="6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(2)</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10440" w:type="dxa"/>
            <w:vAlign w:val="bottom"/>
            <w:shd w:val="clear" w:color="auto" w:fill="CCEEFF"/>
          </w:tcPr>
          <w:p>
            <w:pPr>
              <w:spacing w:after="0" w:line="229" w:lineRule="exact"/>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22"/>
                <w:szCs w:val="22"/>
                <w:b w:val="1"/>
                <w:bCs w:val="1"/>
                <w:color w:val="auto"/>
                <w:vertAlign w:val="superscript"/>
              </w:rPr>
              <w:t>(3)</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Management fees</w:t>
            </w:r>
          </w:p>
        </w:tc>
        <w:tc>
          <w:tcPr>
            <w:tcW w:w="800" w:type="dxa"/>
            <w:vAlign w:val="bottom"/>
            <w:gridSpan w:val="2"/>
          </w:tcPr>
          <w:p>
            <w:pPr>
              <w:jc w:val="right"/>
              <w:ind w:right="60"/>
              <w:spacing w:after="0" w:line="216" w:lineRule="exact"/>
              <w:rPr>
                <w:sz w:val="20"/>
                <w:szCs w:val="20"/>
                <w:color w:val="auto"/>
              </w:rPr>
            </w:pPr>
            <w:r>
              <w:rPr>
                <w:rFonts w:ascii="Arial" w:cs="Arial" w:eastAsia="Arial" w:hAnsi="Arial"/>
                <w:sz w:val="18"/>
                <w:szCs w:val="18"/>
                <w:color w:val="auto"/>
              </w:rPr>
              <w:t>2.13%</w:t>
            </w:r>
            <w:r>
              <w:rPr>
                <w:rFonts w:ascii="Arial" w:cs="Arial" w:eastAsia="Arial" w:hAnsi="Arial"/>
                <w:sz w:val="22"/>
                <w:szCs w:val="22"/>
                <w:color w:val="auto"/>
                <w:vertAlign w:val="superscript"/>
              </w:rPr>
              <w:t>(4)</w:t>
            </w:r>
          </w:p>
        </w:tc>
      </w:tr>
      <w:tr>
        <w:trPr>
          <w:trHeight w:val="216"/>
        </w:trPr>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00" w:type="dxa"/>
            <w:vAlign w:val="bottom"/>
            <w:gridSpan w:val="2"/>
            <w:shd w:val="clear" w:color="auto" w:fill="CCEEFF"/>
          </w:tcPr>
          <w:p>
            <w:pPr>
              <w:jc w:val="right"/>
              <w:ind w:right="60"/>
              <w:spacing w:after="0" w:line="216" w:lineRule="exact"/>
              <w:rPr>
                <w:sz w:val="20"/>
                <w:szCs w:val="20"/>
                <w:color w:val="auto"/>
              </w:rPr>
            </w:pPr>
            <w:r>
              <w:rPr>
                <w:rFonts w:ascii="Arial" w:cs="Arial" w:eastAsia="Arial" w:hAnsi="Arial"/>
                <w:sz w:val="18"/>
                <w:szCs w:val="18"/>
                <w:color w:val="auto"/>
              </w:rPr>
              <w:t>1.20%</w:t>
            </w:r>
            <w:r>
              <w:rPr>
                <w:rFonts w:ascii="Arial" w:cs="Arial" w:eastAsia="Arial" w:hAnsi="Arial"/>
                <w:sz w:val="22"/>
                <w:szCs w:val="22"/>
                <w:color w:val="auto"/>
                <w:vertAlign w:val="superscript"/>
              </w:rPr>
              <w:t>(5)</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800" w:type="dxa"/>
            <w:vAlign w:val="bottom"/>
            <w:gridSpan w:val="2"/>
          </w:tcPr>
          <w:p>
            <w:pPr>
              <w:jc w:val="right"/>
              <w:ind w:right="60"/>
              <w:spacing w:after="0" w:line="216" w:lineRule="exact"/>
              <w:rPr>
                <w:sz w:val="20"/>
                <w:szCs w:val="20"/>
                <w:color w:val="auto"/>
              </w:rPr>
            </w:pPr>
            <w:r>
              <w:rPr>
                <w:rFonts w:ascii="Arial" w:cs="Arial" w:eastAsia="Arial" w:hAnsi="Arial"/>
                <w:sz w:val="18"/>
                <w:szCs w:val="18"/>
                <w:color w:val="auto"/>
              </w:rPr>
              <w:t>5.23%</w:t>
            </w:r>
            <w:r>
              <w:rPr>
                <w:rFonts w:ascii="Arial" w:cs="Arial" w:eastAsia="Arial" w:hAnsi="Arial"/>
                <w:sz w:val="22"/>
                <w:szCs w:val="22"/>
                <w:color w:val="auto"/>
                <w:vertAlign w:val="superscript"/>
              </w:rPr>
              <w:t>(6)</w:t>
            </w:r>
          </w:p>
        </w:tc>
      </w:tr>
      <w:tr>
        <w:trPr>
          <w:trHeight w:val="216"/>
        </w:trPr>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Acquired fund fees and expenses</w:t>
            </w:r>
          </w:p>
        </w:tc>
        <w:tc>
          <w:tcPr>
            <w:tcW w:w="800" w:type="dxa"/>
            <w:vAlign w:val="bottom"/>
            <w:gridSpan w:val="2"/>
            <w:shd w:val="clear" w:color="auto" w:fill="CCEEFF"/>
          </w:tcPr>
          <w:p>
            <w:pPr>
              <w:jc w:val="right"/>
              <w:ind w:right="60"/>
              <w:spacing w:after="0" w:line="216" w:lineRule="exact"/>
              <w:rPr>
                <w:sz w:val="20"/>
                <w:szCs w:val="20"/>
                <w:color w:val="auto"/>
              </w:rPr>
            </w:pPr>
            <w:r>
              <w:rPr>
                <w:rFonts w:ascii="Arial" w:cs="Arial" w:eastAsia="Arial" w:hAnsi="Arial"/>
                <w:sz w:val="18"/>
                <w:szCs w:val="18"/>
                <w:color w:val="auto"/>
              </w:rPr>
              <w:t>5.47%</w:t>
            </w:r>
            <w:r>
              <w:rPr>
                <w:rFonts w:ascii="Arial" w:cs="Arial" w:eastAsia="Arial" w:hAnsi="Arial"/>
                <w:sz w:val="22"/>
                <w:szCs w:val="22"/>
                <w:color w:val="auto"/>
                <w:vertAlign w:val="superscript"/>
              </w:rPr>
              <w:t>(7)</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Other expenses</w:t>
            </w:r>
          </w:p>
        </w:tc>
        <w:tc>
          <w:tcPr>
            <w:tcW w:w="800" w:type="dxa"/>
            <w:vAlign w:val="bottom"/>
            <w:gridSpan w:val="2"/>
          </w:tcPr>
          <w:p>
            <w:pPr>
              <w:jc w:val="right"/>
              <w:ind w:right="60"/>
              <w:spacing w:after="0" w:line="216" w:lineRule="exact"/>
              <w:rPr>
                <w:sz w:val="20"/>
                <w:szCs w:val="20"/>
                <w:color w:val="auto"/>
              </w:rPr>
            </w:pPr>
            <w:r>
              <w:rPr>
                <w:rFonts w:ascii="Arial" w:cs="Arial" w:eastAsia="Arial" w:hAnsi="Arial"/>
                <w:sz w:val="18"/>
                <w:szCs w:val="18"/>
                <w:color w:val="auto"/>
              </w:rPr>
              <w:t>0.78%</w:t>
            </w:r>
            <w:r>
              <w:rPr>
                <w:rFonts w:ascii="Arial" w:cs="Arial" w:eastAsia="Arial" w:hAnsi="Arial"/>
                <w:sz w:val="22"/>
                <w:szCs w:val="22"/>
                <w:color w:val="auto"/>
                <w:vertAlign w:val="superscript"/>
              </w:rPr>
              <w:t>(8)</w:t>
            </w:r>
          </w:p>
        </w:tc>
      </w:tr>
      <w:tr>
        <w:trPr>
          <w:trHeight w:val="27"/>
        </w:trPr>
        <w:tc>
          <w:tcPr>
            <w:tcW w:w="10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10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800" w:type="dxa"/>
            <w:vAlign w:val="bottom"/>
            <w:gridSpan w:val="2"/>
            <w:shd w:val="clear" w:color="auto" w:fill="CCEEFF"/>
          </w:tcPr>
          <w:p>
            <w:pPr>
              <w:jc w:val="right"/>
              <w:ind w:right="60"/>
              <w:spacing w:after="0" w:line="216" w:lineRule="exact"/>
              <w:rPr>
                <w:sz w:val="20"/>
                <w:szCs w:val="20"/>
                <w:color w:val="auto"/>
              </w:rPr>
            </w:pPr>
            <w:r>
              <w:rPr>
                <w:rFonts w:ascii="Arial" w:cs="Arial" w:eastAsia="Arial" w:hAnsi="Arial"/>
                <w:sz w:val="18"/>
                <w:szCs w:val="18"/>
                <w:color w:val="auto"/>
                <w:w w:val="91"/>
              </w:rPr>
              <w:t>14.81%</w:t>
            </w:r>
            <w:r>
              <w:rPr>
                <w:rFonts w:ascii="Arial" w:cs="Arial" w:eastAsia="Arial" w:hAnsi="Arial"/>
                <w:sz w:val="22"/>
                <w:szCs w:val="22"/>
                <w:color w:val="auto"/>
                <w:w w:val="91"/>
                <w:vertAlign w:val="superscript"/>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140" w:hanging="452"/>
        <w:spacing w:after="0" w:line="25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for the fiscal year ended September 30, 2019.</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on September 30, 2019. See “Business —Investment Management Agreement” and “Business—Investment Advisory Fees” in our most recent Annual Report on Form 10-K for more information.</w:t>
      </w:r>
    </w:p>
    <w:p>
      <w:pPr>
        <w:spacing w:after="0" w:line="1" w:lineRule="exact"/>
        <w:rPr>
          <w:rFonts w:ascii="Arial" w:cs="Arial" w:eastAsia="Arial" w:hAnsi="Arial"/>
          <w:sz w:val="18"/>
          <w:szCs w:val="18"/>
          <w:color w:val="auto"/>
        </w:rPr>
      </w:pPr>
    </w:p>
    <w:p>
      <w:pPr>
        <w:ind w:left="460" w:right="80" w:hanging="452"/>
        <w:spacing w:after="0" w:line="265"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year ended September 30, 2019.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2019. For more detailed information about the incentive fee, please see “Business— Investment Management Agreement” and “Business—Investment Advisory Fees” in our most recent Annual Report on Form 10-K for more information.</w:t>
      </w:r>
    </w:p>
    <w:p>
      <w:pPr>
        <w:spacing w:after="0" w:line="1" w:lineRule="exact"/>
        <w:rPr>
          <w:rFonts w:ascii="Arial" w:cs="Arial" w:eastAsia="Arial" w:hAnsi="Arial"/>
          <w:sz w:val="17"/>
          <w:szCs w:val="17"/>
          <w:color w:val="auto"/>
        </w:rPr>
      </w:pPr>
    </w:p>
    <w:p>
      <w:pPr>
        <w:ind w:left="460" w:right="260" w:hanging="452"/>
        <w:spacing w:after="0" w:line="273"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of September 30, 2019, we had $265.3 million in borrowings outstanding under our Credit Facility, $138.6 million outstanding under our 2023 Notes and $228.0 million outstanding under the 2031 Asset-Backed Debt.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97" w:right="339" w:bottom="1440" w:gutter="0" w:footer="0" w:header="0"/>
        </w:sectPr>
      </w:pPr>
    </w:p>
    <w:bookmarkStart w:id="33" w:name="page34"/>
    <w:bookmarkEnd w:id="33"/>
    <w:p>
      <w:pPr>
        <w:ind w:left="460" w:right="2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funds represents actual interest expense, amendment costs incurred on our Credit Facility, and debt issuance costs, if any, for the fiscal year ended September 30, 2019 and we caution you that our actual interest expense in the future will depend on prevailing interest rates and our rate of borrowing, which may be substantially higher than the amount provided in this table.</w:t>
      </w:r>
    </w:p>
    <w:p>
      <w:pPr>
        <w:spacing w:after="0" w:line="3" w:lineRule="exact"/>
        <w:rPr>
          <w:sz w:val="20"/>
          <w:szCs w:val="20"/>
          <w:color w:val="auto"/>
        </w:rPr>
      </w:pPr>
    </w:p>
    <w:p>
      <w:pPr>
        <w:ind w:left="460" w:right="14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year ended September 30, 2019. Expenses for PSSL may fluctuate over time and may be substantially higher or lower in the future.</w:t>
      </w:r>
    </w:p>
    <w:p>
      <w:pPr>
        <w:spacing w:after="0" w:line="2" w:lineRule="exact"/>
        <w:rPr>
          <w:rFonts w:ascii="Arial" w:cs="Arial" w:eastAsia="Arial" w:hAnsi="Arial"/>
          <w:sz w:val="16"/>
          <w:szCs w:val="16"/>
          <w:color w:val="auto"/>
        </w:rPr>
      </w:pPr>
    </w:p>
    <w:p>
      <w:pPr>
        <w:ind w:left="460" w:right="28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1" w:lineRule="exact"/>
        <w:rPr>
          <w:rFonts w:ascii="Arial" w:cs="Arial" w:eastAsia="Arial" w:hAnsi="Arial"/>
          <w:sz w:val="18"/>
          <w:szCs w:val="18"/>
          <w:color w:val="auto"/>
        </w:rPr>
      </w:pPr>
    </w:p>
    <w:p>
      <w:pPr>
        <w:ind w:left="460" w:right="80" w:hanging="452"/>
        <w:spacing w:after="0" w:line="270"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7.23% of average total assets.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22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0.50%, (2) total net estimated annual expenses of 13.61% of average net assets attributable to common shares as set forth in the table above (other than performance-based incentive fees) and (3) a 5% annual return.</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You would pay the following expenses on a $1,000 common</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1"/>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 investment:</w:t>
            </w:r>
          </w:p>
        </w:tc>
        <w:tc>
          <w:tcPr>
            <w:tcW w:w="3000" w:type="dxa"/>
            <w:vAlign w:val="bottom"/>
          </w:tcPr>
          <w:p>
            <w:pPr>
              <w:spacing w:after="0"/>
              <w:rPr>
                <w:sz w:val="16"/>
                <w:szCs w:val="16"/>
                <w:color w:val="auto"/>
              </w:rPr>
            </w:pPr>
          </w:p>
        </w:tc>
        <w:tc>
          <w:tcPr>
            <w:tcW w:w="720" w:type="dxa"/>
            <w:vAlign w:val="bottom"/>
            <w:gridSpan w:val="2"/>
          </w:tcPr>
          <w:p>
            <w:pPr>
              <w:ind w:left="320"/>
              <w:spacing w:after="0"/>
              <w:rPr>
                <w:sz w:val="20"/>
                <w:szCs w:val="20"/>
                <w:color w:val="auto"/>
              </w:rPr>
            </w:pPr>
            <w:r>
              <w:rPr>
                <w:rFonts w:ascii="Arial" w:cs="Arial" w:eastAsia="Arial" w:hAnsi="Arial"/>
                <w:sz w:val="14"/>
                <w:szCs w:val="14"/>
                <w:b w:val="1"/>
                <w:bCs w:val="1"/>
                <w:color w:val="auto"/>
                <w:w w:val="93"/>
              </w:rPr>
              <w:t>1 year</w:t>
            </w:r>
          </w:p>
        </w:tc>
        <w:tc>
          <w:tcPr>
            <w:tcW w:w="960" w:type="dxa"/>
            <w:vAlign w:val="bottom"/>
            <w:gridSpan w:val="3"/>
          </w:tcPr>
          <w:p>
            <w:pPr>
              <w:ind w:left="500"/>
              <w:spacing w:after="0"/>
              <w:rPr>
                <w:sz w:val="20"/>
                <w:szCs w:val="20"/>
                <w:color w:val="auto"/>
              </w:rPr>
            </w:pPr>
            <w:r>
              <w:rPr>
                <w:rFonts w:ascii="Arial" w:cs="Arial" w:eastAsia="Arial" w:hAnsi="Arial"/>
                <w:sz w:val="14"/>
                <w:szCs w:val="14"/>
                <w:b w:val="1"/>
                <w:bCs w:val="1"/>
                <w:color w:val="auto"/>
                <w:w w:val="91"/>
              </w:rPr>
              <w:t>3 years</w:t>
            </w:r>
          </w:p>
        </w:tc>
        <w:tc>
          <w:tcPr>
            <w:tcW w:w="960" w:type="dxa"/>
            <w:vAlign w:val="bottom"/>
            <w:gridSpan w:val="3"/>
          </w:tcPr>
          <w:p>
            <w:pPr>
              <w:ind w:left="500"/>
              <w:spacing w:after="0"/>
              <w:rPr>
                <w:sz w:val="20"/>
                <w:szCs w:val="20"/>
                <w:color w:val="auto"/>
              </w:rPr>
            </w:pPr>
            <w:r>
              <w:rPr>
                <w:rFonts w:ascii="Arial" w:cs="Arial" w:eastAsia="Arial" w:hAnsi="Arial"/>
                <w:sz w:val="14"/>
                <w:szCs w:val="14"/>
                <w:b w:val="1"/>
                <w:bCs w:val="1"/>
                <w:color w:val="auto"/>
                <w:w w:val="91"/>
              </w:rPr>
              <w:t>5 years</w:t>
            </w:r>
          </w:p>
        </w:tc>
        <w:tc>
          <w:tcPr>
            <w:tcW w:w="1080" w:type="dxa"/>
            <w:vAlign w:val="bottom"/>
            <w:gridSpan w:val="4"/>
          </w:tcPr>
          <w:p>
            <w:pPr>
              <w:ind w:left="500"/>
              <w:spacing w:after="0"/>
              <w:rPr>
                <w:sz w:val="20"/>
                <w:szCs w:val="20"/>
                <w:color w:val="auto"/>
              </w:rPr>
            </w:pPr>
            <w:r>
              <w:rPr>
                <w:rFonts w:ascii="Arial" w:cs="Arial" w:eastAsia="Arial" w:hAnsi="Arial"/>
                <w:sz w:val="14"/>
                <w:szCs w:val="14"/>
                <w:b w:val="1"/>
                <w:bCs w:val="1"/>
                <w:color w:val="auto"/>
                <w:w w:val="99"/>
              </w:rPr>
              <w:t>10 years</w:t>
            </w:r>
          </w:p>
        </w:tc>
      </w:tr>
      <w:tr>
        <w:trPr>
          <w:trHeight w:val="175"/>
        </w:trPr>
        <w:tc>
          <w:tcPr>
            <w:tcW w:w="66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Assuming a 5% annual return (assumes no return from net realized capital gains or net</w:t>
            </w:r>
          </w:p>
        </w:tc>
        <w:tc>
          <w:tcPr>
            <w:tcW w:w="3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capital appreciation)</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4"/>
              </w:rPr>
              <w:t>$ 161</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381</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564</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60" w:type="dxa"/>
            <w:vAlign w:val="bottom"/>
            <w:shd w:val="clear" w:color="auto" w:fill="CCEEFF"/>
          </w:tcPr>
          <w:p>
            <w:pPr>
              <w:spacing w:after="0"/>
              <w:rPr>
                <w:sz w:val="20"/>
                <w:szCs w:val="20"/>
                <w:color w:val="auto"/>
              </w:rPr>
            </w:pPr>
          </w:p>
        </w:tc>
      </w:tr>
      <w:tr>
        <w:trPr>
          <w:trHeight w:val="202"/>
        </w:trPr>
        <w:tc>
          <w:tcPr>
            <w:tcW w:w="6620" w:type="dxa"/>
            <w:vAlign w:val="bottom"/>
            <w:gridSpan w:val="2"/>
          </w:tcPr>
          <w:p>
            <w:pPr>
              <w:spacing w:after="0" w:line="201" w:lineRule="exact"/>
              <w:rPr>
                <w:sz w:val="20"/>
                <w:szCs w:val="20"/>
                <w:color w:val="auto"/>
              </w:rPr>
            </w:pPr>
            <w:r>
              <w:rPr>
                <w:rFonts w:ascii="Arial" w:cs="Arial" w:eastAsia="Arial" w:hAnsi="Arial"/>
                <w:sz w:val="18"/>
                <w:szCs w:val="18"/>
                <w:color w:val="auto"/>
                <w:w w:val="94"/>
              </w:rPr>
              <w:t>Assuming a 5% annual return (assumes return from only realized capital gains and thus</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subject to the capital gains incentive fee)</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w w:val="84"/>
              </w:rPr>
              <w:t>$ 169</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400</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589</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923</w:t>
            </w:r>
          </w:p>
        </w:tc>
        <w:tc>
          <w:tcPr>
            <w:tcW w:w="60" w:type="dxa"/>
            <w:vAlign w:val="bottom"/>
          </w:tcPr>
          <w:p>
            <w:pPr>
              <w:spacing w:after="0"/>
              <w:rPr>
                <w:sz w:val="20"/>
                <w:szCs w:val="20"/>
                <w:color w:val="auto"/>
              </w:rPr>
            </w:pPr>
          </w:p>
        </w:tc>
      </w:tr>
    </w:tbl>
    <w:p>
      <w:pPr>
        <w:spacing w:after="0" w:line="202"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“Distributions” for more information.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301" w:right="359" w:bottom="1440" w:gutter="0" w:footer="0" w:header="0"/>
        </w:sectPr>
      </w:pPr>
    </w:p>
    <w:bookmarkStart w:id="34" w:name="page35"/>
    <w:bookmarkEnd w:id="3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RISK FACTORS</w:t>
      </w:r>
    </w:p>
    <w:p>
      <w:pPr>
        <w:spacing w:after="0" w:line="22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recent Annual Report on Form 10-K filed on November 20, 2019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Securities Exchange Act of 1934, as amended, or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NAV and market price of our common stock could decline or the value of our preferred stock, warrants, subscription rights or debt securities may decline, and investors may lose all or part of their investment. Please also read carefully the section titled “Forward-Looking Statements.”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297" w:right="4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FORWARD-LOOKING STATEMENTS</w:t>
      </w:r>
    </w:p>
    <w:p>
      <w:pPr>
        <w:spacing w:after="0" w:line="229"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83" w:lineRule="exact"/>
        <w:rPr>
          <w:sz w:val="20"/>
          <w:szCs w:val="20"/>
          <w:color w:val="auto"/>
        </w:rPr>
      </w:pPr>
    </w:p>
    <w:p>
      <w:pPr>
        <w:ind w:left="1000" w:hanging="43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expected financings and investments and ability to fund capital commitments to PSSL;</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Brexit and other world economic and political issues.</w:t>
      </w:r>
    </w:p>
    <w:p>
      <w:pPr>
        <w:spacing w:after="0" w:line="225" w:lineRule="exact"/>
        <w:rPr>
          <w:sz w:val="20"/>
          <w:szCs w:val="20"/>
          <w:color w:val="auto"/>
        </w:rPr>
      </w:pPr>
    </w:p>
    <w:p>
      <w:pPr>
        <w:ind w:right="460" w:firstLine="449"/>
        <w:spacing w:after="0" w:line="311"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49"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97" w:right="339" w:bottom="1440" w:gutter="0" w:footer="0" w:header="0"/>
        </w:sectPr>
      </w:pPr>
    </w:p>
    <w:bookmarkStart w:id="36" w:name="page37"/>
    <w:bookmarkEnd w:id="36"/>
    <w:p>
      <w:pPr>
        <w:ind w:right="20" w:firstLine="449"/>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76"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301" w:right="35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USE OF PROCEEDS</w:t>
      </w:r>
    </w:p>
    <w:p>
      <w:pPr>
        <w:spacing w:after="0" w:line="229"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84"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297" w:right="35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SENIOR SECURITIES</w:t>
      </w:r>
    </w:p>
    <w:p>
      <w:pPr>
        <w:spacing w:after="0" w:line="229"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Information about our senior securities shown in the following table as of September 30, 2019, 2018, 2017, 2016, 2015, 2014, 2013, 2012 and 2011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included in our most recent Annual Report on Form 10-K for more information.</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Amount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9"/>
              </w:rPr>
              <w:t>Asset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9"/>
              </w:rPr>
              <w:t>Class and Year</w:t>
            </w:r>
          </w:p>
        </w:tc>
        <w:tc>
          <w:tcPr>
            <w:tcW w:w="2760" w:type="dxa"/>
            <w:vAlign w:val="bottom"/>
            <w:vMerge w:val="restart"/>
          </w:tcPr>
          <w:p>
            <w:pPr>
              <w:spacing w:after="0"/>
              <w:rPr>
                <w:sz w:val="12"/>
                <w:szCs w:val="12"/>
                <w:color w:val="auto"/>
              </w:rPr>
            </w:pPr>
          </w:p>
        </w:tc>
        <w:tc>
          <w:tcPr>
            <w:tcW w:w="18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Coverage</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Market Value</w:t>
            </w: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vMerge w:val="continue"/>
          </w:tcPr>
          <w:p>
            <w:pPr>
              <w:spacing w:after="0"/>
              <w:rPr>
                <w:sz w:val="15"/>
                <w:szCs w:val="15"/>
                <w:color w:val="auto"/>
              </w:rPr>
            </w:pPr>
          </w:p>
        </w:tc>
        <w:tc>
          <w:tcPr>
            <w:tcW w:w="276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12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8"/>
                <w:szCs w:val="8"/>
                <w:b w:val="1"/>
                <w:bCs w:val="1"/>
                <w:color w:val="auto"/>
              </w:rPr>
              <w:t>(1)</w:t>
            </w:r>
          </w:p>
        </w:tc>
        <w:tc>
          <w:tcPr>
            <w:tcW w:w="360" w:type="dxa"/>
            <w:vAlign w:val="bottom"/>
          </w:tcPr>
          <w:p>
            <w:pPr>
              <w:spacing w:after="0"/>
              <w:rPr>
                <w:sz w:val="15"/>
                <w:szCs w:val="15"/>
                <w:color w:val="auto"/>
              </w:rPr>
            </w:pPr>
          </w:p>
        </w:tc>
        <w:tc>
          <w:tcPr>
            <w:tcW w:w="13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8"/>
                <w:szCs w:val="8"/>
                <w:b w:val="1"/>
                <w:bCs w:val="1"/>
                <w:color w:val="auto"/>
              </w:rPr>
              <w:t>(2)</w:t>
            </w:r>
          </w:p>
        </w:tc>
        <w:tc>
          <w:tcPr>
            <w:tcW w:w="900" w:type="dxa"/>
            <w:vAlign w:val="bottom"/>
            <w:gridSpan w:val="2"/>
          </w:tcPr>
          <w:p>
            <w:pPr>
              <w:jc w:val="right"/>
              <w:ind w:right="180"/>
              <w:spacing w:after="0" w:line="158"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189"/>
        </w:trPr>
        <w:tc>
          <w:tcPr>
            <w:tcW w:w="36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w:t>
            </w:r>
          </w:p>
        </w:tc>
        <w:tc>
          <w:tcPr>
            <w:tcW w:w="18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204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265,308</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1,786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20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333,728</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2,122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204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253,783</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2,780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0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232,908</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2,601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04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29,600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w w:val="87"/>
              </w:rPr>
              <w:t>13,598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0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146,400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2,469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204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99,600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3,109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20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75,500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2,263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204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24,650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4,735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2023 Notes</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204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138,580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1,786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20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138,580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2,122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2031 Asset-Backed Debt</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20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228,000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1,786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 in the United States of America.</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297" w:right="37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PRICE RANGE OF COMMON STOCK</w:t>
      </w:r>
    </w:p>
    <w:p>
      <w:pPr>
        <w:spacing w:after="0" w:line="229"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Our common stock is traded on The Nasdaq Global Select Market and the TASE under the symbol “PFLT.” The following table lists the high and low closing sale prices for our common stock, the closing sale prices as a premium or (discount) to our NAV per share and distributions per share on The Nasdaq Global Select Market since October 1, 2017. On January 27, 2020, the last reported closing price of our common stock on The Nasdaq Global Select Market was $12.01 per share.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9"/>
              </w:rPr>
              <w:t>Closing Sales Price</w:t>
            </w:r>
          </w:p>
        </w:tc>
        <w:tc>
          <w:tcPr>
            <w:tcW w:w="19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Premium / (Discount)</w:t>
            </w:r>
          </w:p>
        </w:tc>
        <w:tc>
          <w:tcPr>
            <w:tcW w:w="19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Premium / (Discount)</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2860" w:type="dxa"/>
            <w:vAlign w:val="bottom"/>
            <w:vMerge w:val="restart"/>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7"/>
              </w:rPr>
              <w:t>on NASDAQ</w:t>
            </w:r>
          </w:p>
        </w:tc>
        <w:tc>
          <w:tcPr>
            <w:tcW w:w="19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of High Sales</w:t>
            </w:r>
          </w:p>
        </w:tc>
        <w:tc>
          <w:tcPr>
            <w:tcW w:w="19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of Low Sales</w:t>
            </w: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 w:type="dxa"/>
            <w:vAlign w:val="bottom"/>
            <w:tcBorders>
              <w:bottom w:val="single" w:sz="8" w:color="auto"/>
            </w:tcBorders>
            <w:vMerge w:val="continue"/>
          </w:tcPr>
          <w:p>
            <w:pPr>
              <w:spacing w:after="0"/>
              <w:rPr>
                <w:sz w:val="12"/>
                <w:szCs w:val="12"/>
                <w:color w:val="auto"/>
              </w:rPr>
            </w:pPr>
          </w:p>
        </w:tc>
        <w:tc>
          <w:tcPr>
            <w:tcW w:w="2860" w:type="dxa"/>
            <w:vAlign w:val="bottom"/>
            <w:vMerge w:val="continue"/>
          </w:tcPr>
          <w:p>
            <w:pPr>
              <w:spacing w:after="0"/>
              <w:rPr>
                <w:sz w:val="12"/>
                <w:szCs w:val="12"/>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 xml:space="preserve">NAV </w:t>
            </w:r>
            <w:r>
              <w:rPr>
                <w:rFonts w:ascii="Arial" w:cs="Arial" w:eastAsia="Arial" w:hAnsi="Arial"/>
                <w:sz w:val="8"/>
                <w:szCs w:val="8"/>
                <w:b w:val="1"/>
                <w:bCs w:val="1"/>
                <w:color w:val="auto"/>
              </w:rPr>
              <w:t>(1)</w:t>
            </w:r>
          </w:p>
        </w:tc>
        <w:tc>
          <w:tcPr>
            <w:tcW w:w="100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High</w:t>
            </w:r>
          </w:p>
        </w:tc>
        <w:tc>
          <w:tcPr>
            <w:tcW w:w="52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Low</w:t>
            </w:r>
          </w:p>
        </w:tc>
        <w:tc>
          <w:tcPr>
            <w:tcW w:w="500" w:type="dxa"/>
            <w:vAlign w:val="bottom"/>
          </w:tcPr>
          <w:p>
            <w:pPr>
              <w:spacing w:after="0"/>
              <w:rPr>
                <w:sz w:val="12"/>
                <w:szCs w:val="12"/>
                <w:color w:val="auto"/>
              </w:rPr>
            </w:pPr>
          </w:p>
        </w:tc>
        <w:tc>
          <w:tcPr>
            <w:tcW w:w="196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95"/>
              </w:rPr>
              <w:t xml:space="preserve">Price to NAV </w:t>
            </w:r>
            <w:r>
              <w:rPr>
                <w:rFonts w:ascii="Arial" w:cs="Arial" w:eastAsia="Arial" w:hAnsi="Arial"/>
                <w:sz w:val="8"/>
                <w:szCs w:val="8"/>
                <w:b w:val="1"/>
                <w:bCs w:val="1"/>
                <w:color w:val="auto"/>
                <w:w w:val="95"/>
              </w:rPr>
              <w:t>(2)</w:t>
            </w:r>
          </w:p>
        </w:tc>
        <w:tc>
          <w:tcPr>
            <w:tcW w:w="198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93"/>
              </w:rPr>
              <w:t xml:space="preserve">Price to NAV </w:t>
            </w:r>
            <w:r>
              <w:rPr>
                <w:rFonts w:ascii="Arial" w:cs="Arial" w:eastAsia="Arial" w:hAnsi="Arial"/>
                <w:sz w:val="8"/>
                <w:szCs w:val="8"/>
                <w:b w:val="1"/>
                <w:bCs w:val="1"/>
                <w:color w:val="auto"/>
                <w:w w:val="93"/>
              </w:rPr>
              <w:t>(2)</w:t>
            </w:r>
          </w:p>
        </w:tc>
        <w:tc>
          <w:tcPr>
            <w:tcW w:w="120" w:type="dxa"/>
            <w:vAlign w:val="bottom"/>
          </w:tcPr>
          <w:p>
            <w:pPr>
              <w:spacing w:after="0"/>
              <w:rPr>
                <w:sz w:val="12"/>
                <w:szCs w:val="12"/>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71"/>
        </w:trPr>
        <w:tc>
          <w:tcPr>
            <w:tcW w:w="3280" w:type="dxa"/>
            <w:vAlign w:val="bottom"/>
            <w:tcBorders>
              <w:top w:val="single" w:sz="8" w:color="CCEEFF"/>
            </w:tcBorders>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Fiscal Year Ending September 30,</w:t>
            </w:r>
          </w:p>
        </w:tc>
        <w:tc>
          <w:tcPr>
            <w:tcW w:w="5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gridSpan w:val="2"/>
          </w:tcPr>
          <w:p>
            <w:pPr>
              <w:spacing w:after="0" w:line="201" w:lineRule="exact"/>
              <w:rPr>
                <w:sz w:val="20"/>
                <w:szCs w:val="20"/>
                <w:color w:val="auto"/>
              </w:rPr>
            </w:pPr>
            <w:r>
              <w:rPr>
                <w:rFonts w:ascii="Arial" w:cs="Arial" w:eastAsia="Arial" w:hAnsi="Arial"/>
                <w:sz w:val="18"/>
                <w:szCs w:val="18"/>
                <w:color w:val="auto"/>
              </w:rPr>
              <w:t>Second quarter (through</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restart"/>
          </w:tcPr>
          <w:p>
            <w:pPr>
              <w:ind w:left="280"/>
              <w:spacing w:after="0"/>
              <w:rPr>
                <w:sz w:val="20"/>
                <w:szCs w:val="20"/>
                <w:color w:val="auto"/>
              </w:rPr>
            </w:pPr>
            <w:r>
              <w:rPr>
                <w:rFonts w:ascii="Arial" w:cs="Arial" w:eastAsia="Arial" w:hAnsi="Arial"/>
                <w:sz w:val="18"/>
                <w:szCs w:val="18"/>
                <w:color w:val="auto"/>
                <w:w w:val="92"/>
              </w:rPr>
              <w:t>0.095</w:t>
            </w:r>
            <w:r>
              <w:rPr>
                <w:rFonts w:ascii="Arial" w:cs="Arial" w:eastAsia="Arial" w:hAnsi="Arial"/>
                <w:sz w:val="22"/>
                <w:szCs w:val="22"/>
                <w:color w:val="auto"/>
                <w:w w:val="92"/>
                <w:vertAlign w:val="superscript"/>
              </w:rPr>
              <w:t>(3)</w:t>
            </w:r>
          </w:p>
        </w:tc>
        <w:tc>
          <w:tcPr>
            <w:tcW w:w="0" w:type="dxa"/>
            <w:vAlign w:val="bottom"/>
          </w:tcPr>
          <w:p>
            <w:pPr>
              <w:spacing w:after="0"/>
              <w:rPr>
                <w:sz w:val="1"/>
                <w:szCs w:val="1"/>
                <w:color w:val="auto"/>
              </w:rPr>
            </w:pPr>
          </w:p>
        </w:tc>
      </w:tr>
      <w:tr>
        <w:trPr>
          <w:trHeight w:val="230"/>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January 27, 2020)</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 N/A</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$12.40</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83"/>
              </w:rPr>
              <w:t>$ 12.01</w:t>
            </w:r>
          </w:p>
        </w:tc>
        <w:tc>
          <w:tcPr>
            <w:tcW w:w="196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1980" w:type="dxa"/>
            <w:vAlign w:val="bottom"/>
            <w:gridSpan w:val="2"/>
          </w:tcPr>
          <w:p>
            <w:pPr>
              <w:ind w:left="104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12.56</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11.33</w:t>
            </w:r>
          </w:p>
        </w:tc>
        <w:tc>
          <w:tcPr>
            <w:tcW w:w="19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N/A</w:t>
            </w:r>
          </w:p>
        </w:tc>
        <w:tc>
          <w:tcPr>
            <w:tcW w:w="19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198"/>
        </w:trPr>
        <w:tc>
          <w:tcPr>
            <w:tcW w:w="32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Fiscal Year Ended September 30,</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18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12.97</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11.79</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11.22</w:t>
            </w:r>
          </w:p>
        </w:tc>
        <w:tc>
          <w:tcPr>
            <w:tcW w:w="1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13.07</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13.35</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11.44</w:t>
            </w:r>
          </w:p>
        </w:tc>
        <w:tc>
          <w:tcPr>
            <w:tcW w:w="196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13.24</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13.38</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11.80</w:t>
            </w:r>
          </w:p>
        </w:tc>
        <w:tc>
          <w:tcPr>
            <w:tcW w:w="1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13.66</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13.34</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11.20</w:t>
            </w:r>
          </w:p>
        </w:tc>
        <w:tc>
          <w:tcPr>
            <w:tcW w:w="196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Fiscal Year Ended September 30,</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13.82</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13.83</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13.15</w:t>
            </w:r>
          </w:p>
        </w:tc>
        <w:tc>
          <w:tcPr>
            <w:tcW w:w="1960" w:type="dxa"/>
            <w:vAlign w:val="bottom"/>
            <w:gridSpan w:val="2"/>
          </w:tcPr>
          <w:p>
            <w:pPr>
              <w:jc w:val="right"/>
              <w:ind w:right="620"/>
              <w:spacing w:after="0"/>
              <w:rPr>
                <w:sz w:val="20"/>
                <w:szCs w:val="20"/>
                <w:color w:val="auto"/>
              </w:rPr>
            </w:pPr>
            <w:r>
              <w:rPr>
                <w:rFonts w:ascii="Arial" w:cs="Arial" w:eastAsia="Arial" w:hAnsi="Arial"/>
                <w:sz w:val="18"/>
                <w:szCs w:val="18"/>
                <w:color w:val="auto"/>
              </w:rPr>
              <w:t>0</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13.82</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14.10</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13.08</w:t>
            </w:r>
          </w:p>
        </w:tc>
        <w:tc>
          <w:tcPr>
            <w:tcW w:w="1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13.98</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13.85</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12.19</w:t>
            </w:r>
          </w:p>
        </w:tc>
        <w:tc>
          <w:tcPr>
            <w:tcW w:w="196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13.86</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14.61</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13.72</w:t>
            </w:r>
          </w:p>
        </w:tc>
        <w:tc>
          <w:tcPr>
            <w:tcW w:w="1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86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5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per share, divided by the quarter-end NAV per share.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 dividend of $0.095 per share payable on February 3, 2020 to stockholders of record as of January 16, 2020.</w:t>
      </w:r>
    </w:p>
    <w:p>
      <w:pPr>
        <w:spacing w:after="0" w:line="21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Shares of BDCs may trade at a market price both above and below the NAV that is attributable to those shares. Our shares have traded above and below our NAV. Our shares closed on The Nasdaq Global Select Market at $11.60 and $13.15 on September 30, 2019 and 2018, respectively. Our NAV per share was $12.97 and $13.82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December 31, 2019 we had 43 stockholders of record.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297"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SALES OF COMMON STOCK BELOW NET ASSET VALUE</w:t>
      </w:r>
    </w:p>
    <w:p>
      <w:pPr>
        <w:spacing w:after="0" w:line="229"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54" w:lineRule="exact"/>
        <w:rPr>
          <w:sz w:val="20"/>
          <w:szCs w:val="20"/>
          <w:color w:val="auto"/>
        </w:rPr>
      </w:pPr>
    </w:p>
    <w:p>
      <w:pPr>
        <w:ind w:left="1000" w:right="120" w:hanging="439"/>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1000" w:right="200" w:hanging="439"/>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000" w:right="200" w:hanging="439"/>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potential investment opportunities available relative to the potential dilutive effect of additional capital at the time of the offering.</w:t>
      </w:r>
    </w:p>
    <w:p>
      <w:pPr>
        <w:spacing w:after="0" w:line="23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84"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right="180" w:firstLine="449"/>
        <w:spacing w:after="0" w:line="285" w:lineRule="auto"/>
        <w:rPr>
          <w:sz w:val="20"/>
          <w:szCs w:val="20"/>
          <w:color w:val="auto"/>
        </w:rPr>
      </w:pPr>
      <w:r>
        <w:rPr>
          <w:rFonts w:ascii="Arial" w:cs="Arial" w:eastAsia="Arial" w:hAnsi="Arial"/>
          <w:sz w:val="16"/>
          <w:szCs w:val="16"/>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94" w:lineRule="exact"/>
        <w:rPr>
          <w:sz w:val="20"/>
          <w:szCs w:val="20"/>
          <w:color w:val="auto"/>
        </w:rPr>
      </w:pPr>
    </w:p>
    <w:p>
      <w:pPr>
        <w:ind w:right="280" w:firstLine="449"/>
        <w:spacing w:after="0" w:line="308" w:lineRule="auto"/>
        <w:rPr>
          <w:sz w:val="20"/>
          <w:szCs w:val="20"/>
          <w:color w:val="auto"/>
        </w:rPr>
      </w:pPr>
      <w:r>
        <w:rPr>
          <w:rFonts w:ascii="Arial" w:cs="Arial" w:eastAsia="Arial" w:hAnsi="Arial"/>
          <w:sz w:val="17"/>
          <w:szCs w:val="17"/>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2" w:lineRule="exact"/>
        <w:rPr>
          <w:sz w:val="20"/>
          <w:szCs w:val="20"/>
          <w:color w:val="auto"/>
        </w:rPr>
      </w:pPr>
    </w:p>
    <w:p>
      <w:pPr>
        <w:ind w:left="5540" w:right="5260" w:hanging="4979"/>
        <w:spacing w:after="0" w:line="535" w:lineRule="auto"/>
        <w:tabs>
          <w:tab w:leader="none" w:pos="999"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existing stockholders who do not purchase any shares in the offering; 13</w:t>
      </w:r>
    </w:p>
    <w:p>
      <w:pPr>
        <w:sectPr>
          <w:pgSz w:w="11900" w:h="16838" w:orient="portrait"/>
          <w:cols w:equalWidth="0" w:num="1">
            <w:col w:w="11240"/>
          </w:cols>
          <w:pgMar w:left="320" w:top="297" w:right="339" w:bottom="1440" w:gutter="0" w:footer="0" w:header="0"/>
        </w:sectPr>
      </w:pPr>
    </w:p>
    <w:bookmarkStart w:id="41" w:name="page42"/>
    <w:bookmarkEnd w:id="41"/>
    <w:p>
      <w:pPr>
        <w:ind w:left="1000" w:right="220" w:hanging="439"/>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jc w:val="both"/>
        <w:ind w:right="120" w:firstLine="449"/>
        <w:spacing w:after="0" w:line="287" w:lineRule="auto"/>
        <w:rPr>
          <w:sz w:val="20"/>
          <w:szCs w:val="20"/>
          <w:color w:val="auto"/>
        </w:rPr>
      </w:pPr>
      <w:r>
        <w:rPr>
          <w:rFonts w:ascii="Arial" w:cs="Arial" w:eastAsia="Arial" w:hAnsi="Arial"/>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w:t>
      </w:r>
    </w:p>
    <w:p>
      <w:pPr>
        <w:spacing w:after="0" w:line="2"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93"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4"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left="301"/>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02"/>
              <w:spacing w:after="0"/>
              <w:rPr>
                <w:sz w:val="20"/>
                <w:szCs w:val="20"/>
                <w:color w:val="auto"/>
              </w:rPr>
            </w:pPr>
            <w:r>
              <w:rPr>
                <w:rFonts w:ascii="Arial" w:cs="Arial" w:eastAsia="Arial" w:hAnsi="Arial"/>
                <w:sz w:val="14"/>
                <w:szCs w:val="14"/>
                <w:b w:val="1"/>
                <w:bCs w:val="1"/>
                <w:color w:val="auto"/>
                <w:w w:val="92"/>
              </w:rPr>
              <w:t>Example 2</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2"/>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99"/>
              </w:rPr>
              <w:t>5% Offering</w:t>
            </w:r>
          </w:p>
        </w:tc>
        <w:tc>
          <w:tcPr>
            <w:tcW w:w="80" w:type="dxa"/>
            <w:vAlign w:val="bottom"/>
          </w:tcPr>
          <w:p>
            <w:pPr>
              <w:spacing w:after="0"/>
              <w:rPr>
                <w:sz w:val="12"/>
                <w:szCs w:val="12"/>
                <w:color w:val="auto"/>
              </w:rPr>
            </w:pPr>
          </w:p>
        </w:tc>
        <w:tc>
          <w:tcPr>
            <w:tcW w:w="190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3"/>
              </w:rPr>
              <w:t>at 5% Discount</w:t>
            </w:r>
          </w:p>
        </w:tc>
        <w:tc>
          <w:tcPr>
            <w:tcW w:w="80" w:type="dxa"/>
            <w:vAlign w:val="bottom"/>
          </w:tcPr>
          <w:p>
            <w:pPr>
              <w:spacing w:after="0"/>
              <w:rPr>
                <w:sz w:val="14"/>
                <w:szCs w:val="14"/>
                <w:color w:val="auto"/>
              </w:rPr>
            </w:pPr>
          </w:p>
        </w:tc>
        <w:tc>
          <w:tcPr>
            <w:tcW w:w="19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6"/>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w:t>
            </w:r>
          </w:p>
        </w:tc>
        <w:tc>
          <w:tcPr>
            <w:tcW w:w="50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Below NAV</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8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9.47</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4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9.00</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4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89"/>
              </w:rPr>
              <w:t>1,000,000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1,050,000</w:t>
            </w:r>
          </w:p>
        </w:tc>
        <w:tc>
          <w:tcPr>
            <w:tcW w:w="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7"/>
              </w:rPr>
              <w:t>1,100,000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1,250,000</w:t>
            </w:r>
          </w:p>
        </w:tc>
        <w:tc>
          <w:tcPr>
            <w:tcW w:w="4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3840" w:type="dxa"/>
            <w:vAlign w:val="bottom"/>
          </w:tcPr>
          <w:p>
            <w:pPr>
              <w:spacing w:after="0"/>
              <w:rPr>
                <w:sz w:val="20"/>
                <w:szCs w:val="20"/>
                <w:color w:val="auto"/>
              </w:rPr>
            </w:pPr>
            <w:r>
              <w:rPr>
                <w:rFonts w:ascii="Arial" w:cs="Arial" w:eastAsia="Arial" w:hAnsi="Arial"/>
                <w:sz w:val="16"/>
                <w:szCs w:val="16"/>
                <w:color w:val="auto"/>
              </w:rPr>
              <w:t>NAV per share</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10.00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9.98</w:t>
            </w:r>
          </w:p>
        </w:tc>
        <w:tc>
          <w:tcPr>
            <w:tcW w:w="44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9.91</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4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10,000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10,000</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0.95%</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0.80%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(20.00)%</w:t>
            </w:r>
          </w:p>
        </w:tc>
        <w:tc>
          <w:tcPr>
            <w:tcW w:w="0" w:type="dxa"/>
            <w:vAlign w:val="bottom"/>
          </w:tcPr>
          <w:p>
            <w:pPr>
              <w:spacing w:after="0"/>
              <w:rPr>
                <w:sz w:val="1"/>
                <w:szCs w:val="1"/>
                <w:color w:val="auto"/>
              </w:rPr>
            </w:pPr>
          </w:p>
        </w:tc>
      </w:tr>
      <w:tr>
        <w:trPr>
          <w:trHeight w:val="203"/>
        </w:trPr>
        <w:tc>
          <w:tcPr>
            <w:tcW w:w="384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NAV held by stockholder A</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99,800</w:t>
            </w:r>
          </w:p>
        </w:tc>
        <w:tc>
          <w:tcPr>
            <w:tcW w:w="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99,100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95,000</w:t>
            </w:r>
          </w:p>
        </w:tc>
        <w:tc>
          <w:tcPr>
            <w:tcW w:w="4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3840" w:type="dxa"/>
            <w:vAlign w:val="bottom"/>
          </w:tcPr>
          <w:p>
            <w:pPr>
              <w:ind w:left="340"/>
              <w:spacing w:after="0"/>
              <w:rPr>
                <w:sz w:val="20"/>
                <w:szCs w:val="20"/>
                <w:color w:val="auto"/>
              </w:rPr>
            </w:pPr>
            <w:r>
              <w:rPr>
                <w:rFonts w:ascii="Arial" w:cs="Arial" w:eastAsia="Arial" w:hAnsi="Arial"/>
                <w:sz w:val="16"/>
                <w:szCs w:val="16"/>
                <w:color w:val="auto"/>
              </w:rPr>
              <w:t>Total investment by stockholder A (assumed to</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840" w:type="dxa"/>
            <w:vAlign w:val="bottom"/>
          </w:tcPr>
          <w:p>
            <w:pPr>
              <w:ind w:left="500"/>
              <w:spacing w:after="0"/>
              <w:rPr>
                <w:sz w:val="20"/>
                <w:szCs w:val="20"/>
                <w:color w:val="auto"/>
              </w:rPr>
            </w:pPr>
            <w:r>
              <w:rPr>
                <w:rFonts w:ascii="Arial" w:cs="Arial" w:eastAsia="Arial" w:hAnsi="Arial"/>
                <w:sz w:val="16"/>
                <w:szCs w:val="16"/>
                <w:color w:val="auto"/>
              </w:rPr>
              <w:t>be $10.00 per share)</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100,000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100,000</w:t>
            </w:r>
          </w:p>
        </w:tc>
        <w:tc>
          <w:tcPr>
            <w:tcW w:w="800" w:type="dxa"/>
            <w:vAlign w:val="bottom"/>
            <w:gridSpan w:val="2"/>
            <w:vMerge w:val="continue"/>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dilution to stockholder A (total NAV less</w:t>
            </w:r>
          </w:p>
        </w:tc>
        <w:tc>
          <w:tcPr>
            <w:tcW w:w="12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investment)</w:t>
            </w: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(200)</w:t>
            </w:r>
          </w:p>
        </w:tc>
        <w:tc>
          <w:tcPr>
            <w:tcW w:w="9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(900)</w:t>
            </w:r>
          </w:p>
        </w:tc>
        <w:tc>
          <w:tcPr>
            <w:tcW w:w="80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(5,000)</w:t>
            </w: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01" w:right="339" w:bottom="1440" w:gutter="0" w:footer="0" w:header="0"/>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2"/>
              </w:rPr>
              <w:t>Example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5"/>
              </w:rPr>
              <w:t>Example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Example 3</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5"/>
              </w:rPr>
              <w:t>at 5% Discount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0"/>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7"/>
              </w:rPr>
              <w:t>Sale</w:t>
            </w:r>
          </w:p>
        </w:tc>
        <w:tc>
          <w:tcPr>
            <w:tcW w:w="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7"/>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44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Per Share Amounts</w:t>
            </w:r>
          </w:p>
        </w:tc>
        <w:tc>
          <w:tcPr>
            <w:tcW w:w="2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6"/>
                <w:szCs w:val="16"/>
                <w:color w:val="auto"/>
              </w:rPr>
              <w:t>NAV per share held by stockholder A</w:t>
            </w:r>
          </w:p>
        </w:tc>
        <w:tc>
          <w:tcPr>
            <w:tcW w:w="26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6"/>
                <w:szCs w:val="16"/>
                <w:color w:val="auto"/>
              </w:rPr>
              <w:t>9.98</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6"/>
                <w:szCs w:val="16"/>
                <w:color w:val="auto"/>
              </w:rPr>
              <w:t>9.91</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6"/>
                <w:szCs w:val="16"/>
                <w:color w:val="auto"/>
              </w:rPr>
              <w:t>9.50</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44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7"/>
              </w:rPr>
              <w:t>Investment per share held by stockholder A (assumed to be</w:t>
            </w: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$10.00 per share on shares held prior to sale)</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4"/>
              </w:rPr>
              <w:t>10.00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10.00</w:t>
            </w:r>
          </w:p>
        </w:tc>
        <w:tc>
          <w:tcPr>
            <w:tcW w:w="820" w:type="dxa"/>
            <w:vAlign w:val="bottom"/>
            <w:gridSpan w:val="2"/>
            <w:vMerge w:val="continue"/>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10.00</w:t>
            </w:r>
          </w:p>
        </w:tc>
        <w:tc>
          <w:tcPr>
            <w:tcW w:w="840" w:type="dxa"/>
            <w:vAlign w:val="bottom"/>
            <w:gridSpan w:val="2"/>
            <w:vMerge w:val="continue"/>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10.00</w:t>
            </w: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480" w:type="dxa"/>
            <w:vAlign w:val="bottom"/>
          </w:tcPr>
          <w:p>
            <w:pPr>
              <w:ind w:left="340"/>
              <w:spacing w:after="0"/>
              <w:rPr>
                <w:sz w:val="20"/>
                <w:szCs w:val="20"/>
                <w:color w:val="auto"/>
              </w:rPr>
            </w:pPr>
            <w:r>
              <w:rPr>
                <w:rFonts w:ascii="Arial" w:cs="Arial" w:eastAsia="Arial" w:hAnsi="Arial"/>
                <w:sz w:val="16"/>
                <w:szCs w:val="16"/>
                <w:color w:val="auto"/>
              </w:rPr>
              <w:t>Dilution per share held by stockholder A (NAV per share</w:t>
            </w:r>
          </w:p>
        </w:tc>
        <w:tc>
          <w:tcPr>
            <w:tcW w:w="260" w:type="dxa"/>
            <w:vAlign w:val="bottom"/>
          </w:tcPr>
          <w:p>
            <w:pPr>
              <w:spacing w:after="0"/>
              <w:rPr>
                <w:sz w:val="16"/>
                <w:szCs w:val="1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80" w:type="dxa"/>
            <w:vAlign w:val="bottom"/>
          </w:tcPr>
          <w:p>
            <w:pPr>
              <w:ind w:left="500"/>
              <w:spacing w:after="0"/>
              <w:rPr>
                <w:sz w:val="20"/>
                <w:szCs w:val="20"/>
                <w:color w:val="auto"/>
              </w:rPr>
            </w:pPr>
            <w:r>
              <w:rPr>
                <w:rFonts w:ascii="Arial" w:cs="Arial" w:eastAsia="Arial" w:hAnsi="Arial"/>
                <w:sz w:val="16"/>
                <w:szCs w:val="16"/>
                <w:color w:val="auto"/>
              </w:rPr>
              <w:t>less investment per share)</w:t>
            </w:r>
          </w:p>
        </w:tc>
        <w:tc>
          <w:tcPr>
            <w:tcW w:w="2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(0.02)</w:t>
            </w:r>
          </w:p>
        </w:tc>
        <w:tc>
          <w:tcPr>
            <w:tcW w:w="820" w:type="dxa"/>
            <w:vAlign w:val="bottom"/>
            <w:gridSpan w:val="2"/>
            <w:vMerge w:val="continue"/>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(0.09)</w:t>
            </w:r>
          </w:p>
        </w:tc>
        <w:tc>
          <w:tcPr>
            <w:tcW w:w="840" w:type="dxa"/>
            <w:vAlign w:val="bottom"/>
            <w:gridSpan w:val="2"/>
            <w:vMerge w:val="continue"/>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(0.50)</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Percentage dilution to stockholder A (dilution per share</w:t>
            </w:r>
          </w:p>
        </w:tc>
        <w:tc>
          <w:tcPr>
            <w:tcW w:w="26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divided by investment per share)</w:t>
            </w:r>
          </w:p>
        </w:tc>
        <w:tc>
          <w:tcPr>
            <w:tcW w:w="26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right="40" w:firstLine="449"/>
        <w:spacing w:after="0" w:line="268" w:lineRule="auto"/>
        <w:rPr>
          <w:sz w:val="20"/>
          <w:szCs w:val="20"/>
          <w:color w:val="auto"/>
        </w:rPr>
      </w:pPr>
      <w:r>
        <w:rPr>
          <w:rFonts w:ascii="Arial" w:cs="Arial" w:eastAsia="Arial" w:hAnsi="Arial"/>
          <w:sz w:val="17"/>
          <w:szCs w:val="17"/>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80" w:right="339" w:bottom="1440" w:gutter="0" w:footer="0" w:header="0"/>
        </w:sectPr>
      </w:pPr>
    </w:p>
    <w:bookmarkStart w:id="43" w:name="page44"/>
    <w:bookmarkEnd w:id="43"/>
    <w:p>
      <w:pPr>
        <w:ind w:right="20" w:firstLine="449"/>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4"/>
                <w:szCs w:val="14"/>
                <w:color w:val="auto"/>
              </w:rPr>
            </w:pPr>
          </w:p>
        </w:tc>
        <w:tc>
          <w:tcPr>
            <w:tcW w:w="1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5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Borders>
              <w:top w:val="single" w:sz="8" w:color="auto"/>
            </w:tcBorders>
            <w:gridSpan w:val="3"/>
          </w:tcPr>
          <w:p>
            <w:pPr>
              <w:jc w:val="right"/>
              <w:ind w:right="6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10"/>
                <w:szCs w:val="10"/>
                <w:color w:val="auto"/>
              </w:rPr>
            </w:pPr>
          </w:p>
        </w:tc>
        <w:tc>
          <w:tcPr>
            <w:tcW w:w="1280" w:type="dxa"/>
            <w:vAlign w:val="bottom"/>
            <w:tcBorders>
              <w:top w:val="single" w:sz="8" w:color="auto"/>
            </w:tcBorders>
            <w:gridSpan w:val="3"/>
          </w:tcPr>
          <w:p>
            <w:pPr>
              <w:jc w:val="right"/>
              <w:ind w:right="6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Below NAV</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53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Offering Price</w:t>
            </w: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7.89</w:t>
            </w:r>
          </w:p>
        </w:tc>
        <w:tc>
          <w:tcPr>
            <w:tcW w:w="540" w:type="dxa"/>
            <w:vAlign w:val="bottom"/>
          </w:tcPr>
          <w:p>
            <w:pPr>
              <w:spacing w:after="0"/>
              <w:rPr>
                <w:sz w:val="17"/>
                <w:szCs w:val="17"/>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540"/>
              <w:spacing w:after="0"/>
              <w:rPr>
                <w:sz w:val="20"/>
                <w:szCs w:val="20"/>
                <w:color w:val="auto"/>
              </w:rPr>
            </w:pPr>
            <w:r>
              <w:rPr>
                <w:rFonts w:ascii="Arial" w:cs="Arial" w:eastAsia="Arial" w:hAnsi="Arial"/>
                <w:sz w:val="16"/>
                <w:szCs w:val="16"/>
                <w:color w:val="auto"/>
              </w:rPr>
              <w:t>7.89</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5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7.50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Arial" w:cs="Arial" w:eastAsia="Arial" w:hAnsi="Arial"/>
                <w:sz w:val="16"/>
                <w:szCs w:val="16"/>
                <w:b w:val="1"/>
                <w:bCs w:val="1"/>
                <w:color w:val="auto"/>
              </w:rPr>
              <w:t>Increases in Shares and Decrease to NAV</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5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w w:val="87"/>
              </w:rPr>
              <w:t>1,250,000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Arial" w:cs="Arial" w:eastAsia="Arial" w:hAnsi="Arial"/>
                <w:sz w:val="16"/>
                <w:szCs w:val="16"/>
                <w:color w:val="auto"/>
              </w:rPr>
              <w:t>NAV per share</w:t>
            </w:r>
          </w:p>
        </w:tc>
        <w:tc>
          <w:tcPr>
            <w:tcW w:w="380" w:type="dxa"/>
            <w:vAlign w:val="bottom"/>
            <w:gridSpan w:val="2"/>
          </w:tcPr>
          <w:p>
            <w:pPr>
              <w:ind w:left="2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34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9.50</w:t>
            </w:r>
          </w:p>
        </w:tc>
        <w:tc>
          <w:tcPr>
            <w:tcW w:w="54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(5.00)%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540"/>
              <w:spacing w:after="0"/>
              <w:rPr>
                <w:sz w:val="20"/>
                <w:szCs w:val="20"/>
                <w:color w:val="auto"/>
              </w:rPr>
            </w:pPr>
            <w:r>
              <w:rPr>
                <w:rFonts w:ascii="Arial" w:cs="Arial" w:eastAsia="Arial" w:hAnsi="Arial"/>
                <w:sz w:val="16"/>
                <w:szCs w:val="16"/>
                <w:color w:val="auto"/>
              </w:rPr>
              <w:t>9.50</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(Dilution)/Accretion to Participating Stockholder A</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6"/>
                <w:szCs w:val="16"/>
                <w:color w:val="auto"/>
              </w:rPr>
              <w:t>11,250</w:t>
            </w:r>
          </w:p>
        </w:tc>
        <w:tc>
          <w:tcPr>
            <w:tcW w:w="1060" w:type="dxa"/>
            <w:vAlign w:val="bottom"/>
            <w:gridSpan w:val="2"/>
          </w:tcPr>
          <w:p>
            <w:pPr>
              <w:jc w:val="right"/>
              <w:ind w:right="440"/>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7"/>
                <w:szCs w:val="17"/>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6"/>
                <w:szCs w:val="16"/>
                <w:color w:val="auto"/>
              </w:rPr>
              <w:t>13,750</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0.90%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98"/>
              </w:rPr>
              <w:t>(10.00)%</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1.10%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Total NAV held by stockholder A</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106,875</w:t>
            </w:r>
          </w:p>
        </w:tc>
        <w:tc>
          <w:tcPr>
            <w:tcW w:w="5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130,625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30.63%</w:t>
            </w:r>
          </w:p>
        </w:tc>
        <w:tc>
          <w:tcPr>
            <w:tcW w:w="0" w:type="dxa"/>
            <w:vAlign w:val="bottom"/>
          </w:tcPr>
          <w:p>
            <w:pPr>
              <w:spacing w:after="0"/>
              <w:rPr>
                <w:sz w:val="1"/>
                <w:szCs w:val="1"/>
                <w:color w:val="auto"/>
              </w:rPr>
            </w:pPr>
          </w:p>
        </w:tc>
      </w:tr>
      <w:tr>
        <w:trPr>
          <w:trHeight w:val="193"/>
        </w:trPr>
        <w:tc>
          <w:tcPr>
            <w:tcW w:w="5340" w:type="dxa"/>
            <w:vAlign w:val="bottom"/>
          </w:tcPr>
          <w:p>
            <w:pPr>
              <w:spacing w:after="0"/>
              <w:rPr>
                <w:sz w:val="20"/>
                <w:szCs w:val="20"/>
                <w:color w:val="auto"/>
              </w:rPr>
            </w:pPr>
            <w:r>
              <w:rPr>
                <w:rFonts w:ascii="Arial" w:cs="Arial" w:eastAsia="Arial" w:hAnsi="Arial"/>
                <w:sz w:val="16"/>
                <w:szCs w:val="16"/>
                <w:color w:val="auto"/>
                <w:w w:val="95"/>
              </w:rPr>
              <w:t>Total investment by stockholder A (assumed to be $10.00 per share on shares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40" w:type="dxa"/>
            <w:vAlign w:val="bottom"/>
          </w:tcPr>
          <w:p>
            <w:pPr>
              <w:ind w:left="180"/>
              <w:spacing w:after="0"/>
              <w:rPr>
                <w:sz w:val="20"/>
                <w:szCs w:val="20"/>
                <w:color w:val="auto"/>
              </w:rPr>
            </w:pPr>
            <w:r>
              <w:rPr>
                <w:rFonts w:ascii="Arial" w:cs="Arial" w:eastAsia="Arial" w:hAnsi="Arial"/>
                <w:sz w:val="16"/>
                <w:szCs w:val="16"/>
                <w:color w:val="auto"/>
              </w:rPr>
              <w:t>held prior to sale)</w:t>
            </w:r>
          </w:p>
        </w:tc>
        <w:tc>
          <w:tcPr>
            <w:tcW w:w="380" w:type="dxa"/>
            <w:vAlign w:val="bottom"/>
            <w:gridSpan w:val="2"/>
          </w:tcPr>
          <w:p>
            <w:pPr>
              <w:ind w:left="2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100,000</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109,863</w:t>
            </w:r>
          </w:p>
        </w:tc>
        <w:tc>
          <w:tcPr>
            <w:tcW w:w="5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6"/>
                <w:szCs w:val="16"/>
                <w:color w:val="auto"/>
              </w:rPr>
              <w:t>9.86%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540"/>
              <w:spacing w:after="0"/>
              <w:rPr>
                <w:sz w:val="20"/>
                <w:szCs w:val="20"/>
                <w:color w:val="auto"/>
              </w:rPr>
            </w:pPr>
            <w:r>
              <w:rPr>
                <w:rFonts w:ascii="Arial" w:cs="Arial" w:eastAsia="Arial" w:hAnsi="Arial"/>
                <w:sz w:val="16"/>
                <w:szCs w:val="16"/>
                <w:color w:val="auto"/>
              </w:rPr>
              <w:t>129,588</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Total (dilution)/accretion to stockholder A (total NAV less total investment)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(2,988)</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1,037</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NAV per share held by stockholder A</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5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9.50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340" w:type="dxa"/>
            <w:vAlign w:val="bottom"/>
          </w:tcPr>
          <w:p>
            <w:pPr>
              <w:ind w:left="340"/>
              <w:spacing w:after="0"/>
              <w:rPr>
                <w:sz w:val="20"/>
                <w:szCs w:val="20"/>
                <w:color w:val="auto"/>
              </w:rPr>
            </w:pPr>
            <w:r>
              <w:rPr>
                <w:rFonts w:ascii="Arial" w:cs="Arial" w:eastAsia="Arial" w:hAnsi="Arial"/>
                <w:sz w:val="16"/>
                <w:szCs w:val="16"/>
                <w:color w:val="auto"/>
                <w:w w:val="98"/>
              </w:rPr>
              <w:t>Investment per share held by stockholder A (assumed to be $10.00 per</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40" w:type="dxa"/>
            <w:vAlign w:val="bottom"/>
          </w:tcPr>
          <w:p>
            <w:pPr>
              <w:ind w:left="500"/>
              <w:spacing w:after="0"/>
              <w:rPr>
                <w:sz w:val="20"/>
                <w:szCs w:val="20"/>
                <w:color w:val="auto"/>
              </w:rPr>
            </w:pPr>
            <w:r>
              <w:rPr>
                <w:rFonts w:ascii="Arial" w:cs="Arial" w:eastAsia="Arial" w:hAnsi="Arial"/>
                <w:sz w:val="16"/>
                <w:szCs w:val="16"/>
                <w:color w:val="auto"/>
              </w:rPr>
              <w:t>share on shares held prior to sale)</w:t>
            </w:r>
          </w:p>
        </w:tc>
        <w:tc>
          <w:tcPr>
            <w:tcW w:w="380" w:type="dxa"/>
            <w:vAlign w:val="bottom"/>
            <w:gridSpan w:val="2"/>
          </w:tcPr>
          <w:p>
            <w:pPr>
              <w:ind w:left="2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9.77</w:t>
            </w:r>
          </w:p>
        </w:tc>
        <w:tc>
          <w:tcPr>
            <w:tcW w:w="5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(2.30)%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540"/>
              <w:spacing w:after="0"/>
              <w:rPr>
                <w:sz w:val="20"/>
                <w:szCs w:val="20"/>
                <w:color w:val="auto"/>
              </w:rPr>
            </w:pPr>
            <w:r>
              <w:rPr>
                <w:rFonts w:ascii="Arial" w:cs="Arial" w:eastAsia="Arial" w:hAnsi="Arial"/>
                <w:sz w:val="16"/>
                <w:szCs w:val="16"/>
                <w:color w:val="auto"/>
              </w:rPr>
              <w:t>9.42</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6"/>
        </w:trPr>
        <w:tc>
          <w:tcPr>
            <w:tcW w:w="534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7"/>
              </w:rPr>
              <w:t>(Dilution)/accretion per share held by stockholder A (NAV per share less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investment per share)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(0.27)</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0.08</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340" w:type="dxa"/>
            <w:vAlign w:val="bottom"/>
          </w:tcPr>
          <w:p>
            <w:pPr>
              <w:ind w:left="340"/>
              <w:spacing w:after="0"/>
              <w:rPr>
                <w:sz w:val="20"/>
                <w:szCs w:val="20"/>
                <w:color w:val="auto"/>
              </w:rPr>
            </w:pPr>
            <w:r>
              <w:rPr>
                <w:rFonts w:ascii="Arial" w:cs="Arial" w:eastAsia="Arial" w:hAnsi="Arial"/>
                <w:sz w:val="16"/>
                <w:szCs w:val="16"/>
                <w:color w:val="auto"/>
                <w:w w:val="98"/>
              </w:rPr>
              <w:t>Percentage (dilution)/accretion to stockholder A ((dilution)/accretion per</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340" w:type="dxa"/>
            <w:vAlign w:val="bottom"/>
          </w:tcPr>
          <w:p>
            <w:pPr>
              <w:ind w:left="500"/>
              <w:spacing w:after="0"/>
              <w:rPr>
                <w:sz w:val="20"/>
                <w:szCs w:val="20"/>
                <w:color w:val="auto"/>
              </w:rPr>
            </w:pPr>
            <w:r>
              <w:rPr>
                <w:rFonts w:ascii="Arial" w:cs="Arial" w:eastAsia="Arial" w:hAnsi="Arial"/>
                <w:sz w:val="16"/>
                <w:szCs w:val="16"/>
                <w:color w:val="auto"/>
              </w:rPr>
              <w:t>share divided by investment per share)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4"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301" w:right="339" w:bottom="1440" w:gutter="0" w:footer="0" w:header="0"/>
        </w:sectPr>
      </w:pPr>
    </w:p>
    <w:bookmarkStart w:id="44" w:name="page45"/>
    <w:bookmarkEnd w:id="44"/>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84"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01"/>
              <w:spacing w:after="0"/>
              <w:rPr>
                <w:sz w:val="20"/>
                <w:szCs w:val="20"/>
                <w:color w:val="auto"/>
              </w:rPr>
            </w:pPr>
            <w:r>
              <w:rPr>
                <w:rFonts w:ascii="Arial" w:cs="Arial" w:eastAsia="Arial" w:hAnsi="Arial"/>
                <w:sz w:val="14"/>
                <w:szCs w:val="14"/>
                <w:b w:val="1"/>
                <w:bCs w:val="1"/>
                <w:color w:val="auto"/>
                <w:w w:val="95"/>
              </w:rPr>
              <w:t>Example 1</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01"/>
              <w:spacing w:after="0"/>
              <w:rPr>
                <w:sz w:val="20"/>
                <w:szCs w:val="20"/>
                <w:color w:val="auto"/>
              </w:rPr>
            </w:pPr>
            <w:r>
              <w:rPr>
                <w:rFonts w:ascii="Arial" w:cs="Arial" w:eastAsia="Arial" w:hAnsi="Arial"/>
                <w:sz w:val="14"/>
                <w:szCs w:val="14"/>
                <w:b w:val="1"/>
                <w:bCs w:val="1"/>
                <w:color w:val="auto"/>
                <w:w w:val="95"/>
              </w:rPr>
              <w:t>Example 2</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01"/>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99"/>
              </w:rPr>
              <w:t>5% Offering</w:t>
            </w:r>
          </w:p>
        </w:tc>
        <w:tc>
          <w:tcPr>
            <w:tcW w:w="80" w:type="dxa"/>
            <w:vAlign w:val="bottom"/>
          </w:tcPr>
          <w:p>
            <w:pPr>
              <w:spacing w:after="0"/>
              <w:rPr>
                <w:sz w:val="12"/>
                <w:szCs w:val="12"/>
                <w:color w:val="auto"/>
              </w:rPr>
            </w:pPr>
          </w:p>
        </w:tc>
        <w:tc>
          <w:tcPr>
            <w:tcW w:w="194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3"/>
              </w:rPr>
              <w:t>at 5% Discount</w:t>
            </w:r>
          </w:p>
        </w:tc>
        <w:tc>
          <w:tcPr>
            <w:tcW w:w="80" w:type="dxa"/>
            <w:vAlign w:val="bottom"/>
          </w:tcPr>
          <w:p>
            <w:pPr>
              <w:spacing w:after="0"/>
              <w:rPr>
                <w:sz w:val="14"/>
                <w:szCs w:val="14"/>
                <w:color w:val="auto"/>
              </w:rPr>
            </w:pPr>
          </w:p>
        </w:tc>
        <w:tc>
          <w:tcPr>
            <w:tcW w:w="19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at 10%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54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Arial" w:cs="Arial" w:eastAsia="Arial" w:hAnsi="Arial"/>
                <w:sz w:val="14"/>
                <w:szCs w:val="14"/>
                <w:b w:val="1"/>
                <w:bCs w:val="1"/>
                <w:color w:val="auto"/>
              </w:rPr>
              <w:t>Below NAV</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8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Offering Price</w:t>
            </w: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w:t>
            </w:r>
          </w:p>
        </w:tc>
        <w:tc>
          <w:tcPr>
            <w:tcW w:w="480" w:type="dxa"/>
            <w:vAlign w:val="bottom"/>
          </w:tcPr>
          <w:p>
            <w:pPr>
              <w:spacing w:after="0"/>
              <w:rPr>
                <w:sz w:val="17"/>
                <w:szCs w:val="17"/>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9.47</w:t>
            </w: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7.89</w:t>
            </w:r>
          </w:p>
        </w:tc>
        <w:tc>
          <w:tcPr>
            <w:tcW w:w="48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9.00</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b w:val="1"/>
                <w:bCs w:val="1"/>
                <w:color w:val="auto"/>
              </w:rPr>
              <w:t>Decrease to NAV</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1,050,000</w:t>
            </w:r>
          </w:p>
        </w:tc>
        <w:tc>
          <w:tcPr>
            <w:tcW w:w="4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w w:val="87"/>
              </w:rPr>
              <w:t>1,100,000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NAV per share</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9.98</w:t>
            </w:r>
          </w:p>
        </w:tc>
        <w:tc>
          <w:tcPr>
            <w:tcW w:w="4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9.91</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(0.90)%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9.50</w:t>
            </w:r>
          </w:p>
        </w:tc>
        <w:tc>
          <w:tcPr>
            <w:tcW w:w="4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Dilution to Stockholder A</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500</w:t>
            </w:r>
          </w:p>
        </w:tc>
        <w:tc>
          <w:tcPr>
            <w:tcW w:w="480" w:type="dxa"/>
            <w:vAlign w:val="bottom"/>
          </w:tcPr>
          <w:p>
            <w:pPr>
              <w:spacing w:after="0"/>
              <w:rPr>
                <w:sz w:val="17"/>
                <w:szCs w:val="17"/>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1,000</w:t>
            </w: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2,500</w:t>
            </w:r>
          </w:p>
        </w:tc>
        <w:tc>
          <w:tcPr>
            <w:tcW w:w="48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0.05%</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0.90%</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0.20%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NAV held by stockholder A</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w:t>
            </w:r>
          </w:p>
        </w:tc>
        <w:tc>
          <w:tcPr>
            <w:tcW w:w="4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9,910</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23,750</w:t>
            </w: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tcPr>
          <w:p>
            <w:pPr>
              <w:ind w:left="340"/>
              <w:spacing w:after="0"/>
              <w:rPr>
                <w:sz w:val="20"/>
                <w:szCs w:val="20"/>
                <w:color w:val="auto"/>
              </w:rPr>
            </w:pPr>
            <w:r>
              <w:rPr>
                <w:rFonts w:ascii="Arial" w:cs="Arial" w:eastAsia="Arial" w:hAnsi="Arial"/>
                <w:sz w:val="16"/>
                <w:szCs w:val="16"/>
                <w:color w:val="auto"/>
              </w:rPr>
              <w:t>Total investment by stockholder A</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5,000</w:t>
            </w:r>
          </w:p>
        </w:tc>
        <w:tc>
          <w:tcPr>
            <w:tcW w:w="480" w:type="dxa"/>
            <w:vAlign w:val="bottom"/>
          </w:tcPr>
          <w:p>
            <w:pPr>
              <w:spacing w:after="0"/>
              <w:rPr>
                <w:sz w:val="17"/>
                <w:szCs w:val="17"/>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9,470</w:t>
            </w: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19,725</w:t>
            </w:r>
          </w:p>
        </w:tc>
        <w:tc>
          <w:tcPr>
            <w:tcW w:w="48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(dilution)/accretion to stockholder A (total</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NAV less total investment)</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440</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NAV per share held by stockholder A</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4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9.91</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tcPr>
          <w:p>
            <w:pPr>
              <w:ind w:left="340"/>
              <w:spacing w:after="0"/>
              <w:rPr>
                <w:sz w:val="20"/>
                <w:szCs w:val="20"/>
                <w:color w:val="auto"/>
              </w:rPr>
            </w:pPr>
            <w:r>
              <w:rPr>
                <w:rFonts w:ascii="Arial" w:cs="Arial" w:eastAsia="Arial" w:hAnsi="Arial"/>
                <w:sz w:val="16"/>
                <w:szCs w:val="16"/>
                <w:color w:val="auto"/>
              </w:rPr>
              <w:t>Investment per share held by stockholder A</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w:t>
            </w:r>
          </w:p>
        </w:tc>
        <w:tc>
          <w:tcPr>
            <w:tcW w:w="480" w:type="dxa"/>
            <w:vAlign w:val="bottom"/>
          </w:tcPr>
          <w:p>
            <w:pPr>
              <w:spacing w:after="0"/>
              <w:rPr>
                <w:sz w:val="17"/>
                <w:szCs w:val="17"/>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9.47</w:t>
            </w: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7.89</w:t>
            </w:r>
          </w:p>
        </w:tc>
        <w:tc>
          <w:tcPr>
            <w:tcW w:w="48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(Dilution)/accretion per share held by</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stockholder A (NAV per share less investment</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per share)</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(0.02)</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0.44</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800" w:type="dxa"/>
            <w:vAlign w:val="bottom"/>
          </w:tcPr>
          <w:p>
            <w:pPr>
              <w:ind w:left="340"/>
              <w:spacing w:after="0"/>
              <w:rPr>
                <w:sz w:val="20"/>
                <w:szCs w:val="20"/>
                <w:color w:val="auto"/>
              </w:rPr>
            </w:pPr>
            <w:r>
              <w:rPr>
                <w:rFonts w:ascii="Arial" w:cs="Arial" w:eastAsia="Arial" w:hAnsi="Arial"/>
                <w:sz w:val="16"/>
                <w:szCs w:val="16"/>
                <w:color w:val="auto"/>
              </w:rPr>
              <w:t>Percentage (dilution)/accretion to stockholder A</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500"/>
              <w:spacing w:after="0"/>
              <w:rPr>
                <w:sz w:val="20"/>
                <w:szCs w:val="20"/>
                <w:color w:val="auto"/>
              </w:rPr>
            </w:pPr>
            <w:r>
              <w:rPr>
                <w:rFonts w:ascii="Arial" w:cs="Arial" w:eastAsia="Arial" w:hAnsi="Arial"/>
                <w:sz w:val="16"/>
                <w:szCs w:val="16"/>
                <w:color w:val="auto"/>
              </w:rPr>
              <w:t>((dilution)/accretion per share divided by</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0" w:type="dxa"/>
            <w:vAlign w:val="bottom"/>
          </w:tcPr>
          <w:p>
            <w:pPr>
              <w:ind w:left="500"/>
              <w:spacing w:after="0"/>
              <w:rPr>
                <w:sz w:val="20"/>
                <w:szCs w:val="20"/>
                <w:color w:val="auto"/>
              </w:rPr>
            </w:pPr>
            <w:r>
              <w:rPr>
                <w:rFonts w:ascii="Arial" w:cs="Arial" w:eastAsia="Arial" w:hAnsi="Arial"/>
                <w:sz w:val="16"/>
                <w:szCs w:val="16"/>
                <w:color w:val="auto"/>
              </w:rPr>
              <w:t>investment per share)</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(0.20)%</w:t>
            </w:r>
          </w:p>
        </w:tc>
        <w:tc>
          <w:tcPr>
            <w:tcW w:w="80" w:type="dxa"/>
            <w:vAlign w:val="bottom"/>
          </w:tcPr>
          <w:p>
            <w:pPr>
              <w:spacing w:after="0"/>
              <w:rPr>
                <w:sz w:val="17"/>
                <w:szCs w:val="17"/>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4.65%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301" w:right="339" w:bottom="1440" w:gutter="0" w:footer="0" w:header="0"/>
        </w:sectPr>
      </w:pPr>
    </w:p>
    <w:bookmarkStart w:id="45" w:name="page46"/>
    <w:bookmarkEnd w:id="4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DISTRIBUTIONS</w:t>
      </w:r>
    </w:p>
    <w:p>
      <w:pPr>
        <w:spacing w:after="0" w:line="229"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5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Each year, a Form 1099-DIV will be sent to stockholders subject to information reporting that will state the amount and composition of distributions and provide information with respect to appropriate tax treatment of our distributions.</w:t>
      </w:r>
    </w:p>
    <w:p>
      <w:pPr>
        <w:spacing w:after="0" w:line="170" w:lineRule="exact"/>
        <w:rPr>
          <w:sz w:val="20"/>
          <w:szCs w:val="20"/>
          <w:color w:val="auto"/>
        </w:rPr>
      </w:pPr>
    </w:p>
    <w:p>
      <w:pPr>
        <w:jc w:val="both"/>
        <w:ind w:right="100" w:firstLine="449"/>
        <w:spacing w:after="0" w:line="301" w:lineRule="auto"/>
        <w:rPr>
          <w:sz w:val="20"/>
          <w:szCs w:val="20"/>
          <w:color w:val="auto"/>
        </w:rPr>
      </w:pPr>
      <w:r>
        <w:rPr>
          <w:rFonts w:ascii="Arial" w:cs="Arial" w:eastAsia="Arial" w:hAnsi="Arial"/>
          <w:sz w:val="16"/>
          <w:szCs w:val="16"/>
          <w:color w:val="auto"/>
        </w:rPr>
        <w:t>The tax characteristics of distributions declared, in accordance with Section 19(a) of the 1940 Act, during the years ended September 30, 2019 and 2018 from ordinary income (including short-term gains, if any), totaled $44.2 million and $42.8 million, or $1.14 and $1.14 per share, respectively, based on the weighted average shares outstanding for the respective periods. Additionally, for the year ended September 30, 2019 and 2018, we had long-term capital gain distributions of zero and $0.8 million, or zero and $0.02 per share, respectively, based on the weighted average shares outstanding.</w:t>
      </w:r>
    </w:p>
    <w:p>
      <w:pPr>
        <w:spacing w:after="0" w:line="157"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320" w:top="297" w:right="41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PORTFOLIO COMPANIES</w:t>
      </w:r>
    </w:p>
    <w:p>
      <w:pPr>
        <w:spacing w:after="0" w:line="229"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as of September 30, 2019.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in our most recent Annual Report on Form 10-K.</w:t>
      </w:r>
    </w:p>
    <w:p>
      <w:pPr>
        <w:spacing w:after="0" w:line="188" w:lineRule="exact"/>
        <w:rPr>
          <w:sz w:val="20"/>
          <w:szCs w:val="20"/>
          <w:color w:val="auto"/>
        </w:rPr>
      </w:pPr>
    </w:p>
    <w:p>
      <w:pPr>
        <w:ind w:right="100" w:firstLine="449"/>
        <w:spacing w:after="0" w:line="290"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Certain assets are pledged as collateral under our Credit Facility or secure the 2031 Asset-Backed Debt as disclosed in our Consolidated Schedule of Investments. Unless otherwise noted, we held no voting board membership on any of our portfolio companies.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Type of Investment,</w:t>
            </w: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90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Nature of Business</w:t>
            </w:r>
          </w:p>
        </w:tc>
        <w:tc>
          <w:tcPr>
            <w:tcW w:w="3360" w:type="dxa"/>
            <w:vAlign w:val="bottom"/>
            <w:gridSpan w:val="2"/>
            <w:vMerge w:val="continue"/>
          </w:tcPr>
          <w:p>
            <w:pPr>
              <w:spacing w:after="0"/>
              <w:rPr>
                <w:sz w:val="12"/>
                <w:szCs w:val="12"/>
                <w:color w:val="auto"/>
              </w:rPr>
            </w:pPr>
          </w:p>
        </w:tc>
        <w:tc>
          <w:tcPr>
            <w:tcW w:w="12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0"/>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02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3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Interest</w:t>
            </w:r>
            <w:r>
              <w:rPr>
                <w:rFonts w:ascii="Arial" w:cs="Arial" w:eastAsia="Arial" w:hAnsi="Arial"/>
                <w:sz w:val="8"/>
                <w:szCs w:val="8"/>
                <w:b w:val="1"/>
                <w:bCs w:val="1"/>
                <w:color w:val="auto"/>
                <w:w w:val="99"/>
              </w:rPr>
              <w:t>(1)</w:t>
            </w:r>
            <w:r>
              <w:rPr>
                <w:rFonts w:ascii="Arial" w:cs="Arial" w:eastAsia="Arial" w:hAnsi="Arial"/>
                <w:sz w:val="14"/>
                <w:szCs w:val="14"/>
                <w:b w:val="1"/>
                <w:bCs w:val="1"/>
                <w:color w:val="auto"/>
                <w:w w:val="99"/>
              </w:rPr>
              <w:t>, Maturity</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8"/>
                <w:szCs w:val="8"/>
                <w:b w:val="1"/>
                <w:bCs w:val="1"/>
                <w:color w:val="auto"/>
                <w:w w:val="94"/>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22"/>
        </w:trPr>
        <w:tc>
          <w:tcPr>
            <w:tcW w:w="39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Less than 5% Owned</w:t>
            </w:r>
          </w:p>
        </w:tc>
        <w:tc>
          <w:tcPr>
            <w:tcW w:w="15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0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900" w:type="dxa"/>
            <w:vAlign w:val="bottom"/>
            <w:gridSpan w:val="2"/>
          </w:tcPr>
          <w:p>
            <w:pPr>
              <w:spacing w:after="0" w:line="130" w:lineRule="exact"/>
              <w:rPr>
                <w:sz w:val="20"/>
                <w:szCs w:val="20"/>
                <w:color w:val="auto"/>
              </w:rPr>
            </w:pPr>
            <w:r>
              <w:rPr>
                <w:rFonts w:ascii="Arial" w:cs="Arial" w:eastAsia="Arial" w:hAnsi="Arial"/>
                <w:sz w:val="14"/>
                <w:szCs w:val="14"/>
                <w:color w:val="auto"/>
              </w:rPr>
              <w:t>18 Fremont Street Acquisition, LLC</w:t>
            </w:r>
          </w:p>
        </w:tc>
        <w:tc>
          <w:tcPr>
            <w:tcW w:w="184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90"/>
              </w:rPr>
              <w:t>Hotels, Restaurants and</w:t>
            </w:r>
          </w:p>
        </w:tc>
        <w:tc>
          <w:tcPr>
            <w:tcW w:w="336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 1M L+800, 08/11/2025</w:t>
            </w:r>
          </w:p>
        </w:tc>
        <w:tc>
          <w:tcPr>
            <w:tcW w:w="122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49"/>
        </w:trPr>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1 Fremont Street</w:t>
            </w:r>
          </w:p>
        </w:tc>
        <w:tc>
          <w:tcPr>
            <w:tcW w:w="1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Leisure</w:t>
            </w:r>
          </w:p>
        </w:tc>
        <w:tc>
          <w:tcPr>
            <w:tcW w:w="3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00" w:type="dxa"/>
            <w:vAlign w:val="bottom"/>
            <w:gridSpan w:val="2"/>
          </w:tcPr>
          <w:p>
            <w:pPr>
              <w:spacing w:after="0"/>
              <w:rPr>
                <w:sz w:val="20"/>
                <w:szCs w:val="20"/>
                <w:color w:val="auto"/>
              </w:rPr>
            </w:pPr>
            <w:r>
              <w:rPr>
                <w:rFonts w:ascii="Arial" w:cs="Arial" w:eastAsia="Arial" w:hAnsi="Arial"/>
                <w:sz w:val="14"/>
                <w:szCs w:val="14"/>
                <w:color w:val="auto"/>
              </w:rPr>
              <w:t>Las Vegas, NV 89101</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Affinion Group Holdings, Inc.</w:t>
            </w:r>
          </w:p>
        </w:tc>
        <w:tc>
          <w:tcPr>
            <w:tcW w:w="18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2"/>
              </w:rPr>
              <w:t>Consumer Goods: Durable</w:t>
            </w:r>
          </w:p>
        </w:tc>
        <w:tc>
          <w:tcPr>
            <w:tcW w:w="33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1"/>
              </w:rPr>
              <w:t>Warrants</w:t>
            </w:r>
          </w:p>
        </w:tc>
        <w:tc>
          <w:tcPr>
            <w:tcW w:w="122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Connecticut Avenue</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Norwalk, CT 06850</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00" w:type="dxa"/>
            <w:vAlign w:val="bottom"/>
            <w:gridSpan w:val="2"/>
          </w:tcPr>
          <w:p>
            <w:pPr>
              <w:spacing w:after="0"/>
              <w:rPr>
                <w:sz w:val="20"/>
                <w:szCs w:val="20"/>
                <w:color w:val="auto"/>
              </w:rPr>
            </w:pPr>
            <w:r>
              <w:rPr>
                <w:rFonts w:ascii="Arial" w:cs="Arial" w:eastAsia="Arial" w:hAnsi="Arial"/>
                <w:sz w:val="14"/>
                <w:szCs w:val="14"/>
                <w:color w:val="auto"/>
              </w:rPr>
              <w:t>AG Investco LP</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Software</w:t>
            </w:r>
          </w:p>
        </w:tc>
        <w:tc>
          <w:tcPr>
            <w:tcW w:w="336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Common Equity</w:t>
            </w:r>
            <w:r>
              <w:rPr>
                <w:rFonts w:ascii="Arial" w:cs="Arial" w:eastAsia="Arial" w:hAnsi="Arial"/>
                <w:sz w:val="8"/>
                <w:szCs w:val="8"/>
                <w:color w:val="auto"/>
                <w:w w:val="97"/>
              </w:rPr>
              <w:t>(4)(5)</w:t>
            </w:r>
          </w:p>
        </w:tc>
        <w:tc>
          <w:tcPr>
            <w:tcW w:w="1220" w:type="dxa"/>
            <w:vAlign w:val="bottom"/>
            <w:gridSpan w:val="2"/>
          </w:tcPr>
          <w:p>
            <w:pPr>
              <w:ind w:left="62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251 Little Falls Drive</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00" w:type="dxa"/>
            <w:vAlign w:val="bottom"/>
            <w:gridSpan w:val="2"/>
          </w:tcPr>
          <w:p>
            <w:pPr>
              <w:spacing w:after="0"/>
              <w:rPr>
                <w:sz w:val="20"/>
                <w:szCs w:val="20"/>
                <w:color w:val="auto"/>
              </w:rPr>
            </w:pPr>
            <w:r>
              <w:rPr>
                <w:rFonts w:ascii="Arial" w:cs="Arial" w:eastAsia="Arial" w:hAnsi="Arial"/>
                <w:sz w:val="14"/>
                <w:szCs w:val="14"/>
                <w:color w:val="auto"/>
              </w:rPr>
              <w:t>Herndon, VA 19808</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Altamira Technologies, LLC</w:t>
            </w:r>
          </w:p>
        </w:tc>
        <w:tc>
          <w:tcPr>
            <w:tcW w:w="18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IT Services</w:t>
            </w:r>
          </w:p>
        </w:tc>
        <w:tc>
          <w:tcPr>
            <w:tcW w:w="33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5"/>
              </w:rPr>
              <w:t>First Lien Secured Debt</w:t>
            </w:r>
            <w:r>
              <w:rPr>
                <w:rFonts w:ascii="Arial" w:cs="Arial" w:eastAsia="Arial" w:hAnsi="Arial"/>
                <w:sz w:val="8"/>
                <w:szCs w:val="8"/>
                <w:color w:val="auto"/>
                <w:w w:val="95"/>
              </w:rPr>
              <w:t>(4)</w:t>
            </w:r>
            <w:r>
              <w:rPr>
                <w:rFonts w:ascii="Arial" w:cs="Arial" w:eastAsia="Arial" w:hAnsi="Arial"/>
                <w:sz w:val="14"/>
                <w:szCs w:val="14"/>
                <w:color w:val="auto"/>
                <w:w w:val="95"/>
              </w:rPr>
              <w:t>, 3M L+600, 07/24/2025</w:t>
            </w:r>
          </w:p>
        </w:tc>
        <w:tc>
          <w:tcPr>
            <w:tcW w:w="122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7,938</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(Altamira Intermediate Company II, Inc.)</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3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8201 Greensboro Drive, Suite 800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McLean, VA 22102</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00" w:type="dxa"/>
            <w:vAlign w:val="bottom"/>
            <w:gridSpan w:val="2"/>
          </w:tcPr>
          <w:p>
            <w:pPr>
              <w:spacing w:after="0"/>
              <w:rPr>
                <w:sz w:val="20"/>
                <w:szCs w:val="20"/>
                <w:color w:val="auto"/>
              </w:rPr>
            </w:pPr>
            <w:r>
              <w:rPr>
                <w:rFonts w:ascii="Arial" w:cs="Arial" w:eastAsia="Arial" w:hAnsi="Arial"/>
                <w:sz w:val="14"/>
                <w:szCs w:val="14"/>
                <w:color w:val="auto"/>
              </w:rPr>
              <w:t>American Auto Auction Group, LLC</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Transportation: Consumer</w:t>
            </w:r>
          </w:p>
        </w:tc>
        <w:tc>
          <w:tcPr>
            <w:tcW w:w="33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 3M L+475, 01/02/2024</w:t>
            </w:r>
          </w:p>
        </w:tc>
        <w:tc>
          <w:tcPr>
            <w:tcW w:w="12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5,740</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10333 N. Meridian, Suite 200</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00" w:type="dxa"/>
            <w:vAlign w:val="bottom"/>
            <w:gridSpan w:val="2"/>
          </w:tcPr>
          <w:p>
            <w:pPr>
              <w:spacing w:after="0"/>
              <w:rPr>
                <w:sz w:val="20"/>
                <w:szCs w:val="20"/>
                <w:color w:val="auto"/>
              </w:rPr>
            </w:pPr>
            <w:r>
              <w:rPr>
                <w:rFonts w:ascii="Arial" w:cs="Arial" w:eastAsia="Arial" w:hAnsi="Arial"/>
                <w:sz w:val="14"/>
                <w:szCs w:val="14"/>
                <w:color w:val="auto"/>
              </w:rPr>
              <w:t>Indianapolis, IN 46290</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Insulated Glass, LLC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5"/>
              </w:rPr>
              <w:t>Building Products</w:t>
            </w:r>
          </w:p>
        </w:tc>
        <w:tc>
          <w:tcPr>
            <w:tcW w:w="33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5"/>
              </w:rPr>
              <w:t>First Lien Secured Debt</w:t>
            </w:r>
            <w:r>
              <w:rPr>
                <w:rFonts w:ascii="Arial" w:cs="Arial" w:eastAsia="Arial" w:hAnsi="Arial"/>
                <w:sz w:val="8"/>
                <w:szCs w:val="8"/>
                <w:color w:val="auto"/>
                <w:w w:val="95"/>
              </w:rPr>
              <w:t>(4)</w:t>
            </w:r>
            <w:r>
              <w:rPr>
                <w:rFonts w:ascii="Arial" w:cs="Arial" w:eastAsia="Arial" w:hAnsi="Arial"/>
                <w:sz w:val="14"/>
                <w:szCs w:val="14"/>
                <w:color w:val="auto"/>
                <w:w w:val="95"/>
              </w:rPr>
              <w:t>, 3M L+550, 12/21/2023</w:t>
            </w:r>
          </w:p>
        </w:tc>
        <w:tc>
          <w:tcPr>
            <w:tcW w:w="122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15,023</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 Dawgs Capital III, LP)</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3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8"/>
                <w:szCs w:val="8"/>
                <w:color w:val="auto"/>
                <w:w w:val="96"/>
              </w:rPr>
              <w:t>(5)</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3965 E. Conley Road</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Conley, GA 30288</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00" w:type="dxa"/>
            <w:vAlign w:val="bottom"/>
            <w:gridSpan w:val="2"/>
          </w:tcPr>
          <w:p>
            <w:pPr>
              <w:spacing w:after="0"/>
              <w:rPr>
                <w:sz w:val="20"/>
                <w:szCs w:val="20"/>
                <w:color w:val="auto"/>
              </w:rPr>
            </w:pPr>
            <w:r>
              <w:rPr>
                <w:rFonts w:ascii="Arial" w:cs="Arial" w:eastAsia="Arial" w:hAnsi="Arial"/>
                <w:sz w:val="14"/>
                <w:szCs w:val="14"/>
                <w:color w:val="auto"/>
              </w:rPr>
              <w:t>American Teleconferencing Services, Ltd.</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Telecommunications</w:t>
            </w:r>
          </w:p>
        </w:tc>
        <w:tc>
          <w:tcPr>
            <w:tcW w:w="33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 3M L+650, 12/08/2021</w:t>
            </w:r>
          </w:p>
        </w:tc>
        <w:tc>
          <w:tcPr>
            <w:tcW w:w="12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6,771</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3280 Peachtree Road, NE</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00" w:type="dxa"/>
            <w:vAlign w:val="bottom"/>
            <w:gridSpan w:val="2"/>
          </w:tcPr>
          <w:p>
            <w:pPr>
              <w:spacing w:after="0"/>
              <w:rPr>
                <w:sz w:val="20"/>
                <w:szCs w:val="20"/>
                <w:color w:val="auto"/>
              </w:rPr>
            </w:pPr>
            <w:r>
              <w:rPr>
                <w:rFonts w:ascii="Arial" w:cs="Arial" w:eastAsia="Arial" w:hAnsi="Arial"/>
                <w:sz w:val="14"/>
                <w:szCs w:val="14"/>
                <w:color w:val="auto"/>
              </w:rPr>
              <w:t>Atlanta, GA 30305</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API Technologies Corp.</w:t>
            </w:r>
          </w:p>
        </w:tc>
        <w:tc>
          <w:tcPr>
            <w:tcW w:w="18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5"/>
              </w:rPr>
              <w:t>Electronic Equipment,</w:t>
            </w:r>
          </w:p>
        </w:tc>
        <w:tc>
          <w:tcPr>
            <w:tcW w:w="33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 1M L+425, 05/11/2026</w:t>
            </w:r>
          </w:p>
        </w:tc>
        <w:tc>
          <w:tcPr>
            <w:tcW w:w="122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5,783</w:t>
            </w:r>
          </w:p>
        </w:tc>
        <w:tc>
          <w:tcPr>
            <w:tcW w:w="0" w:type="dxa"/>
            <w:vAlign w:val="bottom"/>
          </w:tcPr>
          <w:p>
            <w:pPr>
              <w:spacing w:after="0"/>
              <w:rPr>
                <w:sz w:val="1"/>
                <w:szCs w:val="1"/>
                <w:color w:val="auto"/>
              </w:rPr>
            </w:pPr>
          </w:p>
        </w:tc>
      </w:tr>
      <w:tr>
        <w:trPr>
          <w:trHeight w:val="149"/>
        </w:trPr>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4705 S. Apopka Vineland Rd., Suite 210</w:t>
            </w:r>
          </w:p>
        </w:tc>
        <w:tc>
          <w:tcPr>
            <w:tcW w:w="18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2"/>
              </w:rPr>
              <w:t>Instruments, and</w:t>
            </w:r>
          </w:p>
        </w:tc>
        <w:tc>
          <w:tcPr>
            <w:tcW w:w="3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Orlando, FL 32819</w:t>
            </w:r>
          </w:p>
        </w:tc>
        <w:tc>
          <w:tcPr>
            <w:tcW w:w="18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0"/>
              </w:rPr>
              <w:t>Components</w:t>
            </w:r>
          </w:p>
        </w:tc>
        <w:tc>
          <w:tcPr>
            <w:tcW w:w="3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29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Type of Investment,</w:t>
            </w: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200" w:type="dxa"/>
            <w:vAlign w:val="bottom"/>
            <w:gridSpan w:val="2"/>
            <w:vMerge w:val="continue"/>
          </w:tcPr>
          <w:p>
            <w:pPr>
              <w:spacing w:after="0"/>
              <w:rPr>
                <w:sz w:val="12"/>
                <w:szCs w:val="12"/>
                <w:color w:val="auto"/>
              </w:rPr>
            </w:pPr>
          </w:p>
        </w:tc>
        <w:tc>
          <w:tcPr>
            <w:tcW w:w="1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Nature of Business</w:t>
            </w:r>
          </w:p>
        </w:tc>
        <w:tc>
          <w:tcPr>
            <w:tcW w:w="3040" w:type="dxa"/>
            <w:vAlign w:val="bottom"/>
            <w:gridSpan w:val="2"/>
            <w:vMerge w:val="continue"/>
          </w:tcPr>
          <w:p>
            <w:pPr>
              <w:spacing w:after="0"/>
              <w:rPr>
                <w:sz w:val="12"/>
                <w:szCs w:val="12"/>
                <w:color w:val="auto"/>
              </w:rPr>
            </w:pPr>
          </w:p>
        </w:tc>
        <w:tc>
          <w:tcPr>
            <w:tcW w:w="12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0"/>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3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3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8"/>
                <w:szCs w:val="8"/>
                <w:b w:val="1"/>
                <w:bCs w:val="1"/>
                <w:color w:val="auto"/>
                <w:w w:val="97"/>
              </w:rPr>
              <w:t>(1)</w:t>
            </w:r>
            <w:r>
              <w:rPr>
                <w:rFonts w:ascii="Arial" w:cs="Arial" w:eastAsia="Arial" w:hAnsi="Arial"/>
                <w:sz w:val="14"/>
                <w:szCs w:val="14"/>
                <w:b w:val="1"/>
                <w:bCs w:val="1"/>
                <w:color w:val="auto"/>
                <w:w w:val="97"/>
              </w:rPr>
              <w:t>, Maturity</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8"/>
                <w:szCs w:val="8"/>
                <w:b w:val="1"/>
                <w:bCs w:val="1"/>
                <w:color w:val="auto"/>
                <w:w w:val="94"/>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8"/>
        </w:trPr>
        <w:tc>
          <w:tcPr>
            <w:tcW w:w="420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BEI Precision Systems &amp; Space Company, Inc.</w:t>
            </w:r>
          </w:p>
        </w:tc>
        <w:tc>
          <w:tcPr>
            <w:tcW w:w="15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Aerospace and Defense</w:t>
            </w:r>
          </w:p>
        </w:tc>
        <w:tc>
          <w:tcPr>
            <w:tcW w:w="280" w:type="dxa"/>
            <w:vAlign w:val="bottom"/>
            <w:tcBorders>
              <w:top w:val="single" w:sz="8" w:color="CCEEFF"/>
            </w:tcBorders>
            <w:shd w:val="clear" w:color="auto" w:fill="CCEEFF"/>
          </w:tcPr>
          <w:p>
            <w:pPr>
              <w:spacing w:after="0"/>
              <w:rPr>
                <w:sz w:val="9"/>
                <w:szCs w:val="9"/>
                <w:color w:val="auto"/>
              </w:rPr>
            </w:pPr>
          </w:p>
        </w:tc>
        <w:tc>
          <w:tcPr>
            <w:tcW w:w="27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8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ind w:left="580"/>
              <w:spacing w:after="0" w:line="109"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w:t>
            </w:r>
          </w:p>
        </w:tc>
        <w:tc>
          <w:tcPr>
            <w:tcW w:w="7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11,613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1100 Murphy Drive</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3M L+550, 04/28/2023</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Maumelle, AR 72113</w:t>
            </w: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Arial" w:cs="Arial" w:eastAsia="Arial" w:hAnsi="Arial"/>
                <w:sz w:val="14"/>
                <w:szCs w:val="14"/>
                <w:color w:val="auto"/>
              </w:rPr>
              <w:t>By Light Professional IT Services, LLC</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High Tech Industries</w:t>
            </w:r>
          </w:p>
        </w:tc>
        <w:tc>
          <w:tcPr>
            <w:tcW w:w="30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20" w:type="dxa"/>
            <w:vAlign w:val="bottom"/>
            <w:gridSpan w:val="2"/>
          </w:tcPr>
          <w:p>
            <w:pPr>
              <w:ind w:left="62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22,316</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(By Light Investco LP)</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3M L+625, 05/16/2022</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3101 Wilson Boulevard, Suite 850</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7"/>
              </w:rPr>
              <w:t>Common Equity</w:t>
            </w:r>
            <w:r>
              <w:rPr>
                <w:rFonts w:ascii="Arial" w:cs="Arial" w:eastAsia="Arial" w:hAnsi="Arial"/>
                <w:sz w:val="8"/>
                <w:szCs w:val="8"/>
                <w:color w:val="auto"/>
                <w:w w:val="97"/>
              </w:rPr>
              <w:t>(4)(5)</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Arlington, VA 22201</w:t>
            </w: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Cadence Aerospace, LLC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Aerospace and Defense</w:t>
            </w:r>
          </w:p>
        </w:tc>
        <w:tc>
          <w:tcPr>
            <w:tcW w:w="30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p>
        </w:tc>
        <w:tc>
          <w:tcPr>
            <w:tcW w:w="122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2,855</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610 Newport Center Drive, Suite 950</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3M L+650, 11/14/2023</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Newport Beach, CA 92660</w:t>
            </w: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Arial" w:cs="Arial" w:eastAsia="Arial" w:hAnsi="Arial"/>
                <w:sz w:val="14"/>
                <w:szCs w:val="14"/>
                <w:color w:val="auto"/>
              </w:rPr>
              <w:t>Cano Health, LLC</w:t>
            </w: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Healthcare and</w:t>
            </w:r>
          </w:p>
        </w:tc>
        <w:tc>
          <w:tcPr>
            <w:tcW w:w="30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p>
        </w:tc>
        <w:tc>
          <w:tcPr>
            <w:tcW w:w="1220" w:type="dxa"/>
            <w:vAlign w:val="bottom"/>
            <w:gridSpan w:val="2"/>
          </w:tcPr>
          <w:p>
            <w:pPr>
              <w:ind w:left="620"/>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23,913</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(ITC Rumba, LLC)</w:t>
            </w: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3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1M L+650, 12/23/2021</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680 N. University Drive</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Pembroke Pines, FL 33024</w:t>
            </w: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Cardenas Markets LLC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Beverage, Food and</w:t>
            </w:r>
          </w:p>
        </w:tc>
        <w:tc>
          <w:tcPr>
            <w:tcW w:w="30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p>
        </w:tc>
        <w:tc>
          <w:tcPr>
            <w:tcW w:w="122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3,720</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2501 East Guasti Road</w:t>
            </w:r>
          </w:p>
        </w:tc>
        <w:tc>
          <w:tcPr>
            <w:tcW w:w="18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30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1M L+575, 11/29/2023</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Ontario, CA 91761</w:t>
            </w: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Arial" w:cs="Arial" w:eastAsia="Arial" w:hAnsi="Arial"/>
                <w:sz w:val="14"/>
                <w:szCs w:val="14"/>
                <w:color w:val="auto"/>
              </w:rPr>
              <w:t>CHA Holdings, Inc.</w:t>
            </w: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Environmental Industries</w:t>
            </w:r>
          </w:p>
        </w:tc>
        <w:tc>
          <w:tcPr>
            <w:tcW w:w="30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7,329</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575 Broadway, Suite 301</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3M L+450, 04/10/2025</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Albany, NY 12207</w:t>
            </w: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Challenger Performance Optimization, Inc.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Business Services</w:t>
            </w:r>
          </w:p>
        </w:tc>
        <w:tc>
          <w:tcPr>
            <w:tcW w:w="30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Wilson Blvd.</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1M L+575, 08/31/2023</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VA 22209</w:t>
            </w: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Arial" w:cs="Arial" w:eastAsia="Arial" w:hAnsi="Arial"/>
                <w:sz w:val="14"/>
                <w:szCs w:val="14"/>
                <w:color w:val="auto"/>
              </w:rPr>
              <w:t>CI (Summit) Investment Holdings, LLC</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Construction and Building</w:t>
            </w:r>
          </w:p>
        </w:tc>
        <w:tc>
          <w:tcPr>
            <w:tcW w:w="304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1220" w:type="dxa"/>
            <w:vAlign w:val="bottom"/>
            <w:gridSpan w:val="2"/>
          </w:tcPr>
          <w:p>
            <w:pPr>
              <w:ind w:left="620"/>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575 Minnehaha Ave. W.</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St. Paul, MN 55103</w:t>
            </w: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Condor Borrower, LLC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3"/>
              </w:rPr>
              <w:t>High Tech Industries</w:t>
            </w:r>
          </w:p>
        </w:tc>
        <w:tc>
          <w:tcPr>
            <w:tcW w:w="30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1"/>
              </w:rPr>
              <w:t>Second Lien Secured Debt,</w:t>
            </w:r>
          </w:p>
        </w:tc>
        <w:tc>
          <w:tcPr>
            <w:tcW w:w="122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1,737</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Holdings Limited</w:t>
            </w:r>
            <w:r>
              <w:rPr>
                <w:rFonts w:ascii="Arial" w:cs="Arial" w:eastAsia="Arial" w:hAnsi="Arial"/>
                <w:sz w:val="8"/>
                <w:szCs w:val="8"/>
                <w:color w:val="auto"/>
              </w:rPr>
              <w:t>(3)</w:t>
            </w:r>
            <w:r>
              <w:rPr>
                <w:rFonts w:ascii="Arial" w:cs="Arial" w:eastAsia="Arial" w:hAnsi="Arial"/>
                <w:sz w:val="14"/>
                <w:szCs w:val="14"/>
                <w:color w:val="auto"/>
              </w:rPr>
              <w:t>)</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3M L+875, 04/25/2025</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Top Holdco Limited</w:t>
            </w:r>
            <w:r>
              <w:rPr>
                <w:rFonts w:ascii="Arial" w:cs="Arial" w:eastAsia="Arial" w:hAnsi="Arial"/>
                <w:sz w:val="8"/>
                <w:szCs w:val="8"/>
                <w:color w:val="auto"/>
              </w:rPr>
              <w:t>(3)</w:t>
            </w:r>
            <w:r>
              <w:rPr>
                <w:rFonts w:ascii="Arial" w:cs="Arial" w:eastAsia="Arial" w:hAnsi="Arial"/>
                <w:sz w:val="14"/>
                <w:szCs w:val="14"/>
                <w:color w:val="auto"/>
              </w:rPr>
              <w:t>)</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 Becker Farm Road</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Roseland, NJ 07068</w:t>
            </w: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Arial" w:cs="Arial" w:eastAsia="Arial" w:hAnsi="Arial"/>
                <w:sz w:val="14"/>
                <w:szCs w:val="14"/>
                <w:color w:val="auto"/>
              </w:rPr>
              <w:t>Confluent Health, LLC</w:t>
            </w: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Health Providers and</w:t>
            </w:r>
          </w:p>
        </w:tc>
        <w:tc>
          <w:tcPr>
            <w:tcW w:w="30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p>
        </w:tc>
        <w:tc>
          <w:tcPr>
            <w:tcW w:w="12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3,940</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75 S English Station Road</w:t>
            </w: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Services</w:t>
            </w:r>
          </w:p>
        </w:tc>
        <w:tc>
          <w:tcPr>
            <w:tcW w:w="3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1M L+500, 06/24/2026</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Louisville, KY 40245</w:t>
            </w: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DBI Holding, LLC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Business Services</w:t>
            </w:r>
          </w:p>
        </w:tc>
        <w:tc>
          <w:tcPr>
            <w:tcW w:w="30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Second Lien Secured Debt, 8.0% fixed PIK,</w:t>
            </w:r>
          </w:p>
        </w:tc>
        <w:tc>
          <w:tcPr>
            <w:tcW w:w="122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17,153</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North Conahan Drive</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02/01/2026</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Hazleton, PA 18201</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3"/>
              </w:rPr>
              <w:t>Preferred Equity</w:t>
            </w:r>
            <w:r>
              <w:rPr>
                <w:rFonts w:ascii="Arial" w:cs="Arial" w:eastAsia="Arial" w:hAnsi="Arial"/>
                <w:sz w:val="8"/>
                <w:szCs w:val="8"/>
                <w:color w:val="auto"/>
                <w:w w:val="93"/>
              </w:rPr>
              <w:t>(5)</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5"/>
              </w:rPr>
              <w:t>Common Equity</w:t>
            </w:r>
            <w:r>
              <w:rPr>
                <w:rFonts w:ascii="Arial" w:cs="Arial" w:eastAsia="Arial" w:hAnsi="Arial"/>
                <w:sz w:val="8"/>
                <w:szCs w:val="8"/>
                <w:color w:val="auto"/>
                <w:w w:val="95"/>
              </w:rPr>
              <w:t>(5)</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Arial" w:cs="Arial" w:eastAsia="Arial" w:hAnsi="Arial"/>
                <w:sz w:val="14"/>
                <w:szCs w:val="14"/>
                <w:color w:val="auto"/>
              </w:rPr>
              <w:t>DecoPac, Inc.</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Beverage, Food and</w:t>
            </w:r>
          </w:p>
        </w:tc>
        <w:tc>
          <w:tcPr>
            <w:tcW w:w="30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Second Lien Secured Debt,</w:t>
            </w:r>
          </w:p>
        </w:tc>
        <w:tc>
          <w:tcPr>
            <w:tcW w:w="1220" w:type="dxa"/>
            <w:vAlign w:val="bottom"/>
            <w:gridSpan w:val="2"/>
          </w:tcPr>
          <w:p>
            <w:pPr>
              <w:ind w:left="62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12,888</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(DecoPac Holdings Inc.)</w:t>
            </w: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3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3M L+825, 03/31/2025</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3500 Thurston Avenue</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Anoka, MN 55303</w:t>
            </w: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Deva Holdings, Inc.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Consumer Goods:</w:t>
            </w:r>
          </w:p>
        </w:tc>
        <w:tc>
          <w:tcPr>
            <w:tcW w:w="30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 Spring Street, Floor 8</w:t>
            </w:r>
          </w:p>
        </w:tc>
        <w:tc>
          <w:tcPr>
            <w:tcW w:w="18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Non-Durable</w:t>
            </w:r>
          </w:p>
        </w:tc>
        <w:tc>
          <w:tcPr>
            <w:tcW w:w="30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3M L+550, 10/31/2023</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Arial" w:cs="Arial" w:eastAsia="Arial" w:hAnsi="Arial"/>
                <w:sz w:val="14"/>
                <w:szCs w:val="14"/>
                <w:color w:val="auto"/>
              </w:rPr>
              <w:t>Digital Room Holdings, Inc.</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Media: Advertising,</w:t>
            </w:r>
          </w:p>
        </w:tc>
        <w:tc>
          <w:tcPr>
            <w:tcW w:w="30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p>
        </w:tc>
        <w:tc>
          <w:tcPr>
            <w:tcW w:w="12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9,495</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8000 Haskell Ave.</w:t>
            </w: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Printing and Publishing</w:t>
            </w:r>
          </w:p>
        </w:tc>
        <w:tc>
          <w:tcPr>
            <w:tcW w:w="3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1M L+500, 05/22/2026</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Van Nuys, CA 91406</w:t>
            </w: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280"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Type of Investment,</w:t>
            </w: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200" w:type="dxa"/>
            <w:vAlign w:val="bottom"/>
            <w:gridSpan w:val="2"/>
            <w:vMerge w:val="continue"/>
          </w:tcPr>
          <w:p>
            <w:pPr>
              <w:spacing w:after="0"/>
              <w:rPr>
                <w:sz w:val="12"/>
                <w:szCs w:val="12"/>
                <w:color w:val="auto"/>
              </w:rPr>
            </w:pPr>
          </w:p>
        </w:tc>
        <w:tc>
          <w:tcPr>
            <w:tcW w:w="1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Nature of Business</w:t>
            </w:r>
          </w:p>
        </w:tc>
        <w:tc>
          <w:tcPr>
            <w:tcW w:w="3040" w:type="dxa"/>
            <w:vAlign w:val="bottom"/>
            <w:gridSpan w:val="2"/>
            <w:vMerge w:val="continue"/>
          </w:tcPr>
          <w:p>
            <w:pPr>
              <w:spacing w:after="0"/>
              <w:rPr>
                <w:sz w:val="12"/>
                <w:szCs w:val="12"/>
                <w:color w:val="auto"/>
              </w:rPr>
            </w:pPr>
          </w:p>
        </w:tc>
        <w:tc>
          <w:tcPr>
            <w:tcW w:w="12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0"/>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3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3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Interest</w:t>
            </w:r>
            <w:r>
              <w:rPr>
                <w:rFonts w:ascii="Arial" w:cs="Arial" w:eastAsia="Arial" w:hAnsi="Arial"/>
                <w:sz w:val="8"/>
                <w:szCs w:val="8"/>
                <w:b w:val="1"/>
                <w:bCs w:val="1"/>
                <w:color w:val="auto"/>
                <w:w w:val="99"/>
              </w:rPr>
              <w:t>(1)</w:t>
            </w:r>
            <w:r>
              <w:rPr>
                <w:rFonts w:ascii="Arial" w:cs="Arial" w:eastAsia="Arial" w:hAnsi="Arial"/>
                <w:sz w:val="14"/>
                <w:szCs w:val="14"/>
                <w:b w:val="1"/>
                <w:bCs w:val="1"/>
                <w:color w:val="auto"/>
                <w:w w:val="99"/>
              </w:rPr>
              <w:t>, Maturity</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8"/>
                <w:szCs w:val="8"/>
                <w:b w:val="1"/>
                <w:bCs w:val="1"/>
                <w:color w:val="auto"/>
                <w:w w:val="94"/>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8"/>
        </w:trPr>
        <w:tc>
          <w:tcPr>
            <w:tcW w:w="420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Douglas Products and Packaging Company LLC</w:t>
            </w:r>
          </w:p>
        </w:tc>
        <w:tc>
          <w:tcPr>
            <w:tcW w:w="16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Chemicals, Plastics and</w:t>
            </w:r>
          </w:p>
        </w:tc>
        <w:tc>
          <w:tcPr>
            <w:tcW w:w="260" w:type="dxa"/>
            <w:vAlign w:val="bottom"/>
            <w:tcBorders>
              <w:top w:val="single" w:sz="8" w:color="CCEEFF"/>
            </w:tcBorders>
            <w:shd w:val="clear" w:color="auto" w:fill="CCEEFF"/>
          </w:tcPr>
          <w:p>
            <w:pPr>
              <w:spacing w:after="0"/>
              <w:rPr>
                <w:sz w:val="9"/>
                <w:szCs w:val="9"/>
                <w:color w:val="auto"/>
              </w:rPr>
            </w:pPr>
          </w:p>
        </w:tc>
        <w:tc>
          <w:tcPr>
            <w:tcW w:w="27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7"/>
                <w:szCs w:val="7"/>
                <w:color w:val="auto"/>
              </w:rPr>
              <w:t>(4)</w:t>
            </w: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ind w:left="580"/>
              <w:spacing w:after="0" w:line="109"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w:t>
            </w:r>
          </w:p>
        </w:tc>
        <w:tc>
          <w:tcPr>
            <w:tcW w:w="7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26,403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(Douglas Sewer Intermediate, LLC)</w:t>
            </w:r>
          </w:p>
        </w:tc>
        <w:tc>
          <w:tcPr>
            <w:tcW w:w="186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1"/>
              </w:rPr>
              <w:t>Rubber</w:t>
            </w: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L+575, 10/19/2022</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2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(Plant Health Intermediate, Inc.)</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1550 East Old 210 Highway</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Liberty, MO 64068</w:t>
            </w:r>
          </w:p>
        </w:tc>
        <w:tc>
          <w:tcPr>
            <w:tcW w:w="1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Arial" w:cs="Arial" w:eastAsia="Arial" w:hAnsi="Arial"/>
                <w:sz w:val="14"/>
                <w:szCs w:val="14"/>
                <w:color w:val="auto"/>
              </w:rPr>
              <w:t>East Valley Tourist Development Authority</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Hotel, Gaming and Leisure</w:t>
            </w:r>
          </w:p>
        </w:tc>
        <w:tc>
          <w:tcPr>
            <w:tcW w:w="30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18,406</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84245 Indio Springs Dr.</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L+800, 03/07/2022</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Indio, CA 92203</w:t>
            </w: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eCommission Holding Corporation</w:t>
            </w:r>
            <w:r>
              <w:rPr>
                <w:rFonts w:ascii="Arial" w:cs="Arial" w:eastAsia="Arial" w:hAnsi="Arial"/>
                <w:sz w:val="8"/>
                <w:szCs w:val="8"/>
                <w:color w:val="auto"/>
              </w:rPr>
              <w:t>(3)</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2"/>
              </w:rPr>
              <w:t>Banking, Finance,</w:t>
            </w:r>
          </w:p>
        </w:tc>
        <w:tc>
          <w:tcPr>
            <w:tcW w:w="30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21,935</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11612 Bee Caves Road, Building II, Suite 200</w:t>
            </w:r>
          </w:p>
        </w:tc>
        <w:tc>
          <w:tcPr>
            <w:tcW w:w="18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2"/>
              </w:rPr>
              <w:t>Insurance &amp; Real Estate</w:t>
            </w: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L+500, 10/05/2023</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Austin, TX, 78738</w:t>
            </w:r>
          </w:p>
        </w:tc>
        <w:tc>
          <w:tcPr>
            <w:tcW w:w="1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Arial" w:cs="Arial" w:eastAsia="Arial" w:hAnsi="Arial"/>
                <w:sz w:val="14"/>
                <w:szCs w:val="14"/>
                <w:color w:val="auto"/>
              </w:rPr>
              <w:t>Education Networks of America, Inc.</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Telecommunications</w:t>
            </w:r>
          </w:p>
        </w:tc>
        <w:tc>
          <w:tcPr>
            <w:tcW w:w="304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First Lien Secured Debt</w:t>
            </w:r>
            <w:r>
              <w:rPr>
                <w:rFonts w:ascii="Arial" w:cs="Arial" w:eastAsia="Arial" w:hAnsi="Arial"/>
                <w:sz w:val="8"/>
                <w:szCs w:val="8"/>
                <w:color w:val="auto"/>
                <w:w w:val="96"/>
              </w:rPr>
              <w:t>(4)</w:t>
            </w:r>
            <w:r>
              <w:rPr>
                <w:rFonts w:ascii="Arial" w:cs="Arial" w:eastAsia="Arial" w:hAnsi="Arial"/>
                <w:sz w:val="14"/>
                <w:szCs w:val="14"/>
                <w:color w:val="auto"/>
                <w:w w:val="96"/>
              </w:rPr>
              <w:t>, 1M L+750 (PIK</w:t>
            </w:r>
          </w:p>
        </w:tc>
        <w:tc>
          <w:tcPr>
            <w:tcW w:w="12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12,528</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618 Grassmere Park Drive</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Arial" w:cs="Arial" w:eastAsia="Arial" w:hAnsi="Arial"/>
                <w:sz w:val="14"/>
                <w:szCs w:val="14"/>
                <w:color w:val="auto"/>
                <w:w w:val="94"/>
              </w:rPr>
              <w:t>2.5%), 05/06/2021</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Suite 12</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Nashville, TN 37211</w:t>
            </w: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Efficient Collaborative Retail Marketing Company, LLC</w:t>
            </w:r>
          </w:p>
        </w:tc>
        <w:tc>
          <w:tcPr>
            <w:tcW w:w="186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6"/>
              </w:rPr>
              <w:t>Media: Diversified and</w:t>
            </w:r>
          </w:p>
        </w:tc>
        <w:tc>
          <w:tcPr>
            <w:tcW w:w="30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7,178</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27070 Miles Road, Suite A</w:t>
            </w:r>
          </w:p>
        </w:tc>
        <w:tc>
          <w:tcPr>
            <w:tcW w:w="18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Production</w:t>
            </w: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L+675, 06/15/2022</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Solon, OH 44139</w:t>
            </w:r>
          </w:p>
        </w:tc>
        <w:tc>
          <w:tcPr>
            <w:tcW w:w="1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Arial" w:cs="Arial" w:eastAsia="Arial" w:hAnsi="Arial"/>
                <w:sz w:val="14"/>
                <w:szCs w:val="14"/>
                <w:color w:val="auto"/>
              </w:rPr>
              <w:t>FlexPrint, LLC</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Professional Services</w:t>
            </w:r>
          </w:p>
        </w:tc>
        <w:tc>
          <w:tcPr>
            <w:tcW w:w="30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4,189</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2845 N. Omaha Street</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L+620, 01/02/2024</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Mesa, AZ 85215</w:t>
            </w: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Faraday Holdings, LLC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5"/>
              </w:rPr>
              <w:t>Construction and Building</w:t>
            </w:r>
          </w:p>
        </w:tc>
        <w:tc>
          <w:tcPr>
            <w:tcW w:w="30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Common Equity</w:t>
            </w:r>
          </w:p>
        </w:tc>
        <w:tc>
          <w:tcPr>
            <w:tcW w:w="122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1630 Faraday Avenue</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Carlsbad, CA 92008</w:t>
            </w:r>
          </w:p>
        </w:tc>
        <w:tc>
          <w:tcPr>
            <w:tcW w:w="1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Arial" w:cs="Arial" w:eastAsia="Arial" w:hAnsi="Arial"/>
                <w:sz w:val="14"/>
                <w:szCs w:val="14"/>
                <w:color w:val="auto"/>
              </w:rPr>
              <w:t>GCOM Software LLC</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High Tech Industries</w:t>
            </w:r>
          </w:p>
        </w:tc>
        <w:tc>
          <w:tcPr>
            <w:tcW w:w="30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20" w:type="dxa"/>
            <w:vAlign w:val="bottom"/>
            <w:gridSpan w:val="2"/>
          </w:tcPr>
          <w:p>
            <w:pPr>
              <w:ind w:left="62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14,346</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(GCOM InvestCo LP)</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L+625, 11/14/2022</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24 Madison Avenue (Extension 4)</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7"/>
              </w:rPr>
              <w:t>Common Equity</w:t>
            </w:r>
            <w:r>
              <w:rPr>
                <w:rFonts w:ascii="Arial" w:cs="Arial" w:eastAsia="Arial" w:hAnsi="Arial"/>
                <w:sz w:val="8"/>
                <w:szCs w:val="8"/>
                <w:color w:val="auto"/>
                <w:w w:val="97"/>
              </w:rPr>
              <w:t>(4)(5)</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Albany, NY 12203</w:t>
            </w: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Good2Grow LLC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89"/>
              </w:rPr>
              <w:t>Beverages</w:t>
            </w:r>
          </w:p>
        </w:tc>
        <w:tc>
          <w:tcPr>
            <w:tcW w:w="30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6,914</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2859 Paces Ferry Road SE #2100</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L+425, 11/18/2024</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30339</w:t>
            </w:r>
          </w:p>
        </w:tc>
        <w:tc>
          <w:tcPr>
            <w:tcW w:w="1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Arial" w:cs="Arial" w:eastAsia="Arial" w:hAnsi="Arial"/>
                <w:sz w:val="14"/>
                <w:szCs w:val="14"/>
                <w:color w:val="auto"/>
              </w:rPr>
              <w:t>GSM Holdings, Inc.</w:t>
            </w: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Consumer Goods: Durable</w:t>
            </w:r>
          </w:p>
        </w:tc>
        <w:tc>
          <w:tcPr>
            <w:tcW w:w="30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3385 Roy Orr Blvd., Suite B</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L+450, 06/03/2024</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Grand Prairie, TX 75050</w:t>
            </w: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HW Holdco, LLC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Media</w:t>
            </w:r>
          </w:p>
        </w:tc>
        <w:tc>
          <w:tcPr>
            <w:tcW w:w="30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7,701</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Suite 600</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L+625, 12/10/2024</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1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Arial" w:cs="Arial" w:eastAsia="Arial" w:hAnsi="Arial"/>
                <w:sz w:val="14"/>
                <w:szCs w:val="14"/>
                <w:color w:val="auto"/>
              </w:rPr>
              <w:t>IMIA Holdings, Inc.</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Aerospace and Defense</w:t>
            </w:r>
          </w:p>
        </w:tc>
        <w:tc>
          <w:tcPr>
            <w:tcW w:w="30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 —, 10/28/2024</w:t>
            </w:r>
          </w:p>
        </w:tc>
        <w:tc>
          <w:tcPr>
            <w:tcW w:w="12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6470 Spanish Fort Boulevard Suite 300</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Spanish Fort, AL 36527</w:t>
            </w: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Impact Group, LLC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Wholesale</w:t>
            </w:r>
          </w:p>
        </w:tc>
        <w:tc>
          <w:tcPr>
            <w:tcW w:w="30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12,679</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915 W. Jefferson Street</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L+650, 06/27/2023</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Boise, ID 83702</w:t>
            </w:r>
          </w:p>
        </w:tc>
        <w:tc>
          <w:tcPr>
            <w:tcW w:w="1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Arial" w:cs="Arial" w:eastAsia="Arial" w:hAnsi="Arial"/>
                <w:sz w:val="14"/>
                <w:szCs w:val="14"/>
                <w:color w:val="auto"/>
              </w:rPr>
              <w:t>Innova Medical Ophthalmics Inc.</w:t>
            </w:r>
            <w:r>
              <w:rPr>
                <w:rFonts w:ascii="Arial" w:cs="Arial" w:eastAsia="Arial" w:hAnsi="Arial"/>
                <w:sz w:val="8"/>
                <w:szCs w:val="8"/>
                <w:color w:val="auto"/>
              </w:rPr>
              <w:t>(3)</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Capital Equipment</w:t>
            </w:r>
          </w:p>
        </w:tc>
        <w:tc>
          <w:tcPr>
            <w:tcW w:w="30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17,506</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(Lombart Brothers, Inc.)</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L+625, 04/13/2022</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5358 Robin Hood Road</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Norfolk, VA 23513</w:t>
            </w: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280"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Type of Investment,</w:t>
            </w:r>
          </w:p>
        </w:tc>
        <w:tc>
          <w:tcPr>
            <w:tcW w:w="1240" w:type="dxa"/>
            <w:vAlign w:val="bottom"/>
            <w:gridSpan w:val="2"/>
          </w:tcPr>
          <w:p>
            <w:pPr>
              <w:jc w:val="center"/>
              <w:ind w:right="378"/>
              <w:spacing w:after="0"/>
              <w:rPr>
                <w:sz w:val="20"/>
                <w:szCs w:val="20"/>
                <w:color w:val="auto"/>
              </w:rPr>
            </w:pPr>
            <w:r>
              <w:rPr>
                <w:rFonts w:ascii="Arial" w:cs="Arial" w:eastAsia="Arial" w:hAnsi="Arial"/>
                <w:sz w:val="14"/>
                <w:szCs w:val="14"/>
                <w:b w:val="1"/>
                <w:bCs w:val="1"/>
                <w:color w:val="auto"/>
                <w:w w:val="91"/>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10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Nature of Business</w:t>
            </w:r>
          </w:p>
        </w:tc>
        <w:tc>
          <w:tcPr>
            <w:tcW w:w="3140" w:type="dxa"/>
            <w:vAlign w:val="bottom"/>
            <w:gridSpan w:val="2"/>
            <w:vMerge w:val="continue"/>
          </w:tcPr>
          <w:p>
            <w:pPr>
              <w:spacing w:after="0"/>
              <w:rPr>
                <w:sz w:val="12"/>
                <w:szCs w:val="12"/>
                <w:color w:val="auto"/>
              </w:rPr>
            </w:pPr>
          </w:p>
        </w:tc>
        <w:tc>
          <w:tcPr>
            <w:tcW w:w="1240" w:type="dxa"/>
            <w:vAlign w:val="bottom"/>
            <w:gridSpan w:val="2"/>
          </w:tcPr>
          <w:p>
            <w:pPr>
              <w:jc w:val="center"/>
              <w:ind w:right="378"/>
              <w:spacing w:after="0" w:line="145" w:lineRule="exact"/>
              <w:rPr>
                <w:sz w:val="20"/>
                <w:szCs w:val="20"/>
                <w:color w:val="auto"/>
              </w:rPr>
            </w:pPr>
            <w:r>
              <w:rPr>
                <w:rFonts w:ascii="Arial" w:cs="Arial" w:eastAsia="Arial" w:hAnsi="Arial"/>
                <w:sz w:val="14"/>
                <w:szCs w:val="14"/>
                <w:b w:val="1"/>
                <w:bCs w:val="1"/>
                <w:color w:val="auto"/>
                <w:w w:val="90"/>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22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3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Interest</w:t>
            </w:r>
            <w:r>
              <w:rPr>
                <w:rFonts w:ascii="Arial" w:cs="Arial" w:eastAsia="Arial" w:hAnsi="Arial"/>
                <w:sz w:val="8"/>
                <w:szCs w:val="8"/>
                <w:b w:val="1"/>
                <w:bCs w:val="1"/>
                <w:color w:val="auto"/>
                <w:w w:val="99"/>
              </w:rPr>
              <w:t>(1)</w:t>
            </w:r>
            <w:r>
              <w:rPr>
                <w:rFonts w:ascii="Arial" w:cs="Arial" w:eastAsia="Arial" w:hAnsi="Arial"/>
                <w:sz w:val="14"/>
                <w:szCs w:val="14"/>
                <w:b w:val="1"/>
                <w:bCs w:val="1"/>
                <w:color w:val="auto"/>
                <w:w w:val="99"/>
              </w:rPr>
              <w:t>, Maturity</w:t>
            </w:r>
          </w:p>
        </w:tc>
        <w:tc>
          <w:tcPr>
            <w:tcW w:w="1240" w:type="dxa"/>
            <w:vAlign w:val="bottom"/>
            <w:gridSpan w:val="2"/>
          </w:tcPr>
          <w:p>
            <w:pPr>
              <w:jc w:val="center"/>
              <w:ind w:right="39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8"/>
                <w:szCs w:val="8"/>
                <w:b w:val="1"/>
                <w:bCs w:val="1"/>
                <w:color w:val="auto"/>
                <w:w w:val="94"/>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9"/>
        </w:trPr>
        <w:tc>
          <w:tcPr>
            <w:tcW w:w="410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Integrative Nutrition, LLC</w:t>
            </w:r>
          </w:p>
        </w:tc>
        <w:tc>
          <w:tcPr>
            <w:tcW w:w="15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Consumer Services</w:t>
            </w:r>
          </w:p>
        </w:tc>
        <w:tc>
          <w:tcPr>
            <w:tcW w:w="280" w:type="dxa"/>
            <w:vAlign w:val="bottom"/>
            <w:tcBorders>
              <w:top w:val="single" w:sz="8" w:color="CCEEFF"/>
            </w:tcBorders>
            <w:shd w:val="clear" w:color="auto" w:fill="CCEEFF"/>
          </w:tcPr>
          <w:p>
            <w:pPr>
              <w:spacing w:after="0"/>
              <w:rPr>
                <w:sz w:val="9"/>
                <w:szCs w:val="9"/>
                <w:color w:val="auto"/>
              </w:rPr>
            </w:pPr>
          </w:p>
        </w:tc>
        <w:tc>
          <w:tcPr>
            <w:tcW w:w="28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7"/>
                <w:szCs w:val="7"/>
                <w:color w:val="auto"/>
              </w:rPr>
              <w:t>(4)</w:t>
            </w: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1.5</w:t>
            </w:r>
          </w:p>
        </w:tc>
        <w:tc>
          <w:tcPr>
            <w:tcW w:w="440" w:type="dxa"/>
            <w:vAlign w:val="bottom"/>
            <w:tcBorders>
              <w:top w:val="single" w:sz="8" w:color="CCEEFF"/>
            </w:tcBorders>
            <w:shd w:val="clear" w:color="auto" w:fill="CCEEFF"/>
          </w:tcPr>
          <w:p>
            <w:pPr>
              <w:jc w:val="right"/>
              <w:ind w:right="258"/>
              <w:spacing w:after="0" w:line="109" w:lineRule="exact"/>
              <w:rPr>
                <w:sz w:val="20"/>
                <w:szCs w:val="20"/>
                <w:color w:val="auto"/>
              </w:rPr>
            </w:pPr>
            <w:r>
              <w:rPr>
                <w:rFonts w:ascii="Arial" w:cs="Arial" w:eastAsia="Arial" w:hAnsi="Arial"/>
                <w:sz w:val="12"/>
                <w:szCs w:val="12"/>
                <w:color w:val="auto"/>
                <w:w w:val="93"/>
              </w:rPr>
              <w:t>%</w:t>
            </w:r>
          </w:p>
        </w:tc>
        <w:tc>
          <w:tcPr>
            <w:tcW w:w="10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w:t>
            </w:r>
          </w:p>
        </w:tc>
        <w:tc>
          <w:tcPr>
            <w:tcW w:w="7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27,148</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(IIN Group Holdings, LLC)</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L+475, 09/29/2023</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245 5</w:t>
            </w:r>
            <w:r>
              <w:rPr>
                <w:rFonts w:ascii="Arial" w:cs="Arial" w:eastAsia="Arial" w:hAnsi="Arial"/>
                <w:sz w:val="8"/>
                <w:szCs w:val="8"/>
                <w:color w:val="auto"/>
              </w:rPr>
              <w:t>th</w:t>
            </w:r>
            <w:r>
              <w:rPr>
                <w:rFonts w:ascii="Arial" w:cs="Arial" w:eastAsia="Arial" w:hAnsi="Arial"/>
                <w:sz w:val="14"/>
                <w:szCs w:val="14"/>
                <w:color w:val="auto"/>
              </w:rPr>
              <w:t xml:space="preserve"> Avenue</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8"/>
                <w:szCs w:val="8"/>
                <w:color w:val="auto"/>
                <w:w w:val="96"/>
              </w:rPr>
              <w:t>(5)</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10016</w:t>
            </w: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00" w:type="dxa"/>
            <w:vAlign w:val="bottom"/>
            <w:gridSpan w:val="2"/>
          </w:tcPr>
          <w:p>
            <w:pPr>
              <w:spacing w:after="0"/>
              <w:rPr>
                <w:sz w:val="20"/>
                <w:szCs w:val="20"/>
                <w:color w:val="auto"/>
              </w:rPr>
            </w:pPr>
            <w:r>
              <w:rPr>
                <w:rFonts w:ascii="Arial" w:cs="Arial" w:eastAsia="Arial" w:hAnsi="Arial"/>
                <w:sz w:val="14"/>
                <w:szCs w:val="14"/>
                <w:color w:val="auto"/>
              </w:rPr>
              <w:t>Inventus Power, Inc.</w:t>
            </w: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Consumer Goods: Durable</w:t>
            </w:r>
          </w:p>
        </w:tc>
        <w:tc>
          <w:tcPr>
            <w:tcW w:w="314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1M L+650, 04/30/2020</w:t>
            </w:r>
          </w:p>
        </w:tc>
        <w:tc>
          <w:tcPr>
            <w:tcW w:w="124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3,777</w:t>
            </w:r>
          </w:p>
        </w:tc>
        <w:tc>
          <w:tcPr>
            <w:tcW w:w="0" w:type="dxa"/>
            <w:vAlign w:val="bottom"/>
          </w:tcPr>
          <w:p>
            <w:pPr>
              <w:spacing w:after="0"/>
              <w:rPr>
                <w:sz w:val="1"/>
                <w:szCs w:val="1"/>
                <w:color w:val="auto"/>
              </w:rPr>
            </w:pPr>
          </w:p>
        </w:tc>
      </w:tr>
      <w:tr>
        <w:trPr>
          <w:trHeight w:val="148"/>
        </w:trPr>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1200 Internationale Parkway</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00" w:type="dxa"/>
            <w:vAlign w:val="bottom"/>
            <w:gridSpan w:val="2"/>
          </w:tcPr>
          <w:p>
            <w:pPr>
              <w:spacing w:after="0"/>
              <w:rPr>
                <w:sz w:val="20"/>
                <w:szCs w:val="20"/>
                <w:color w:val="auto"/>
              </w:rPr>
            </w:pPr>
            <w:r>
              <w:rPr>
                <w:rFonts w:ascii="Arial" w:cs="Arial" w:eastAsia="Arial" w:hAnsi="Arial"/>
                <w:sz w:val="14"/>
                <w:szCs w:val="14"/>
                <w:color w:val="auto"/>
              </w:rPr>
              <w:t>Woodridge, IL 60517</w:t>
            </w: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JWC/UMA Holdings, L.P.</w:t>
            </w:r>
          </w:p>
        </w:tc>
        <w:tc>
          <w:tcPr>
            <w:tcW w:w="18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0"/>
              </w:rPr>
              <w:t>Healthcare and</w:t>
            </w:r>
          </w:p>
        </w:tc>
        <w:tc>
          <w:tcPr>
            <w:tcW w:w="31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6"/>
              </w:rPr>
              <w:t>Common Equity</w:t>
            </w:r>
          </w:p>
        </w:tc>
        <w:tc>
          <w:tcPr>
            <w:tcW w:w="124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1515 Broad Street, Suite 120</w:t>
            </w:r>
          </w:p>
        </w:tc>
        <w:tc>
          <w:tcPr>
            <w:tcW w:w="184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0"/>
              </w:rPr>
              <w:t>Pharmaceuticals</w:t>
            </w:r>
          </w:p>
        </w:tc>
        <w:tc>
          <w:tcPr>
            <w:tcW w:w="2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Bloomfield, NJ 07003</w:t>
            </w: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00" w:type="dxa"/>
            <w:vAlign w:val="bottom"/>
            <w:gridSpan w:val="2"/>
          </w:tcPr>
          <w:p>
            <w:pPr>
              <w:spacing w:after="0"/>
              <w:rPr>
                <w:sz w:val="20"/>
                <w:szCs w:val="20"/>
                <w:color w:val="auto"/>
              </w:rPr>
            </w:pPr>
            <w:r>
              <w:rPr>
                <w:rFonts w:ascii="Arial" w:cs="Arial" w:eastAsia="Arial" w:hAnsi="Arial"/>
                <w:sz w:val="14"/>
                <w:szCs w:val="14"/>
                <w:color w:val="auto"/>
              </w:rPr>
              <w:t>K2 Pure Solutions NoCal, L.P.</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Chemicals, Plastics and</w:t>
            </w:r>
          </w:p>
        </w:tc>
        <w:tc>
          <w:tcPr>
            <w:tcW w:w="314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4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48"/>
        </w:trPr>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Rubber</w:t>
            </w:r>
          </w:p>
        </w:tc>
        <w:tc>
          <w:tcPr>
            <w:tcW w:w="31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L+525, 12/20/2023</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00" w:type="dxa"/>
            <w:vAlign w:val="bottom"/>
            <w:gridSpan w:val="2"/>
          </w:tcPr>
          <w:p>
            <w:pPr>
              <w:spacing w:after="0"/>
              <w:rPr>
                <w:sz w:val="20"/>
                <w:szCs w:val="20"/>
                <w:color w:val="auto"/>
              </w:rPr>
            </w:pPr>
            <w:r>
              <w:rPr>
                <w:rFonts w:ascii="Arial" w:cs="Arial" w:eastAsia="Arial" w:hAnsi="Arial"/>
                <w:sz w:val="14"/>
                <w:szCs w:val="14"/>
                <w:color w:val="auto"/>
              </w:rPr>
              <w:t>Uniontown, OH 44685</w:t>
            </w: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Kentucky Downs, LLC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Hotels, Restaurants and</w:t>
            </w:r>
          </w:p>
        </w:tc>
        <w:tc>
          <w:tcPr>
            <w:tcW w:w="31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4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5,596</w:t>
            </w: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(Kentucky Racing Holdco, LLC)</w:t>
            </w:r>
          </w:p>
        </w:tc>
        <w:tc>
          <w:tcPr>
            <w:tcW w:w="18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Leisure</w:t>
            </w:r>
          </w:p>
        </w:tc>
        <w:tc>
          <w:tcPr>
            <w:tcW w:w="31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L+850, 03/07/2025</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5629 Nashville Road</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3"/>
              </w:rPr>
              <w:t>Warrants</w:t>
            </w:r>
            <w:r>
              <w:rPr>
                <w:rFonts w:ascii="Arial" w:cs="Arial" w:eastAsia="Arial" w:hAnsi="Arial"/>
                <w:sz w:val="8"/>
                <w:szCs w:val="8"/>
                <w:color w:val="auto"/>
                <w:w w:val="93"/>
              </w:rPr>
              <w:t>(5)</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Franklin, KY 42134</w:t>
            </w: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00" w:type="dxa"/>
            <w:vAlign w:val="bottom"/>
            <w:gridSpan w:val="2"/>
          </w:tcPr>
          <w:p>
            <w:pPr>
              <w:spacing w:after="0"/>
              <w:rPr>
                <w:sz w:val="20"/>
                <w:szCs w:val="20"/>
                <w:color w:val="auto"/>
              </w:rPr>
            </w:pPr>
            <w:r>
              <w:rPr>
                <w:rFonts w:ascii="Arial" w:cs="Arial" w:eastAsia="Arial" w:hAnsi="Arial"/>
                <w:sz w:val="14"/>
                <w:szCs w:val="14"/>
                <w:color w:val="auto"/>
              </w:rPr>
              <w:t>KHC Holdings, Inc.</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Wholesale</w:t>
            </w:r>
          </w:p>
        </w:tc>
        <w:tc>
          <w:tcPr>
            <w:tcW w:w="314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4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12,511</w:t>
            </w:r>
          </w:p>
        </w:tc>
        <w:tc>
          <w:tcPr>
            <w:tcW w:w="0" w:type="dxa"/>
            <w:vAlign w:val="bottom"/>
          </w:tcPr>
          <w:p>
            <w:pPr>
              <w:spacing w:after="0"/>
              <w:rPr>
                <w:sz w:val="1"/>
                <w:szCs w:val="1"/>
                <w:color w:val="auto"/>
              </w:rPr>
            </w:pPr>
          </w:p>
        </w:tc>
      </w:tr>
      <w:tr>
        <w:trPr>
          <w:trHeight w:val="148"/>
        </w:trPr>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3300 Brother Boulevard</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L+600, 10/31/2022</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00" w:type="dxa"/>
            <w:vAlign w:val="bottom"/>
            <w:gridSpan w:val="2"/>
          </w:tcPr>
          <w:p>
            <w:pPr>
              <w:spacing w:after="0"/>
              <w:rPr>
                <w:sz w:val="20"/>
                <w:szCs w:val="20"/>
                <w:color w:val="auto"/>
              </w:rPr>
            </w:pPr>
            <w:r>
              <w:rPr>
                <w:rFonts w:ascii="Arial" w:cs="Arial" w:eastAsia="Arial" w:hAnsi="Arial"/>
                <w:sz w:val="14"/>
                <w:szCs w:val="14"/>
                <w:color w:val="auto"/>
              </w:rPr>
              <w:t>Memphis, TN 38133</w:t>
            </w: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Lago Resort &amp; Casino, LLC</w:t>
            </w:r>
          </w:p>
        </w:tc>
        <w:tc>
          <w:tcPr>
            <w:tcW w:w="18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Hotel, Gaming and</w:t>
            </w:r>
          </w:p>
        </w:tc>
        <w:tc>
          <w:tcPr>
            <w:tcW w:w="31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 3M L+950, 03/07/2022</w:t>
            </w:r>
          </w:p>
        </w:tc>
        <w:tc>
          <w:tcPr>
            <w:tcW w:w="124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9,176</w:t>
            </w: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1133 Ridge Road (Rt 414)</w:t>
            </w:r>
          </w:p>
        </w:tc>
        <w:tc>
          <w:tcPr>
            <w:tcW w:w="18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Leisure</w:t>
            </w:r>
          </w:p>
        </w:tc>
        <w:tc>
          <w:tcPr>
            <w:tcW w:w="2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Waterloo, NY 13165</w:t>
            </w: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00" w:type="dxa"/>
            <w:vAlign w:val="bottom"/>
            <w:gridSpan w:val="2"/>
          </w:tcPr>
          <w:p>
            <w:pPr>
              <w:spacing w:after="0"/>
              <w:rPr>
                <w:sz w:val="20"/>
                <w:szCs w:val="20"/>
                <w:color w:val="auto"/>
              </w:rPr>
            </w:pPr>
            <w:r>
              <w:rPr>
                <w:rFonts w:ascii="Arial" w:cs="Arial" w:eastAsia="Arial" w:hAnsi="Arial"/>
                <w:sz w:val="14"/>
                <w:szCs w:val="14"/>
                <w:color w:val="auto"/>
              </w:rPr>
              <w:t>LAV Gear Holdings, Inc.</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Capital Equipment</w:t>
            </w:r>
          </w:p>
        </w:tc>
        <w:tc>
          <w:tcPr>
            <w:tcW w:w="314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4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8,475</w:t>
            </w:r>
          </w:p>
        </w:tc>
        <w:tc>
          <w:tcPr>
            <w:tcW w:w="0" w:type="dxa"/>
            <w:vAlign w:val="bottom"/>
          </w:tcPr>
          <w:p>
            <w:pPr>
              <w:spacing w:after="0"/>
              <w:rPr>
                <w:sz w:val="1"/>
                <w:szCs w:val="1"/>
                <w:color w:val="auto"/>
              </w:rPr>
            </w:pPr>
          </w:p>
        </w:tc>
      </w:tr>
      <w:tr>
        <w:trPr>
          <w:trHeight w:val="149"/>
        </w:trPr>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3165 W Sunset Rd</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L+550, 10/31/2024</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00" w:type="dxa"/>
            <w:vAlign w:val="bottom"/>
            <w:gridSpan w:val="2"/>
          </w:tcPr>
          <w:p>
            <w:pPr>
              <w:spacing w:after="0"/>
              <w:rPr>
                <w:sz w:val="20"/>
                <w:szCs w:val="20"/>
                <w:color w:val="auto"/>
              </w:rPr>
            </w:pPr>
            <w:r>
              <w:rPr>
                <w:rFonts w:ascii="Arial" w:cs="Arial" w:eastAsia="Arial" w:hAnsi="Arial"/>
                <w:sz w:val="14"/>
                <w:szCs w:val="14"/>
                <w:color w:val="auto"/>
              </w:rPr>
              <w:t>Las Vegas, NV 89118</w:t>
            </w: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LifeCare Holdings LLC</w:t>
            </w:r>
          </w:p>
        </w:tc>
        <w:tc>
          <w:tcPr>
            <w:tcW w:w="18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0"/>
              </w:rPr>
              <w:t>Healthcare and</w:t>
            </w:r>
          </w:p>
        </w:tc>
        <w:tc>
          <w:tcPr>
            <w:tcW w:w="31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24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5340 Legacy Drive</w:t>
            </w:r>
          </w:p>
        </w:tc>
        <w:tc>
          <w:tcPr>
            <w:tcW w:w="184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0"/>
              </w:rPr>
              <w:t>Pharmaceuticals</w:t>
            </w:r>
          </w:p>
        </w:tc>
        <w:tc>
          <w:tcPr>
            <w:tcW w:w="31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3"/>
              </w:rPr>
              <w:t>—, 11/30/2021</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 150, Building 4</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00" w:type="dxa"/>
            <w:vAlign w:val="bottom"/>
            <w:gridSpan w:val="2"/>
          </w:tcPr>
          <w:p>
            <w:pPr>
              <w:spacing w:after="0"/>
              <w:rPr>
                <w:sz w:val="20"/>
                <w:szCs w:val="20"/>
                <w:color w:val="auto"/>
              </w:rPr>
            </w:pPr>
            <w:r>
              <w:rPr>
                <w:rFonts w:ascii="Arial" w:cs="Arial" w:eastAsia="Arial" w:hAnsi="Arial"/>
                <w:sz w:val="14"/>
                <w:szCs w:val="14"/>
                <w:color w:val="auto"/>
              </w:rPr>
              <w:t>Long Island Vision Management, LLC</w:t>
            </w: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Healthcare and</w:t>
            </w:r>
          </w:p>
        </w:tc>
        <w:tc>
          <w:tcPr>
            <w:tcW w:w="314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4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8,116</w:t>
            </w:r>
          </w:p>
        </w:tc>
        <w:tc>
          <w:tcPr>
            <w:tcW w:w="0" w:type="dxa"/>
            <w:vAlign w:val="bottom"/>
          </w:tcPr>
          <w:p>
            <w:pPr>
              <w:spacing w:after="0"/>
              <w:rPr>
                <w:sz w:val="1"/>
                <w:szCs w:val="1"/>
                <w:color w:val="auto"/>
              </w:rPr>
            </w:pPr>
          </w:p>
        </w:tc>
      </w:tr>
      <w:tr>
        <w:trPr>
          <w:trHeight w:val="148"/>
        </w:trPr>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805 Broadway</w:t>
            </w: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Pharmaceuticals</w:t>
            </w:r>
          </w:p>
        </w:tc>
        <w:tc>
          <w:tcPr>
            <w:tcW w:w="31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L+475, 09/11/2023</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00" w:type="dxa"/>
            <w:vAlign w:val="bottom"/>
            <w:gridSpan w:val="2"/>
          </w:tcPr>
          <w:p>
            <w:pPr>
              <w:spacing w:after="0"/>
              <w:rPr>
                <w:sz w:val="20"/>
                <w:szCs w:val="20"/>
                <w:color w:val="auto"/>
              </w:rPr>
            </w:pPr>
            <w:r>
              <w:rPr>
                <w:rFonts w:ascii="Arial" w:cs="Arial" w:eastAsia="Arial" w:hAnsi="Arial"/>
                <w:sz w:val="14"/>
                <w:szCs w:val="14"/>
                <w:color w:val="auto"/>
              </w:rPr>
              <w:t>New York, NY 11701</w:t>
            </w: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Long’s Drugs Incorporated</w:t>
            </w:r>
          </w:p>
        </w:tc>
        <w:tc>
          <w:tcPr>
            <w:tcW w:w="18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0"/>
              </w:rPr>
              <w:t>Healthcare and</w:t>
            </w:r>
          </w:p>
        </w:tc>
        <w:tc>
          <w:tcPr>
            <w:tcW w:w="31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4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9,741</w:t>
            </w:r>
          </w:p>
        </w:tc>
        <w:tc>
          <w:tcPr>
            <w:tcW w:w="0" w:type="dxa"/>
            <w:vAlign w:val="bottom"/>
          </w:tcPr>
          <w:p>
            <w:pPr>
              <w:spacing w:after="0"/>
              <w:rPr>
                <w:sz w:val="1"/>
                <w:szCs w:val="1"/>
                <w:color w:val="auto"/>
              </w:rPr>
            </w:pPr>
          </w:p>
        </w:tc>
      </w:tr>
      <w:tr>
        <w:trPr>
          <w:trHeight w:val="149"/>
        </w:trPr>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111 Executive Center Drive, Suite 228</w:t>
            </w:r>
          </w:p>
        </w:tc>
        <w:tc>
          <w:tcPr>
            <w:tcW w:w="184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0"/>
              </w:rPr>
              <w:t>Pharmaceuticals</w:t>
            </w:r>
          </w:p>
        </w:tc>
        <w:tc>
          <w:tcPr>
            <w:tcW w:w="31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L+500, 08/19/2022</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Columbia, SC 29210</w:t>
            </w: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00" w:type="dxa"/>
            <w:vAlign w:val="bottom"/>
            <w:gridSpan w:val="2"/>
          </w:tcPr>
          <w:p>
            <w:pPr>
              <w:spacing w:after="0"/>
              <w:rPr>
                <w:sz w:val="20"/>
                <w:szCs w:val="20"/>
                <w:color w:val="auto"/>
              </w:rPr>
            </w:pPr>
            <w:r>
              <w:rPr>
                <w:rFonts w:ascii="Arial" w:cs="Arial" w:eastAsia="Arial" w:hAnsi="Arial"/>
                <w:sz w:val="14"/>
                <w:szCs w:val="14"/>
                <w:color w:val="auto"/>
              </w:rPr>
              <w:t>LSF9 Atlantis Holdings, LLC</w:t>
            </w: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Retail</w:t>
            </w:r>
          </w:p>
        </w:tc>
        <w:tc>
          <w:tcPr>
            <w:tcW w:w="314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1M L+600, 05/01/2023</w:t>
            </w:r>
          </w:p>
        </w:tc>
        <w:tc>
          <w:tcPr>
            <w:tcW w:w="124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12,712</w:t>
            </w:r>
          </w:p>
        </w:tc>
        <w:tc>
          <w:tcPr>
            <w:tcW w:w="0" w:type="dxa"/>
            <w:vAlign w:val="bottom"/>
          </w:tcPr>
          <w:p>
            <w:pPr>
              <w:spacing w:after="0"/>
              <w:rPr>
                <w:sz w:val="1"/>
                <w:szCs w:val="1"/>
                <w:color w:val="auto"/>
              </w:rPr>
            </w:pPr>
          </w:p>
        </w:tc>
      </w:tr>
      <w:tr>
        <w:trPr>
          <w:trHeight w:val="148"/>
        </w:trPr>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775 Prairie Center Drive, Suite 420</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00" w:type="dxa"/>
            <w:vAlign w:val="bottom"/>
            <w:gridSpan w:val="2"/>
          </w:tcPr>
          <w:p>
            <w:pPr>
              <w:spacing w:after="0"/>
              <w:rPr>
                <w:sz w:val="20"/>
                <w:szCs w:val="20"/>
                <w:color w:val="auto"/>
              </w:rPr>
            </w:pPr>
            <w:r>
              <w:rPr>
                <w:rFonts w:ascii="Arial" w:cs="Arial" w:eastAsia="Arial" w:hAnsi="Arial"/>
                <w:sz w:val="14"/>
                <w:szCs w:val="14"/>
                <w:color w:val="auto"/>
              </w:rPr>
              <w:t>Eden Prairie, MN 55344</w:t>
            </w: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MailSouth, Inc.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7"/>
              </w:rPr>
              <w:t>Media: Advertising,</w:t>
            </w:r>
          </w:p>
        </w:tc>
        <w:tc>
          <w:tcPr>
            <w:tcW w:w="31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Second Lien Secured Debt,</w:t>
            </w:r>
          </w:p>
        </w:tc>
        <w:tc>
          <w:tcPr>
            <w:tcW w:w="124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2,785</w:t>
            </w: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18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Printing and Publishing</w:t>
            </w:r>
          </w:p>
        </w:tc>
        <w:tc>
          <w:tcPr>
            <w:tcW w:w="31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12M L+925, 10/23/2024</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00" w:type="dxa"/>
            <w:vAlign w:val="bottom"/>
            <w:gridSpan w:val="2"/>
          </w:tcPr>
          <w:p>
            <w:pPr>
              <w:spacing w:after="0"/>
              <w:rPr>
                <w:sz w:val="20"/>
                <w:szCs w:val="20"/>
                <w:color w:val="auto"/>
              </w:rPr>
            </w:pPr>
            <w:r>
              <w:rPr>
                <w:rFonts w:ascii="Arial" w:cs="Arial" w:eastAsia="Arial" w:hAnsi="Arial"/>
                <w:sz w:val="14"/>
                <w:szCs w:val="14"/>
                <w:color w:val="auto"/>
              </w:rPr>
              <w:t>Manna Pro Products, LLC</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Consumer Goods:</w:t>
            </w:r>
          </w:p>
        </w:tc>
        <w:tc>
          <w:tcPr>
            <w:tcW w:w="314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1M L+600, 12/08/2023</w:t>
            </w:r>
          </w:p>
        </w:tc>
        <w:tc>
          <w:tcPr>
            <w:tcW w:w="124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8,159</w:t>
            </w:r>
          </w:p>
        </w:tc>
        <w:tc>
          <w:tcPr>
            <w:tcW w:w="0" w:type="dxa"/>
            <w:vAlign w:val="bottom"/>
          </w:tcPr>
          <w:p>
            <w:pPr>
              <w:spacing w:after="0"/>
              <w:rPr>
                <w:sz w:val="1"/>
                <w:szCs w:val="1"/>
                <w:color w:val="auto"/>
              </w:rPr>
            </w:pPr>
          </w:p>
        </w:tc>
      </w:tr>
      <w:tr>
        <w:trPr>
          <w:trHeight w:val="149"/>
        </w:trPr>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707 Spirit 40 Park Drive, #150</w:t>
            </w: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Non-Durable</w:t>
            </w: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00" w:type="dxa"/>
            <w:vAlign w:val="bottom"/>
            <w:gridSpan w:val="2"/>
          </w:tcPr>
          <w:p>
            <w:pPr>
              <w:spacing w:after="0"/>
              <w:rPr>
                <w:sz w:val="20"/>
                <w:szCs w:val="20"/>
                <w:color w:val="auto"/>
              </w:rPr>
            </w:pPr>
            <w:r>
              <w:rPr>
                <w:rFonts w:ascii="Arial" w:cs="Arial" w:eastAsia="Arial" w:hAnsi="Arial"/>
                <w:sz w:val="14"/>
                <w:szCs w:val="14"/>
                <w:color w:val="auto"/>
              </w:rPr>
              <w:t>Chesterfield, MO 63005</w:t>
            </w: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Marketplace Events LLC</w:t>
            </w:r>
          </w:p>
        </w:tc>
        <w:tc>
          <w:tcPr>
            <w:tcW w:w="18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6"/>
              </w:rPr>
              <w:t>Media: Diversified and</w:t>
            </w:r>
          </w:p>
        </w:tc>
        <w:tc>
          <w:tcPr>
            <w:tcW w:w="31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5"/>
              </w:rPr>
              <w:t>First Lien Secured Debt</w:t>
            </w:r>
            <w:r>
              <w:rPr>
                <w:rFonts w:ascii="Arial" w:cs="Arial" w:eastAsia="Arial" w:hAnsi="Arial"/>
                <w:sz w:val="8"/>
                <w:szCs w:val="8"/>
                <w:color w:val="auto"/>
                <w:w w:val="95"/>
              </w:rPr>
              <w:t>(4)</w:t>
            </w:r>
            <w:r>
              <w:rPr>
                <w:rFonts w:ascii="Arial" w:cs="Arial" w:eastAsia="Arial" w:hAnsi="Arial"/>
                <w:sz w:val="14"/>
                <w:szCs w:val="14"/>
                <w:color w:val="auto"/>
                <w:w w:val="95"/>
              </w:rPr>
              <w:t>, USD (3M L+525,</w:t>
            </w:r>
          </w:p>
        </w:tc>
        <w:tc>
          <w:tcPr>
            <w:tcW w:w="124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18,034</w:t>
            </w:r>
          </w:p>
        </w:tc>
        <w:tc>
          <w:tcPr>
            <w:tcW w:w="0" w:type="dxa"/>
            <w:vAlign w:val="bottom"/>
          </w:tcPr>
          <w:p>
            <w:pPr>
              <w:spacing w:after="0"/>
              <w:rPr>
                <w:sz w:val="1"/>
                <w:szCs w:val="1"/>
                <w:color w:val="auto"/>
              </w:rPr>
            </w:pPr>
          </w:p>
        </w:tc>
      </w:tr>
      <w:tr>
        <w:trPr>
          <w:trHeight w:val="149"/>
        </w:trPr>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31105 Bainbridge Road, Suite 3</w:t>
            </w:r>
          </w:p>
        </w:tc>
        <w:tc>
          <w:tcPr>
            <w:tcW w:w="18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Production</w:t>
            </w:r>
          </w:p>
        </w:tc>
        <w:tc>
          <w:tcPr>
            <w:tcW w:w="314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01/27/2023), CAD (P+275, 01/27/2023)</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Solon, OH 44139</w:t>
            </w: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00" w:type="dxa"/>
            <w:vAlign w:val="bottom"/>
            <w:gridSpan w:val="2"/>
          </w:tcPr>
          <w:p>
            <w:pPr>
              <w:spacing w:after="0"/>
              <w:rPr>
                <w:sz w:val="20"/>
                <w:szCs w:val="20"/>
                <w:color w:val="auto"/>
              </w:rPr>
            </w:pPr>
            <w:r>
              <w:rPr>
                <w:rFonts w:ascii="Arial" w:cs="Arial" w:eastAsia="Arial" w:hAnsi="Arial"/>
                <w:sz w:val="14"/>
                <w:szCs w:val="14"/>
                <w:color w:val="auto"/>
              </w:rPr>
              <w:t>McAfee, LLC</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High Tech Industries</w:t>
            </w:r>
          </w:p>
        </w:tc>
        <w:tc>
          <w:tcPr>
            <w:tcW w:w="31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Second Lien Secured Debt,</w:t>
            </w:r>
          </w:p>
        </w:tc>
        <w:tc>
          <w:tcPr>
            <w:tcW w:w="124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2,205</w:t>
            </w:r>
          </w:p>
        </w:tc>
        <w:tc>
          <w:tcPr>
            <w:tcW w:w="0" w:type="dxa"/>
            <w:vAlign w:val="bottom"/>
          </w:tcPr>
          <w:p>
            <w:pPr>
              <w:spacing w:after="0"/>
              <w:rPr>
                <w:sz w:val="1"/>
                <w:szCs w:val="1"/>
                <w:color w:val="auto"/>
              </w:rPr>
            </w:pPr>
          </w:p>
        </w:tc>
      </w:tr>
      <w:tr>
        <w:trPr>
          <w:trHeight w:val="148"/>
        </w:trPr>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2821 Mission College Boulevard</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L+850, 09/29/2025</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00" w:type="dxa"/>
            <w:vAlign w:val="bottom"/>
            <w:gridSpan w:val="2"/>
          </w:tcPr>
          <w:p>
            <w:pPr>
              <w:spacing w:after="0"/>
              <w:rPr>
                <w:sz w:val="20"/>
                <w:szCs w:val="20"/>
                <w:color w:val="auto"/>
              </w:rPr>
            </w:pPr>
            <w:r>
              <w:rPr>
                <w:rFonts w:ascii="Arial" w:cs="Arial" w:eastAsia="Arial" w:hAnsi="Arial"/>
                <w:sz w:val="14"/>
                <w:szCs w:val="14"/>
                <w:color w:val="auto"/>
              </w:rPr>
              <w:t>Santa Clara, CA 95054</w:t>
            </w: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280"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Type of Investment,</w:t>
            </w:r>
          </w:p>
        </w:tc>
        <w:tc>
          <w:tcPr>
            <w:tcW w:w="1340" w:type="dxa"/>
            <w:vAlign w:val="bottom"/>
            <w:gridSpan w:val="2"/>
          </w:tcPr>
          <w:p>
            <w:pPr>
              <w:jc w:val="center"/>
              <w:ind w:right="478"/>
              <w:spacing w:after="0"/>
              <w:rPr>
                <w:sz w:val="20"/>
                <w:szCs w:val="20"/>
                <w:color w:val="auto"/>
              </w:rPr>
            </w:pPr>
            <w:r>
              <w:rPr>
                <w:rFonts w:ascii="Arial" w:cs="Arial" w:eastAsia="Arial" w:hAnsi="Arial"/>
                <w:sz w:val="14"/>
                <w:szCs w:val="14"/>
                <w:b w:val="1"/>
                <w:bCs w:val="1"/>
                <w:color w:val="auto"/>
                <w:w w:val="91"/>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200" w:type="dxa"/>
            <w:vAlign w:val="bottom"/>
            <w:gridSpan w:val="2"/>
            <w:vMerge w:val="continue"/>
          </w:tcPr>
          <w:p>
            <w:pPr>
              <w:spacing w:after="0"/>
              <w:rPr>
                <w:sz w:val="12"/>
                <w:szCs w:val="12"/>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Nature of Business</w:t>
            </w:r>
          </w:p>
        </w:tc>
        <w:tc>
          <w:tcPr>
            <w:tcW w:w="3040" w:type="dxa"/>
            <w:vAlign w:val="bottom"/>
            <w:gridSpan w:val="2"/>
            <w:vMerge w:val="continue"/>
          </w:tcPr>
          <w:p>
            <w:pPr>
              <w:spacing w:after="0"/>
              <w:rPr>
                <w:sz w:val="12"/>
                <w:szCs w:val="12"/>
                <w:color w:val="auto"/>
              </w:rPr>
            </w:pPr>
          </w:p>
        </w:tc>
        <w:tc>
          <w:tcPr>
            <w:tcW w:w="1340" w:type="dxa"/>
            <w:vAlign w:val="bottom"/>
            <w:gridSpan w:val="2"/>
          </w:tcPr>
          <w:p>
            <w:pPr>
              <w:jc w:val="center"/>
              <w:ind w:right="478"/>
              <w:spacing w:after="0" w:line="145" w:lineRule="exact"/>
              <w:rPr>
                <w:sz w:val="20"/>
                <w:szCs w:val="20"/>
                <w:color w:val="auto"/>
              </w:rPr>
            </w:pPr>
            <w:r>
              <w:rPr>
                <w:rFonts w:ascii="Arial" w:cs="Arial" w:eastAsia="Arial" w:hAnsi="Arial"/>
                <w:sz w:val="14"/>
                <w:szCs w:val="14"/>
                <w:b w:val="1"/>
                <w:bCs w:val="1"/>
                <w:color w:val="auto"/>
                <w:w w:val="90"/>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32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3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Interest</w:t>
            </w:r>
            <w:r>
              <w:rPr>
                <w:rFonts w:ascii="Arial" w:cs="Arial" w:eastAsia="Arial" w:hAnsi="Arial"/>
                <w:sz w:val="8"/>
                <w:szCs w:val="8"/>
                <w:b w:val="1"/>
                <w:bCs w:val="1"/>
                <w:color w:val="auto"/>
                <w:w w:val="99"/>
              </w:rPr>
              <w:t>(1)</w:t>
            </w:r>
            <w:r>
              <w:rPr>
                <w:rFonts w:ascii="Arial" w:cs="Arial" w:eastAsia="Arial" w:hAnsi="Arial"/>
                <w:sz w:val="14"/>
                <w:szCs w:val="14"/>
                <w:b w:val="1"/>
                <w:bCs w:val="1"/>
                <w:color w:val="auto"/>
                <w:w w:val="99"/>
              </w:rPr>
              <w:t>, Maturity</w:t>
            </w:r>
          </w:p>
        </w:tc>
        <w:tc>
          <w:tcPr>
            <w:tcW w:w="1340" w:type="dxa"/>
            <w:vAlign w:val="bottom"/>
            <w:gridSpan w:val="2"/>
          </w:tcPr>
          <w:p>
            <w:pPr>
              <w:jc w:val="center"/>
              <w:ind w:right="45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8"/>
                <w:szCs w:val="8"/>
                <w:b w:val="1"/>
                <w:bCs w:val="1"/>
                <w:color w:val="auto"/>
                <w:w w:val="94"/>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9"/>
        </w:trPr>
        <w:tc>
          <w:tcPr>
            <w:tcW w:w="420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MeritDirect, LLC</w:t>
            </w:r>
          </w:p>
        </w:tc>
        <w:tc>
          <w:tcPr>
            <w:tcW w:w="14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Media</w:t>
            </w:r>
          </w:p>
        </w:tc>
        <w:tc>
          <w:tcPr>
            <w:tcW w:w="260" w:type="dxa"/>
            <w:vAlign w:val="bottom"/>
            <w:tcBorders>
              <w:top w:val="single" w:sz="8" w:color="CCEEFF"/>
            </w:tcBorders>
            <w:shd w:val="clear" w:color="auto" w:fill="CCEEFF"/>
          </w:tcPr>
          <w:p>
            <w:pPr>
              <w:spacing w:after="0"/>
              <w:rPr>
                <w:sz w:val="9"/>
                <w:szCs w:val="9"/>
                <w:color w:val="auto"/>
              </w:rPr>
            </w:pPr>
          </w:p>
        </w:tc>
        <w:tc>
          <w:tcPr>
            <w:tcW w:w="27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7"/>
                <w:szCs w:val="7"/>
                <w:color w:val="auto"/>
              </w:rPr>
              <w:t>(4)</w:t>
            </w: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ind w:left="620"/>
              <w:spacing w:after="0" w:line="109" w:lineRule="exact"/>
              <w:rPr>
                <w:sz w:val="20"/>
                <w:szCs w:val="20"/>
                <w:color w:val="auto"/>
              </w:rPr>
            </w:pPr>
            <w:r>
              <w:rPr>
                <w:rFonts w:ascii="Arial" w:cs="Arial" w:eastAsia="Arial" w:hAnsi="Arial"/>
                <w:sz w:val="12"/>
                <w:szCs w:val="12"/>
                <w:color w:val="auto"/>
                <w:w w:val="95"/>
              </w:rPr>
              <w:t>1.0</w:t>
            </w:r>
          </w:p>
        </w:tc>
        <w:tc>
          <w:tcPr>
            <w:tcW w:w="540" w:type="dxa"/>
            <w:vAlign w:val="bottom"/>
            <w:tcBorders>
              <w:top w:val="single" w:sz="8" w:color="CCEEFF"/>
            </w:tcBorders>
            <w:shd w:val="clear" w:color="auto" w:fill="CCEEFF"/>
          </w:tcPr>
          <w:p>
            <w:pPr>
              <w:jc w:val="right"/>
              <w:ind w:right="358"/>
              <w:spacing w:after="0" w:line="109" w:lineRule="exact"/>
              <w:rPr>
                <w:sz w:val="20"/>
                <w:szCs w:val="20"/>
                <w:color w:val="auto"/>
              </w:rPr>
            </w:pPr>
            <w:r>
              <w:rPr>
                <w:rFonts w:ascii="Arial" w:cs="Arial" w:eastAsia="Arial" w:hAnsi="Arial"/>
                <w:sz w:val="12"/>
                <w:szCs w:val="12"/>
                <w:color w:val="auto"/>
                <w:w w:val="93"/>
              </w:rPr>
              <w:t>%</w:t>
            </w:r>
          </w:p>
        </w:tc>
        <w:tc>
          <w:tcPr>
            <w:tcW w:w="10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w:t>
            </w:r>
          </w:p>
        </w:tc>
        <w:tc>
          <w:tcPr>
            <w:tcW w:w="7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35,285</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(MeritDirect Holdings, LP)</w:t>
            </w:r>
          </w:p>
        </w:tc>
        <w:tc>
          <w:tcPr>
            <w:tcW w:w="1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L+550, 05/23/2024</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 International Drive</w:t>
            </w:r>
          </w:p>
        </w:tc>
        <w:tc>
          <w:tcPr>
            <w:tcW w:w="1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Preferred Equity</w:t>
            </w:r>
            <w:r>
              <w:rPr>
                <w:rFonts w:ascii="Arial" w:cs="Arial" w:eastAsia="Arial" w:hAnsi="Arial"/>
                <w:sz w:val="8"/>
                <w:szCs w:val="8"/>
                <w:color w:val="auto"/>
                <w:w w:val="95"/>
              </w:rPr>
              <w:t>(5)</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Rye Brook, NY 10573</w:t>
            </w:r>
          </w:p>
        </w:tc>
        <w:tc>
          <w:tcPr>
            <w:tcW w:w="1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8"/>
                <w:szCs w:val="8"/>
                <w:color w:val="auto"/>
                <w:w w:val="96"/>
              </w:rPr>
              <w:t>(5)</w:t>
            </w: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Arial" w:cs="Arial" w:eastAsia="Arial" w:hAnsi="Arial"/>
                <w:sz w:val="14"/>
                <w:szCs w:val="14"/>
                <w:color w:val="auto"/>
              </w:rPr>
              <w:t>Mission Critical Electronics, Inc.</w:t>
            </w: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Capital Equipment</w:t>
            </w:r>
          </w:p>
        </w:tc>
        <w:tc>
          <w:tcPr>
            <w:tcW w:w="30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3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2911 W. Garry Ave.</w:t>
            </w: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L+500, 09/28/2021</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Santa Ana, CA 92704</w:t>
            </w: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Montreign Operating Company, LLC</w:t>
            </w:r>
          </w:p>
        </w:tc>
        <w:tc>
          <w:tcPr>
            <w:tcW w:w="17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Hotel, Gaming and</w:t>
            </w:r>
          </w:p>
        </w:tc>
        <w:tc>
          <w:tcPr>
            <w:tcW w:w="30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34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24,345</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204 State Route 17B</w:t>
            </w:r>
          </w:p>
        </w:tc>
        <w:tc>
          <w:tcPr>
            <w:tcW w:w="17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Leisure</w:t>
            </w: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L+825, 01/24/2023</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Monticello, NY 12701</w:t>
            </w:r>
          </w:p>
        </w:tc>
        <w:tc>
          <w:tcPr>
            <w:tcW w:w="1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Arial" w:cs="Arial" w:eastAsia="Arial" w:hAnsi="Arial"/>
                <w:sz w:val="14"/>
                <w:szCs w:val="14"/>
                <w:color w:val="auto"/>
              </w:rPr>
              <w:t>Nuvei Technologies Corp.</w:t>
            </w:r>
            <w:r>
              <w:rPr>
                <w:rFonts w:ascii="Arial" w:cs="Arial" w:eastAsia="Arial" w:hAnsi="Arial"/>
                <w:sz w:val="8"/>
                <w:szCs w:val="8"/>
                <w:color w:val="auto"/>
              </w:rPr>
              <w:t>(3)</w:t>
            </w: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Diversified Financial</w:t>
            </w:r>
          </w:p>
        </w:tc>
        <w:tc>
          <w:tcPr>
            <w:tcW w:w="304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First Lien Secured Debt, P+400, 09/28/2025</w:t>
            </w:r>
          </w:p>
        </w:tc>
        <w:tc>
          <w:tcPr>
            <w:tcW w:w="13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19,651</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1100 Rene Levsque West Suite 900</w:t>
            </w: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Services</w:t>
            </w:r>
          </w:p>
        </w:tc>
        <w:tc>
          <w:tcPr>
            <w:tcW w:w="2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Montreal, Quebec, H3B 4N4</w:t>
            </w: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Olde Thompson, LLC</w:t>
            </w:r>
          </w:p>
        </w:tc>
        <w:tc>
          <w:tcPr>
            <w:tcW w:w="17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Beverage, Food and</w:t>
            </w:r>
          </w:p>
        </w:tc>
        <w:tc>
          <w:tcPr>
            <w:tcW w:w="30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34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3250 Camino Del Sol</w:t>
            </w:r>
          </w:p>
        </w:tc>
        <w:tc>
          <w:tcPr>
            <w:tcW w:w="17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L+450, 05/14/2024</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Oxnard, CA 93030</w:t>
            </w:r>
          </w:p>
        </w:tc>
        <w:tc>
          <w:tcPr>
            <w:tcW w:w="1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Arial" w:cs="Arial" w:eastAsia="Arial" w:hAnsi="Arial"/>
                <w:sz w:val="14"/>
                <w:szCs w:val="14"/>
                <w:color w:val="auto"/>
              </w:rPr>
              <w:t>Output Services Group, Inc.</w:t>
            </w: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Business Services</w:t>
            </w:r>
          </w:p>
        </w:tc>
        <w:tc>
          <w:tcPr>
            <w:tcW w:w="30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3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2,548</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100 Challenger Road #303</w:t>
            </w: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L+450, 03/27/2024</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Ridgefield Park, NJ 07660</w:t>
            </w: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Ox Two, LLC</w:t>
            </w:r>
          </w:p>
        </w:tc>
        <w:tc>
          <w:tcPr>
            <w:tcW w:w="17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Construction and</w:t>
            </w:r>
          </w:p>
        </w:tc>
        <w:tc>
          <w:tcPr>
            <w:tcW w:w="30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34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13,289</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700 Centreville Rd.</w:t>
            </w:r>
          </w:p>
        </w:tc>
        <w:tc>
          <w:tcPr>
            <w:tcW w:w="17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rPr>
              <w:t>Building</w:t>
            </w: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L+625, 02/27/2023</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Constantine, MI 49042</w:t>
            </w:r>
          </w:p>
        </w:tc>
        <w:tc>
          <w:tcPr>
            <w:tcW w:w="1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Arial" w:cs="Arial" w:eastAsia="Arial" w:hAnsi="Arial"/>
                <w:sz w:val="14"/>
                <w:szCs w:val="14"/>
                <w:color w:val="auto"/>
              </w:rPr>
              <w:t>Peninsula Pacific Entertainment LLC</w:t>
            </w: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Hotel, Gaming and</w:t>
            </w:r>
          </w:p>
        </w:tc>
        <w:tc>
          <w:tcPr>
            <w:tcW w:w="30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3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13,276</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10515 Colonial Downs Parkway</w:t>
            </w: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Leisure</w:t>
            </w:r>
          </w:p>
        </w:tc>
        <w:tc>
          <w:tcPr>
            <w:tcW w:w="3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L+725, 11/13/2024</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New Kent, VA 23124</w:t>
            </w: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Pestell Minerals and Ingredients Inc.</w:t>
            </w:r>
            <w:r>
              <w:rPr>
                <w:rFonts w:ascii="Arial" w:cs="Arial" w:eastAsia="Arial" w:hAnsi="Arial"/>
                <w:sz w:val="8"/>
                <w:szCs w:val="8"/>
                <w:color w:val="auto"/>
              </w:rPr>
              <w:t>(3)</w:t>
            </w:r>
          </w:p>
        </w:tc>
        <w:tc>
          <w:tcPr>
            <w:tcW w:w="17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Beverage, Food and</w:t>
            </w:r>
          </w:p>
        </w:tc>
        <w:tc>
          <w:tcPr>
            <w:tcW w:w="30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34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14,739</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141 Hamilton Road</w:t>
            </w:r>
          </w:p>
        </w:tc>
        <w:tc>
          <w:tcPr>
            <w:tcW w:w="17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L+525, 06/01/2023</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Hamburg, Ontario, Canada N3A 2H1</w:t>
            </w:r>
          </w:p>
        </w:tc>
        <w:tc>
          <w:tcPr>
            <w:tcW w:w="1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Arial" w:cs="Arial" w:eastAsia="Arial" w:hAnsi="Arial"/>
                <w:sz w:val="14"/>
                <w:szCs w:val="14"/>
                <w:color w:val="auto"/>
              </w:rPr>
              <w:t>PlayPower, Inc.</w:t>
            </w: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Leisure Products</w:t>
            </w:r>
          </w:p>
        </w:tc>
        <w:tc>
          <w:tcPr>
            <w:tcW w:w="30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3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5,579</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11515 Vanstory Drive, Suite 100</w:t>
            </w: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L+550, 05/08/2026</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Huntersville, NC 28078</w:t>
            </w: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PRA Events, Inc.</w:t>
            </w:r>
          </w:p>
        </w:tc>
        <w:tc>
          <w:tcPr>
            <w:tcW w:w="17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Business Services</w:t>
            </w:r>
          </w:p>
        </w:tc>
        <w:tc>
          <w:tcPr>
            <w:tcW w:w="30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34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3,846</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(Allied) Investment Holdings, LLC)</w:t>
            </w:r>
          </w:p>
        </w:tc>
        <w:tc>
          <w:tcPr>
            <w:tcW w:w="1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L+700, 08/08/2022</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North LaSalle Street</w:t>
            </w:r>
          </w:p>
        </w:tc>
        <w:tc>
          <w:tcPr>
            <w:tcW w:w="1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8"/>
                <w:szCs w:val="8"/>
                <w:color w:val="auto"/>
                <w:w w:val="96"/>
              </w:rPr>
              <w:t>(5)</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 60602</w:t>
            </w:r>
          </w:p>
        </w:tc>
        <w:tc>
          <w:tcPr>
            <w:tcW w:w="1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Arial" w:cs="Arial" w:eastAsia="Arial" w:hAnsi="Arial"/>
                <w:sz w:val="14"/>
                <w:szCs w:val="14"/>
                <w:color w:val="auto"/>
              </w:rPr>
              <w:t>PT Network, LLC</w:t>
            </w: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Healthcare and</w:t>
            </w:r>
          </w:p>
        </w:tc>
        <w:tc>
          <w:tcPr>
            <w:tcW w:w="30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Second Lien Secured Debt, 3M L+1,000 PIK,</w:t>
            </w:r>
          </w:p>
        </w:tc>
        <w:tc>
          <w:tcPr>
            <w:tcW w:w="1340" w:type="dxa"/>
            <w:vAlign w:val="bottom"/>
            <w:gridSpan w:val="2"/>
          </w:tcPr>
          <w:p>
            <w:pPr>
              <w:ind w:left="620"/>
              <w:spacing w:after="0"/>
              <w:rPr>
                <w:sz w:val="20"/>
                <w:szCs w:val="20"/>
                <w:color w:val="auto"/>
              </w:rPr>
            </w:pPr>
            <w:r>
              <w:rPr>
                <w:rFonts w:ascii="Arial" w:cs="Arial" w:eastAsia="Arial" w:hAnsi="Arial"/>
                <w:sz w:val="14"/>
                <w:szCs w:val="14"/>
                <w:color w:val="auto"/>
              </w:rPr>
              <w:t>2.5%</w:t>
            </w:r>
            <w:r>
              <w:rPr>
                <w:rFonts w:ascii="Arial" w:cs="Arial" w:eastAsia="Arial" w:hAnsi="Arial"/>
                <w:sz w:val="8"/>
                <w:szCs w:val="8"/>
                <w:color w:val="auto"/>
              </w:rPr>
              <w:t>(6)</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2,897</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(PT Network Intermediate Holdings, LLC)</w:t>
            </w:r>
          </w:p>
        </w:tc>
        <w:tc>
          <w:tcPr>
            <w:tcW w:w="17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2780" w:type="dxa"/>
            <w:vAlign w:val="bottom"/>
          </w:tcPr>
          <w:p>
            <w:pPr>
              <w:jc w:val="center"/>
              <w:spacing w:after="0" w:line="149" w:lineRule="exact"/>
              <w:rPr>
                <w:sz w:val="20"/>
                <w:szCs w:val="20"/>
                <w:color w:val="auto"/>
              </w:rPr>
            </w:pPr>
            <w:r>
              <w:rPr>
                <w:rFonts w:ascii="Arial" w:cs="Arial" w:eastAsia="Arial" w:hAnsi="Arial"/>
                <w:sz w:val="14"/>
                <w:szCs w:val="14"/>
                <w:color w:val="auto"/>
                <w:w w:val="94"/>
              </w:rPr>
              <w:t>11/30/2024</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(CI (PTN) Investment Holdings II, LLC)</w:t>
            </w: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Preferred Equity</w:t>
            </w:r>
            <w:r>
              <w:rPr>
                <w:rFonts w:ascii="Arial" w:cs="Arial" w:eastAsia="Arial" w:hAnsi="Arial"/>
                <w:sz w:val="8"/>
                <w:szCs w:val="8"/>
                <w:color w:val="auto"/>
                <w:w w:val="95"/>
              </w:rPr>
              <w:t>(5)</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501 Fairmount Avenue</w:t>
            </w: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8"/>
                <w:szCs w:val="8"/>
                <w:color w:val="auto"/>
                <w:w w:val="96"/>
              </w:rPr>
              <w:t>(5)</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Towson, MD 21286</w:t>
            </w: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Quantum Spatial, Inc.</w:t>
            </w:r>
          </w:p>
        </w:tc>
        <w:tc>
          <w:tcPr>
            <w:tcW w:w="17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Aerospace and Defense</w:t>
            </w:r>
          </w:p>
        </w:tc>
        <w:tc>
          <w:tcPr>
            <w:tcW w:w="30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34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18,715</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421 SW 6th Ave #800</w:t>
            </w:r>
          </w:p>
        </w:tc>
        <w:tc>
          <w:tcPr>
            <w:tcW w:w="1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L+525, 09/04/2024</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Portland, OR 97204</w:t>
            </w:r>
          </w:p>
        </w:tc>
        <w:tc>
          <w:tcPr>
            <w:tcW w:w="1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Arial" w:cs="Arial" w:eastAsia="Arial" w:hAnsi="Arial"/>
                <w:sz w:val="14"/>
                <w:szCs w:val="14"/>
                <w:color w:val="auto"/>
              </w:rPr>
              <w:t>Questex, LLC</w:t>
            </w: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Media: Diversified and</w:t>
            </w:r>
          </w:p>
        </w:tc>
        <w:tc>
          <w:tcPr>
            <w:tcW w:w="30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3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7,339</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275 Grove Street, Suite 2-130</w:t>
            </w: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Production</w:t>
            </w:r>
          </w:p>
        </w:tc>
        <w:tc>
          <w:tcPr>
            <w:tcW w:w="3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L+500, 09/09/2024</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Newton, MA 02466</w:t>
            </w: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Research Horizons, LLC</w:t>
            </w:r>
          </w:p>
        </w:tc>
        <w:tc>
          <w:tcPr>
            <w:tcW w:w="17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7"/>
              </w:rPr>
              <w:t>Media: Advertising,</w:t>
            </w:r>
          </w:p>
        </w:tc>
        <w:tc>
          <w:tcPr>
            <w:tcW w:w="30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34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7,097</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1140 Broadway, Suite 1002</w:t>
            </w:r>
          </w:p>
        </w:tc>
        <w:tc>
          <w:tcPr>
            <w:tcW w:w="17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Printing and Publishing</w:t>
            </w: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L+625, 06/28/2022</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10001</w:t>
            </w:r>
          </w:p>
        </w:tc>
        <w:tc>
          <w:tcPr>
            <w:tcW w:w="1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280"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Type of Investment,</w:t>
            </w: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080" w:type="dxa"/>
            <w:vAlign w:val="bottom"/>
            <w:gridSpan w:val="2"/>
            <w:vMerge w:val="continue"/>
          </w:tcPr>
          <w:p>
            <w:pPr>
              <w:spacing w:after="0"/>
              <w:rPr>
                <w:sz w:val="12"/>
                <w:szCs w:val="12"/>
                <w:color w:val="auto"/>
              </w:rPr>
            </w:pPr>
          </w:p>
        </w:tc>
        <w:tc>
          <w:tcPr>
            <w:tcW w:w="1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Nature of Business</w:t>
            </w:r>
          </w:p>
        </w:tc>
        <w:tc>
          <w:tcPr>
            <w:tcW w:w="3120" w:type="dxa"/>
            <w:vAlign w:val="bottom"/>
            <w:gridSpan w:val="2"/>
            <w:vMerge w:val="continue"/>
          </w:tcPr>
          <w:p>
            <w:pPr>
              <w:spacing w:after="0"/>
              <w:rPr>
                <w:sz w:val="12"/>
                <w:szCs w:val="12"/>
                <w:color w:val="auto"/>
              </w:rPr>
            </w:pPr>
          </w:p>
        </w:tc>
        <w:tc>
          <w:tcPr>
            <w:tcW w:w="124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0"/>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20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3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8"/>
                <w:szCs w:val="8"/>
                <w:b w:val="1"/>
                <w:bCs w:val="1"/>
                <w:color w:val="auto"/>
                <w:w w:val="97"/>
              </w:rPr>
              <w:t>(1)</w:t>
            </w:r>
            <w:r>
              <w:rPr>
                <w:rFonts w:ascii="Arial" w:cs="Arial" w:eastAsia="Arial" w:hAnsi="Arial"/>
                <w:sz w:val="14"/>
                <w:szCs w:val="14"/>
                <w:b w:val="1"/>
                <w:bCs w:val="1"/>
                <w:color w:val="auto"/>
                <w:w w:val="97"/>
              </w:rPr>
              <w:t>, Maturity</w:t>
            </w: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8"/>
                <w:szCs w:val="8"/>
                <w:b w:val="1"/>
                <w:bCs w:val="1"/>
                <w:color w:val="auto"/>
                <w:w w:val="94"/>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9"/>
        </w:trPr>
        <w:tc>
          <w:tcPr>
            <w:tcW w:w="408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Research Now Group, Inc. and Survey Sampling International</w:t>
            </w:r>
          </w:p>
        </w:tc>
        <w:tc>
          <w:tcPr>
            <w:tcW w:w="16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Business Services</w:t>
            </w:r>
          </w:p>
        </w:tc>
        <w:tc>
          <w:tcPr>
            <w:tcW w:w="280" w:type="dxa"/>
            <w:vAlign w:val="bottom"/>
            <w:tcBorders>
              <w:top w:val="single" w:sz="8" w:color="CCEEFF"/>
            </w:tcBorders>
            <w:shd w:val="clear" w:color="auto" w:fill="CCEEFF"/>
          </w:tcPr>
          <w:p>
            <w:pPr>
              <w:spacing w:after="0"/>
              <w:rPr>
                <w:sz w:val="9"/>
                <w:szCs w:val="9"/>
                <w:color w:val="auto"/>
              </w:rPr>
            </w:pPr>
          </w:p>
        </w:tc>
        <w:tc>
          <w:tcPr>
            <w:tcW w:w="28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 3M L+550, 12/20/2024</w:t>
            </w:r>
          </w:p>
        </w:tc>
        <w:tc>
          <w:tcPr>
            <w:tcW w:w="2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ind w:left="580"/>
              <w:spacing w:after="0" w:line="109"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w:t>
            </w:r>
          </w:p>
        </w:tc>
        <w:tc>
          <w:tcPr>
            <w:tcW w:w="7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24,601</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4080" w:type="dxa"/>
            <w:vAlign w:val="bottom"/>
            <w:gridSpan w:val="2"/>
            <w:shd w:val="clear" w:color="auto" w:fill="CCEEFF"/>
          </w:tcPr>
          <w:p>
            <w:pPr>
              <w:ind w:left="160"/>
              <w:spacing w:after="0" w:line="143" w:lineRule="exact"/>
              <w:rPr>
                <w:sz w:val="20"/>
                <w:szCs w:val="20"/>
                <w:color w:val="auto"/>
              </w:rPr>
            </w:pPr>
            <w:r>
              <w:rPr>
                <w:rFonts w:ascii="Arial" w:cs="Arial" w:eastAsia="Arial" w:hAnsi="Arial"/>
                <w:sz w:val="14"/>
                <w:szCs w:val="14"/>
                <w:color w:val="auto"/>
              </w:rPr>
              <w:t>LLC</w:t>
            </w:r>
          </w:p>
        </w:tc>
        <w:tc>
          <w:tcPr>
            <w:tcW w:w="1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5800 Tennyson Parkway, Suite 600</w:t>
            </w:r>
          </w:p>
        </w:tc>
        <w:tc>
          <w:tcPr>
            <w:tcW w:w="1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Riverpoint Medical, LLC</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Healthcare Equipment and</w:t>
            </w:r>
          </w:p>
        </w:tc>
        <w:tc>
          <w:tcPr>
            <w:tcW w:w="31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4,957</w:t>
            </w: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825 NE 25th Avenue</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Supplies</w:t>
            </w:r>
          </w:p>
        </w:tc>
        <w:tc>
          <w:tcPr>
            <w:tcW w:w="31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3M L+500, 06/20/2025</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Portland, OR 97232</w:t>
            </w: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Salient CRGT Inc.</w:t>
            </w:r>
          </w:p>
        </w:tc>
        <w:tc>
          <w:tcPr>
            <w:tcW w:w="18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High Tech Industries</w:t>
            </w:r>
          </w:p>
        </w:tc>
        <w:tc>
          <w:tcPr>
            <w:tcW w:w="31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 1M L+600, 02/28/2022</w:t>
            </w:r>
          </w:p>
        </w:tc>
        <w:tc>
          <w:tcPr>
            <w:tcW w:w="124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4000 Legato Road, Suite 600</w:t>
            </w:r>
          </w:p>
        </w:tc>
        <w:tc>
          <w:tcPr>
            <w:tcW w:w="1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Fairfax, VA 22033</w:t>
            </w: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Schlesinger Global, Inc.</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Professional Services</w:t>
            </w:r>
          </w:p>
        </w:tc>
        <w:tc>
          <w:tcPr>
            <w:tcW w:w="31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40" w:type="dxa"/>
            <w:vAlign w:val="bottom"/>
            <w:gridSpan w:val="2"/>
          </w:tcPr>
          <w:p>
            <w:pPr>
              <w:ind w:left="620"/>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19,327</w:t>
            </w: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(Gauge Schlesinger Coinvest, LLC)</w:t>
            </w: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1M L+500, 07/14/2025</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101 Wood Avenue South, Suite 501</w:t>
            </w: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Iselin, NJ 08830</w:t>
            </w: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Signature Systems Holding Company</w:t>
            </w:r>
          </w:p>
        </w:tc>
        <w:tc>
          <w:tcPr>
            <w:tcW w:w="188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Commercial Services &amp;</w:t>
            </w:r>
          </w:p>
        </w:tc>
        <w:tc>
          <w:tcPr>
            <w:tcW w:w="31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4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14,174</w:t>
            </w: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(Signature CR Intermediate Holdco, Inc.)</w:t>
            </w:r>
          </w:p>
        </w:tc>
        <w:tc>
          <w:tcPr>
            <w:tcW w:w="18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89"/>
              </w:rPr>
              <w:t>Supplies</w:t>
            </w:r>
          </w:p>
        </w:tc>
        <w:tc>
          <w:tcPr>
            <w:tcW w:w="31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1M L+650, 05/03/2024</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Lakeside Parkway, Suite 150</w:t>
            </w:r>
          </w:p>
        </w:tc>
        <w:tc>
          <w:tcPr>
            <w:tcW w:w="1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Flower Mound, TX 75028</w:t>
            </w: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Smile Brands Inc.</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Healthcare and</w:t>
            </w:r>
          </w:p>
        </w:tc>
        <w:tc>
          <w:tcPr>
            <w:tcW w:w="31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2,305</w:t>
            </w: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100 Spectrum Center Drive</w:t>
            </w: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Pharmaceuticals</w:t>
            </w:r>
          </w:p>
        </w:tc>
        <w:tc>
          <w:tcPr>
            <w:tcW w:w="31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1M L+450, 10/14/2024</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Irvine, CA 92618</w:t>
            </w: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Snak Club, LLC</w:t>
            </w:r>
          </w:p>
        </w:tc>
        <w:tc>
          <w:tcPr>
            <w:tcW w:w="18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1"/>
              </w:rPr>
              <w:t>Beverage, Food and</w:t>
            </w:r>
          </w:p>
        </w:tc>
        <w:tc>
          <w:tcPr>
            <w:tcW w:w="31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4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5560 E Slauson Ave</w:t>
            </w:r>
          </w:p>
        </w:tc>
        <w:tc>
          <w:tcPr>
            <w:tcW w:w="18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89"/>
              </w:rPr>
              <w:t>Tobacco</w:t>
            </w:r>
          </w:p>
        </w:tc>
        <w:tc>
          <w:tcPr>
            <w:tcW w:w="31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3M L+600, 07/19/2021</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Commerce, CA 90040</w:t>
            </w: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Solutionreach, Inc.</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Healthcare Technology</w:t>
            </w:r>
          </w:p>
        </w:tc>
        <w:tc>
          <w:tcPr>
            <w:tcW w:w="31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 3M L+575, 01/17/2024</w:t>
            </w:r>
          </w:p>
        </w:tc>
        <w:tc>
          <w:tcPr>
            <w:tcW w:w="12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13,061</w:t>
            </w: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2600 N. Ashton Blvd.</w:t>
            </w: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Lehi, UT 84043</w:t>
            </w: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SSC Dominion Holdings, LLC</w:t>
            </w:r>
          </w:p>
        </w:tc>
        <w:tc>
          <w:tcPr>
            <w:tcW w:w="18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Capital Equipment</w:t>
            </w:r>
          </w:p>
        </w:tc>
        <w:tc>
          <w:tcPr>
            <w:tcW w:w="31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Common Equity</w:t>
            </w:r>
          </w:p>
        </w:tc>
        <w:tc>
          <w:tcPr>
            <w:tcW w:w="124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215 Spadina Ave, Suite 200</w:t>
            </w:r>
          </w:p>
        </w:tc>
        <w:tc>
          <w:tcPr>
            <w:tcW w:w="1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Toronto, ON MST 2C7</w:t>
            </w: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TeleGuam Holdings, LLC</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Telecommunications</w:t>
            </w:r>
          </w:p>
        </w:tc>
        <w:tc>
          <w:tcPr>
            <w:tcW w:w="31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 1M L+500, 07/25/2023</w:t>
            </w:r>
          </w:p>
        </w:tc>
        <w:tc>
          <w:tcPr>
            <w:tcW w:w="12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7,399</w:t>
            </w: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624 North Marine Corps Drive</w:t>
            </w: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Tamuning, Guam 96913</w:t>
            </w: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Teneo Holdings LLC</w:t>
            </w:r>
          </w:p>
        </w:tc>
        <w:tc>
          <w:tcPr>
            <w:tcW w:w="188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7"/>
              </w:rPr>
              <w:t>Diversified Financial</w:t>
            </w:r>
          </w:p>
        </w:tc>
        <w:tc>
          <w:tcPr>
            <w:tcW w:w="31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 1M L+525, 07/18/2025</w:t>
            </w:r>
          </w:p>
        </w:tc>
        <w:tc>
          <w:tcPr>
            <w:tcW w:w="124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9,525</w:t>
            </w: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280 Park Avenue, 4th Floor</w:t>
            </w:r>
          </w:p>
        </w:tc>
        <w:tc>
          <w:tcPr>
            <w:tcW w:w="18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89"/>
              </w:rPr>
              <w:t>Services</w:t>
            </w: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10017</w:t>
            </w: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Tensar Corporation</w:t>
            </w:r>
          </w:p>
        </w:tc>
        <w:tc>
          <w:tcPr>
            <w:tcW w:w="188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Construction and Buildings</w:t>
            </w:r>
          </w:p>
        </w:tc>
        <w:tc>
          <w:tcPr>
            <w:tcW w:w="31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 3M L+475, 07/09/2021</w:t>
            </w:r>
          </w:p>
        </w:tc>
        <w:tc>
          <w:tcPr>
            <w:tcW w:w="12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21,716</w:t>
            </w: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2500 Northwinds Parkway, Ste. 500</w:t>
            </w: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Alpharetta, GA 30009</w:t>
            </w: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The Infosoft Group, LLC</w:t>
            </w:r>
          </w:p>
        </w:tc>
        <w:tc>
          <w:tcPr>
            <w:tcW w:w="18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Media: Broadcasting and</w:t>
            </w:r>
          </w:p>
        </w:tc>
        <w:tc>
          <w:tcPr>
            <w:tcW w:w="31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 3M L+525, 09/16/2024</w:t>
            </w:r>
          </w:p>
        </w:tc>
        <w:tc>
          <w:tcPr>
            <w:tcW w:w="124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18,978</w:t>
            </w: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InfosoftCoInvest, LLC)</w:t>
            </w:r>
          </w:p>
        </w:tc>
        <w:tc>
          <w:tcPr>
            <w:tcW w:w="18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3"/>
              </w:rPr>
              <w:t>Subscription</w:t>
            </w:r>
          </w:p>
        </w:tc>
        <w:tc>
          <w:tcPr>
            <w:tcW w:w="31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1000 North Water Street, Suite 1100</w:t>
            </w:r>
          </w:p>
        </w:tc>
        <w:tc>
          <w:tcPr>
            <w:tcW w:w="1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Milwaukee, WI 53202</w:t>
            </w: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The Original Cakerie, Co.</w:t>
            </w:r>
            <w:r>
              <w:rPr>
                <w:rFonts w:ascii="Arial" w:cs="Arial" w:eastAsia="Arial" w:hAnsi="Arial"/>
                <w:sz w:val="8"/>
                <w:szCs w:val="8"/>
                <w:color w:val="auto"/>
              </w:rPr>
              <w:t>(3)</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Consumer Goods:</w:t>
            </w:r>
          </w:p>
        </w:tc>
        <w:tc>
          <w:tcPr>
            <w:tcW w:w="31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13,154</w:t>
            </w: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The Original Cakerie Ltd.</w:t>
            </w:r>
            <w:r>
              <w:rPr>
                <w:rFonts w:ascii="Arial" w:cs="Arial" w:eastAsia="Arial" w:hAnsi="Arial"/>
                <w:sz w:val="8"/>
                <w:szCs w:val="8"/>
                <w:color w:val="auto"/>
              </w:rPr>
              <w:t>(3)</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Non-Durable</w:t>
            </w:r>
          </w:p>
        </w:tc>
        <w:tc>
          <w:tcPr>
            <w:tcW w:w="31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The Original Cakerie, Co.</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1345 Cliveden Ave</w:t>
            </w: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(2M L+500, 07/20/2022),</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Delta, BC V3M 6C7, Canada</w:t>
            </w: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The Original Cakerie, Ltd.</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2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(2M L+450, 07/20/2022)</w:t>
            </w: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TPC Broadband Investors, LP</w:t>
            </w:r>
            <w:r>
              <w:rPr>
                <w:rFonts w:ascii="Arial" w:cs="Arial" w:eastAsia="Arial" w:hAnsi="Arial"/>
                <w:sz w:val="8"/>
                <w:szCs w:val="8"/>
                <w:color w:val="auto"/>
              </w:rPr>
              <w:t>(5)</w:t>
            </w:r>
          </w:p>
        </w:tc>
        <w:tc>
          <w:tcPr>
            <w:tcW w:w="18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Telecommunications</w:t>
            </w:r>
          </w:p>
        </w:tc>
        <w:tc>
          <w:tcPr>
            <w:tcW w:w="31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8"/>
                <w:szCs w:val="8"/>
                <w:color w:val="auto"/>
                <w:w w:val="96"/>
              </w:rPr>
              <w:t>(4)</w:t>
            </w:r>
          </w:p>
        </w:tc>
        <w:tc>
          <w:tcPr>
            <w:tcW w:w="124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1,590</w:t>
            </w: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12409 NW 35 Street</w:t>
            </w:r>
          </w:p>
        </w:tc>
        <w:tc>
          <w:tcPr>
            <w:tcW w:w="1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Coral Springs, FL 33065</w:t>
            </w: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280"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Type of Investment,</w:t>
            </w: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120" w:type="dxa"/>
            <w:vAlign w:val="bottom"/>
            <w:gridSpan w:val="2"/>
            <w:vMerge w:val="continue"/>
          </w:tcPr>
          <w:p>
            <w:pPr>
              <w:spacing w:after="0"/>
              <w:rPr>
                <w:sz w:val="12"/>
                <w:szCs w:val="12"/>
                <w:color w:val="auto"/>
              </w:rPr>
            </w:pPr>
          </w:p>
        </w:tc>
        <w:tc>
          <w:tcPr>
            <w:tcW w:w="1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Nature of Business</w:t>
            </w:r>
          </w:p>
        </w:tc>
        <w:tc>
          <w:tcPr>
            <w:tcW w:w="3040" w:type="dxa"/>
            <w:vAlign w:val="bottom"/>
            <w:gridSpan w:val="2"/>
            <w:vMerge w:val="continue"/>
          </w:tcPr>
          <w:p>
            <w:pPr>
              <w:spacing w:after="0"/>
              <w:rPr>
                <w:sz w:val="12"/>
                <w:szCs w:val="12"/>
                <w:color w:val="auto"/>
              </w:rPr>
            </w:pPr>
          </w:p>
        </w:tc>
        <w:tc>
          <w:tcPr>
            <w:tcW w:w="134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90"/>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24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3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Interest</w:t>
            </w:r>
            <w:r>
              <w:rPr>
                <w:rFonts w:ascii="Arial" w:cs="Arial" w:eastAsia="Arial" w:hAnsi="Arial"/>
                <w:sz w:val="8"/>
                <w:szCs w:val="8"/>
                <w:b w:val="1"/>
                <w:bCs w:val="1"/>
                <w:color w:val="auto"/>
                <w:w w:val="99"/>
              </w:rPr>
              <w:t>(1)</w:t>
            </w:r>
            <w:r>
              <w:rPr>
                <w:rFonts w:ascii="Arial" w:cs="Arial" w:eastAsia="Arial" w:hAnsi="Arial"/>
                <w:sz w:val="14"/>
                <w:szCs w:val="14"/>
                <w:b w:val="1"/>
                <w:bCs w:val="1"/>
                <w:color w:val="auto"/>
                <w:w w:val="99"/>
              </w:rPr>
              <w:t>, Maturity</w:t>
            </w: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8"/>
                <w:szCs w:val="8"/>
                <w:b w:val="1"/>
                <w:bCs w:val="1"/>
                <w:color w:val="auto"/>
                <w:w w:val="94"/>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8"/>
        </w:trPr>
        <w:tc>
          <w:tcPr>
            <w:tcW w:w="412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Triad Manufacturing, Inc.</w:t>
            </w:r>
          </w:p>
        </w:tc>
        <w:tc>
          <w:tcPr>
            <w:tcW w:w="15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Capital Equipment</w:t>
            </w:r>
          </w:p>
        </w:tc>
        <w:tc>
          <w:tcPr>
            <w:tcW w:w="260" w:type="dxa"/>
            <w:vAlign w:val="bottom"/>
            <w:tcBorders>
              <w:top w:val="single" w:sz="8" w:color="CCEEFF"/>
            </w:tcBorders>
            <w:shd w:val="clear" w:color="auto" w:fill="CCEEFF"/>
          </w:tcPr>
          <w:p>
            <w:pPr>
              <w:spacing w:after="0"/>
              <w:rPr>
                <w:sz w:val="9"/>
                <w:szCs w:val="9"/>
                <w:color w:val="auto"/>
              </w:rPr>
            </w:pPr>
          </w:p>
        </w:tc>
        <w:tc>
          <w:tcPr>
            <w:tcW w:w="27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ind w:left="580"/>
              <w:spacing w:after="0" w:line="109" w:lineRule="exact"/>
              <w:rPr>
                <w:sz w:val="20"/>
                <w:szCs w:val="20"/>
                <w:color w:val="auto"/>
              </w:rPr>
            </w:pPr>
            <w:r>
              <w:rPr>
                <w:rFonts w:ascii="Arial" w:cs="Arial" w:eastAsia="Arial" w:hAnsi="Arial"/>
                <w:sz w:val="12"/>
                <w:szCs w:val="12"/>
                <w:color w:val="auto"/>
              </w:rPr>
              <w:t>—</w:t>
            </w:r>
          </w:p>
        </w:tc>
        <w:tc>
          <w:tcPr>
            <w:tcW w:w="5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w:t>
            </w:r>
          </w:p>
        </w:tc>
        <w:tc>
          <w:tcPr>
            <w:tcW w:w="7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7,633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4321 Semple Avenue</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L+1,125, 12/28/2020</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 Louis, MO 63120</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2"/>
          </w:tcPr>
          <w:p>
            <w:pPr>
              <w:spacing w:after="0"/>
              <w:rPr>
                <w:sz w:val="20"/>
                <w:szCs w:val="20"/>
                <w:color w:val="auto"/>
              </w:rPr>
            </w:pPr>
            <w:r>
              <w:rPr>
                <w:rFonts w:ascii="Arial" w:cs="Arial" w:eastAsia="Arial" w:hAnsi="Arial"/>
                <w:sz w:val="14"/>
                <w:szCs w:val="14"/>
                <w:color w:val="auto"/>
              </w:rPr>
              <w:t>TVC Enterprises, LLC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Professional Services</w:t>
            </w:r>
          </w:p>
        </w:tc>
        <w:tc>
          <w:tcPr>
            <w:tcW w:w="30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340" w:type="dxa"/>
            <w:vAlign w:val="bottom"/>
            <w:gridSpan w:val="2"/>
          </w:tcPr>
          <w:p>
            <w:pPr>
              <w:jc w:val="right"/>
              <w:ind w:right="420"/>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6,796</w:t>
            </w: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(Gauge TVC Coinvest, LLC)</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L+550, 01/18/2024</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6100 Lake Forrest Drive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rPr>
              <w:t>Atlanta, GA 30328</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TWS Acquisition Corporation</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5"/>
              </w:rPr>
              <w:t>Diversified Consumer</w:t>
            </w:r>
          </w:p>
        </w:tc>
        <w:tc>
          <w:tcPr>
            <w:tcW w:w="30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34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7,690</w:t>
            </w: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 N. 44th Street #230</w:t>
            </w:r>
          </w:p>
        </w:tc>
        <w:tc>
          <w:tcPr>
            <w:tcW w:w="18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Services</w:t>
            </w: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L+625, 06/16/2025</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Phoenix, AZ 85034</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2"/>
          </w:tcPr>
          <w:p>
            <w:pPr>
              <w:spacing w:after="0"/>
              <w:rPr>
                <w:sz w:val="20"/>
                <w:szCs w:val="20"/>
                <w:color w:val="auto"/>
              </w:rPr>
            </w:pPr>
            <w:r>
              <w:rPr>
                <w:rFonts w:ascii="Arial" w:cs="Arial" w:eastAsia="Arial" w:hAnsi="Arial"/>
                <w:sz w:val="14"/>
                <w:szCs w:val="14"/>
                <w:color w:val="auto"/>
              </w:rPr>
              <w:t>Tyto Athene, LLC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Aerospace and Defense</w:t>
            </w:r>
          </w:p>
        </w:tc>
        <w:tc>
          <w:tcPr>
            <w:tcW w:w="30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340" w:type="dxa"/>
            <w:vAlign w:val="bottom"/>
            <w:gridSpan w:val="2"/>
          </w:tcPr>
          <w:p>
            <w:pPr>
              <w:jc w:val="right"/>
              <w:ind w:right="42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22,089</w:t>
            </w: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(NXOF Holdings, Inc.)</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L+575, 08/27/2024</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510 Spring St., #200</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rPr>
              <w:t>Herndon, VA 20170</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4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UBEO,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Capital Equipment</w:t>
            </w:r>
          </w:p>
        </w:tc>
        <w:tc>
          <w:tcPr>
            <w:tcW w:w="30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34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13,990</w:t>
            </w: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401 East Sonterra Blvd., Suite 350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L+450, 04/03/2024</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 Antonio, TX 78258</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2"/>
          </w:tcPr>
          <w:p>
            <w:pPr>
              <w:spacing w:after="0"/>
              <w:rPr>
                <w:sz w:val="20"/>
                <w:szCs w:val="20"/>
                <w:color w:val="auto"/>
              </w:rPr>
            </w:pPr>
            <w:r>
              <w:rPr>
                <w:rFonts w:ascii="Arial" w:cs="Arial" w:eastAsia="Arial" w:hAnsi="Arial"/>
                <w:sz w:val="14"/>
                <w:szCs w:val="14"/>
                <w:color w:val="auto"/>
              </w:rPr>
              <w:t>UniTek Global Services, Inc.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Telecommunications</w:t>
            </w:r>
          </w:p>
        </w:tc>
        <w:tc>
          <w:tcPr>
            <w:tcW w:w="30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340" w:type="dxa"/>
            <w:vAlign w:val="bottom"/>
            <w:gridSpan w:val="2"/>
          </w:tcPr>
          <w:p>
            <w:pPr>
              <w:jc w:val="right"/>
              <w:ind w:right="42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9,802</w:t>
            </w: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1777 Sentry Parkway West</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L+550, 08/20/2024</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Gwynedd Hall, Ste. 202</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Blue Bell, PA 19422</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Warrants</w:t>
            </w: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Med Acquisition, Inc.</w:t>
            </w:r>
          </w:p>
        </w:tc>
        <w:tc>
          <w:tcPr>
            <w:tcW w:w="18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Healthcare and</w:t>
            </w:r>
          </w:p>
        </w:tc>
        <w:tc>
          <w:tcPr>
            <w:tcW w:w="30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34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2,996</w:t>
            </w: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8260 NW 27</w:t>
            </w:r>
            <w:r>
              <w:rPr>
                <w:rFonts w:ascii="Arial" w:cs="Arial" w:eastAsia="Arial" w:hAnsi="Arial"/>
                <w:sz w:val="8"/>
                <w:szCs w:val="8"/>
                <w:color w:val="auto"/>
              </w:rPr>
              <w:t>th</w:t>
            </w:r>
            <w:r>
              <w:rPr>
                <w:rFonts w:ascii="Arial" w:cs="Arial" w:eastAsia="Arial" w:hAnsi="Arial"/>
                <w:sz w:val="14"/>
                <w:szCs w:val="14"/>
                <w:color w:val="auto"/>
              </w:rPr>
              <w:t xml:space="preserve"> Street, Suite 401</w:t>
            </w:r>
          </w:p>
        </w:tc>
        <w:tc>
          <w:tcPr>
            <w:tcW w:w="18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L+900, 08/13/2021</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Doral, FL 33122</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2"/>
          </w:tcPr>
          <w:p>
            <w:pPr>
              <w:spacing w:after="0"/>
              <w:rPr>
                <w:sz w:val="20"/>
                <w:szCs w:val="20"/>
                <w:color w:val="auto"/>
              </w:rPr>
            </w:pPr>
            <w:r>
              <w:rPr>
                <w:rFonts w:ascii="Arial" w:cs="Arial" w:eastAsia="Arial" w:hAnsi="Arial"/>
                <w:sz w:val="14"/>
                <w:szCs w:val="14"/>
                <w:color w:val="auto"/>
              </w:rPr>
              <w:t>Vision Purchaser Corporation</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Media</w:t>
            </w:r>
          </w:p>
        </w:tc>
        <w:tc>
          <w:tcPr>
            <w:tcW w:w="30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3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3,407</w:t>
            </w: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7650 185th Street</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L+625, 06/10/2025</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rPr>
              <w:t>Tinley Park, IL 60477</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JWC-WE Holdings, L.P.</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Wholesale</w:t>
            </w:r>
          </w:p>
        </w:tc>
        <w:tc>
          <w:tcPr>
            <w:tcW w:w="30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8"/>
                <w:szCs w:val="8"/>
                <w:color w:val="auto"/>
                <w:w w:val="96"/>
              </w:rPr>
              <w:t>(5)</w:t>
            </w:r>
          </w:p>
        </w:tc>
        <w:tc>
          <w:tcPr>
            <w:tcW w:w="1340" w:type="dxa"/>
            <w:vAlign w:val="bottom"/>
            <w:gridSpan w:val="2"/>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3,596</w:t>
            </w: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4350 West 2100 South, Suite A</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Salt Lake City, UT 84120</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gridSpan w:val="2"/>
          </w:tcPr>
          <w:p>
            <w:pPr>
              <w:spacing w:after="0"/>
              <w:rPr>
                <w:sz w:val="20"/>
                <w:szCs w:val="20"/>
                <w:color w:val="auto"/>
              </w:rPr>
            </w:pPr>
            <w:r>
              <w:rPr>
                <w:rFonts w:ascii="Arial" w:cs="Arial" w:eastAsia="Arial" w:hAnsi="Arial"/>
                <w:sz w:val="14"/>
                <w:szCs w:val="14"/>
                <w:color w:val="auto"/>
              </w:rPr>
              <w:t>Whitney, Bradley &amp; Brown, Inc.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Aerospace and Defense</w:t>
            </w:r>
          </w:p>
        </w:tc>
        <w:tc>
          <w:tcPr>
            <w:tcW w:w="30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340" w:type="dxa"/>
            <w:vAlign w:val="bottom"/>
            <w:gridSpan w:val="2"/>
          </w:tcPr>
          <w:p>
            <w:pPr>
              <w:jc w:val="right"/>
              <w:ind w:right="42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5,686</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(WBB Equity, LLC)</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L+750, 10/18/2022</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11790 Sunrise Valley Drive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8"/>
                <w:szCs w:val="8"/>
                <w:color w:val="auto"/>
                <w:w w:val="96"/>
              </w:rPr>
              <w:t>(5)</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rPr>
              <w:t>Reston, VA 20191</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120" w:type="dxa"/>
            <w:vAlign w:val="bottom"/>
            <w:gridSpan w:val="2"/>
          </w:tcPr>
          <w:p>
            <w:pPr>
              <w:spacing w:after="0" w:line="130" w:lineRule="exact"/>
              <w:rPr>
                <w:sz w:val="20"/>
                <w:szCs w:val="20"/>
                <w:color w:val="auto"/>
              </w:rPr>
            </w:pPr>
            <w:r>
              <w:rPr>
                <w:rFonts w:ascii="Arial" w:cs="Arial" w:eastAsia="Arial" w:hAnsi="Arial"/>
                <w:sz w:val="14"/>
                <w:szCs w:val="14"/>
                <w:color w:val="auto"/>
              </w:rPr>
              <w:t>Country Fresh Holdings, LLC</w:t>
            </w:r>
          </w:p>
        </w:tc>
        <w:tc>
          <w:tcPr>
            <w:tcW w:w="1820" w:type="dxa"/>
            <w:vAlign w:val="bottom"/>
            <w:gridSpan w:val="2"/>
          </w:tcPr>
          <w:p>
            <w:pPr>
              <w:jc w:val="center"/>
              <w:ind w:right="260"/>
              <w:spacing w:after="0" w:line="130" w:lineRule="exact"/>
              <w:rPr>
                <w:sz w:val="20"/>
                <w:szCs w:val="20"/>
                <w:color w:val="auto"/>
              </w:rPr>
            </w:pPr>
            <w:r>
              <w:rPr>
                <w:rFonts w:ascii="Arial" w:cs="Arial" w:eastAsia="Arial" w:hAnsi="Arial"/>
                <w:sz w:val="14"/>
                <w:szCs w:val="14"/>
                <w:color w:val="auto"/>
                <w:w w:val="91"/>
              </w:rPr>
              <w:t>Beverage, Food and</w:t>
            </w:r>
          </w:p>
        </w:tc>
        <w:tc>
          <w:tcPr>
            <w:tcW w:w="304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340" w:type="dxa"/>
            <w:vAlign w:val="bottom"/>
            <w:gridSpan w:val="2"/>
          </w:tcPr>
          <w:p>
            <w:pPr>
              <w:jc w:val="right"/>
              <w:ind w:right="420"/>
              <w:spacing w:after="0" w:line="130" w:lineRule="exact"/>
              <w:rPr>
                <w:sz w:val="20"/>
                <w:szCs w:val="20"/>
                <w:color w:val="auto"/>
              </w:rPr>
            </w:pPr>
            <w:r>
              <w:rPr>
                <w:rFonts w:ascii="Arial" w:cs="Arial" w:eastAsia="Arial" w:hAnsi="Arial"/>
                <w:sz w:val="14"/>
                <w:szCs w:val="14"/>
                <w:color w:val="auto"/>
              </w:rPr>
              <w:t>8.0%</w:t>
            </w:r>
          </w:p>
        </w:tc>
        <w:tc>
          <w:tcPr>
            <w:tcW w:w="100" w:type="dxa"/>
            <w:vAlign w:val="bottom"/>
          </w:tcPr>
          <w:p>
            <w:pPr>
              <w:spacing w:after="0"/>
              <w:rPr>
                <w:sz w:val="11"/>
                <w:szCs w:val="11"/>
                <w:color w:val="auto"/>
              </w:rPr>
            </w:pPr>
          </w:p>
        </w:tc>
        <w:tc>
          <w:tcPr>
            <w:tcW w:w="82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14,492</w:t>
            </w: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(Country Fresh Holding Company Inc.)</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3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L+500, 05/01/2023</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15479 Pin Oaks Drive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Second Lien Secured Debt, 1M L+850 PIK,</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Conroe, TX 77384</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80" w:type="dxa"/>
            <w:vAlign w:val="bottom"/>
          </w:tcPr>
          <w:p>
            <w:pPr>
              <w:jc w:val="center"/>
              <w:spacing w:after="0" w:line="149" w:lineRule="exact"/>
              <w:rPr>
                <w:sz w:val="20"/>
                <w:szCs w:val="20"/>
                <w:color w:val="auto"/>
              </w:rPr>
            </w:pPr>
            <w:r>
              <w:rPr>
                <w:rFonts w:ascii="Arial" w:cs="Arial" w:eastAsia="Arial" w:hAnsi="Arial"/>
                <w:sz w:val="14"/>
                <w:szCs w:val="14"/>
                <w:color w:val="auto"/>
                <w:w w:val="94"/>
              </w:rPr>
              <w:t>04/29/2024</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4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Quick Weight Loss Centers,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Beverage, Food and</w:t>
            </w:r>
          </w:p>
        </w:tc>
        <w:tc>
          <w:tcPr>
            <w:tcW w:w="30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34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24.0%</w:t>
            </w:r>
            <w:r>
              <w:rPr>
                <w:rFonts w:ascii="Arial" w:cs="Arial" w:eastAsia="Arial" w:hAnsi="Arial"/>
                <w:sz w:val="8"/>
                <w:szCs w:val="8"/>
                <w:color w:val="auto"/>
              </w:rPr>
              <w:t>(6)</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5,939</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(Quick Weight Loss Centers Holdings, LLC)</w:t>
            </w:r>
          </w:p>
        </w:tc>
        <w:tc>
          <w:tcPr>
            <w:tcW w:w="18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4.0% fixed PIK, 10/12/2023</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3161 Mcnab Road</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2"/>
              </w:rPr>
              <w:t>Second Lien Secured Debt,</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Pompano Beach, FL 33069</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4.0% fixed PIK, 10/12/2023</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Preferred Equity</w:t>
            </w:r>
            <w:r>
              <w:rPr>
                <w:rFonts w:ascii="Arial" w:cs="Arial" w:eastAsia="Arial" w:hAnsi="Arial"/>
                <w:sz w:val="8"/>
                <w:szCs w:val="8"/>
                <w:color w:val="auto"/>
                <w:w w:val="95"/>
              </w:rPr>
              <w:t>(5)</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8"/>
                <w:szCs w:val="8"/>
                <w:color w:val="auto"/>
                <w:w w:val="96"/>
              </w:rPr>
              <w:t>(5)</w:t>
            </w: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280"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Type of Investment,</w:t>
            </w: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320" w:type="dxa"/>
            <w:vAlign w:val="bottom"/>
            <w:gridSpan w:val="2"/>
            <w:vMerge w:val="continue"/>
          </w:tcPr>
          <w:p>
            <w:pPr>
              <w:spacing w:after="0"/>
              <w:rPr>
                <w:sz w:val="12"/>
                <w:szCs w:val="12"/>
                <w:color w:val="auto"/>
              </w:rPr>
            </w:pPr>
          </w:p>
        </w:tc>
        <w:tc>
          <w:tcPr>
            <w:tcW w:w="1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Nature of Business</w:t>
            </w:r>
          </w:p>
        </w:tc>
        <w:tc>
          <w:tcPr>
            <w:tcW w:w="3060" w:type="dxa"/>
            <w:vAlign w:val="bottom"/>
            <w:gridSpan w:val="2"/>
            <w:vMerge w:val="continue"/>
          </w:tcPr>
          <w:p>
            <w:pPr>
              <w:spacing w:after="0"/>
              <w:rPr>
                <w:sz w:val="12"/>
                <w:szCs w:val="12"/>
                <w:color w:val="auto"/>
              </w:rPr>
            </w:pPr>
          </w:p>
        </w:tc>
        <w:tc>
          <w:tcPr>
            <w:tcW w:w="126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w w:val="90"/>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4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3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8"/>
                <w:szCs w:val="8"/>
                <w:b w:val="1"/>
                <w:bCs w:val="1"/>
                <w:color w:val="auto"/>
                <w:w w:val="97"/>
              </w:rPr>
              <w:t>(1)</w:t>
            </w:r>
            <w:r>
              <w:rPr>
                <w:rFonts w:ascii="Arial" w:cs="Arial" w:eastAsia="Arial" w:hAnsi="Arial"/>
                <w:sz w:val="14"/>
                <w:szCs w:val="14"/>
                <w:b w:val="1"/>
                <w:bCs w:val="1"/>
                <w:color w:val="auto"/>
                <w:w w:val="97"/>
              </w:rPr>
              <w:t>, Maturity</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8"/>
                <w:szCs w:val="8"/>
                <w:b w:val="1"/>
                <w:bCs w:val="1"/>
                <w:color w:val="auto"/>
                <w:w w:val="94"/>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22"/>
        </w:trPr>
        <w:tc>
          <w:tcPr>
            <w:tcW w:w="43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25% or More Owned</w:t>
            </w:r>
          </w:p>
        </w:tc>
        <w:tc>
          <w:tcPr>
            <w:tcW w:w="15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8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320" w:type="dxa"/>
            <w:vAlign w:val="bottom"/>
            <w:gridSpan w:val="2"/>
          </w:tcPr>
          <w:p>
            <w:pPr>
              <w:spacing w:after="0" w:line="130" w:lineRule="exact"/>
              <w:rPr>
                <w:sz w:val="20"/>
                <w:szCs w:val="20"/>
                <w:color w:val="auto"/>
              </w:rPr>
            </w:pPr>
            <w:r>
              <w:rPr>
                <w:rFonts w:ascii="Arial" w:cs="Arial" w:eastAsia="Arial" w:hAnsi="Arial"/>
                <w:sz w:val="14"/>
                <w:szCs w:val="14"/>
                <w:color w:val="auto"/>
              </w:rPr>
              <w:t>PennantPark Senior Secured Loan Fund I LLC</w:t>
            </w:r>
            <w:r>
              <w:rPr>
                <w:rFonts w:ascii="Arial" w:cs="Arial" w:eastAsia="Arial" w:hAnsi="Arial"/>
                <w:sz w:val="8"/>
                <w:szCs w:val="8"/>
                <w:color w:val="auto"/>
              </w:rPr>
              <w:t>(3)</w:t>
            </w:r>
          </w:p>
        </w:tc>
        <w:tc>
          <w:tcPr>
            <w:tcW w:w="16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Financial Services</w:t>
            </w:r>
          </w:p>
        </w:tc>
        <w:tc>
          <w:tcPr>
            <w:tcW w:w="30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8"/>
                <w:szCs w:val="8"/>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50.0%</w:t>
            </w:r>
            <w:r>
              <w:rPr>
                <w:rFonts w:ascii="Arial" w:cs="Arial" w:eastAsia="Arial" w:hAnsi="Arial"/>
                <w:sz w:val="8"/>
                <w:szCs w:val="8"/>
                <w:color w:val="auto"/>
              </w:rPr>
              <w:t>(6)</w:t>
            </w:r>
          </w:p>
        </w:tc>
        <w:tc>
          <w:tcPr>
            <w:tcW w:w="100" w:type="dxa"/>
            <w:vAlign w:val="bottom"/>
          </w:tcPr>
          <w:p>
            <w:pPr>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172,163</w:t>
            </w: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590 Madison Avenue, 15</w:t>
            </w:r>
            <w:r>
              <w:rPr>
                <w:rFonts w:ascii="Arial" w:cs="Arial" w:eastAsia="Arial" w:hAnsi="Arial"/>
                <w:sz w:val="8"/>
                <w:szCs w:val="8"/>
                <w:color w:val="auto"/>
              </w:rPr>
              <w:t>th</w:t>
            </w:r>
            <w:r>
              <w:rPr>
                <w:rFonts w:ascii="Arial" w:cs="Arial" w:eastAsia="Arial" w:hAnsi="Arial"/>
                <w:sz w:val="14"/>
                <w:szCs w:val="14"/>
                <w:color w:val="auto"/>
              </w:rPr>
              <w:t xml:space="preserve"> Floor</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3M L+800, 05/06/2024</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320" w:type="dxa"/>
            <w:vAlign w:val="bottom"/>
            <w:gridSpan w:val="2"/>
          </w:tcPr>
          <w:p>
            <w:pPr>
              <w:spacing w:after="0"/>
              <w:rPr>
                <w:sz w:val="20"/>
                <w:szCs w:val="20"/>
                <w:color w:val="auto"/>
              </w:rPr>
            </w:pPr>
            <w:r>
              <w:rPr>
                <w:rFonts w:ascii="Arial" w:cs="Arial" w:eastAsia="Arial" w:hAnsi="Arial"/>
                <w:sz w:val="14"/>
                <w:szCs w:val="14"/>
                <w:color w:val="auto"/>
              </w:rPr>
              <w:t>New York, NY 10022</w:t>
            </w: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Equity Interest</w:t>
            </w:r>
            <w:r>
              <w:rPr>
                <w:rFonts w:ascii="Arial" w:cs="Arial" w:eastAsia="Arial" w:hAnsi="Arial"/>
                <w:sz w:val="8"/>
                <w:szCs w:val="8"/>
                <w:color w:val="auto"/>
                <w:w w:val="96"/>
              </w:rPr>
              <w:t>(4)</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1,081,707</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886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ind w:left="460" w:right="20" w:hanging="452"/>
        <w:spacing w:after="0" w:line="243" w:lineRule="auto"/>
        <w:tabs>
          <w:tab w:leader="none" w:pos="4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Represents basis point spread above index for floating rate instruments that accrue interest at a predetermined spread relative to an index, typically the applicable London Interbank Offered Rate, or LIBOR or “L,” or Prime rate, or “P.” The spread may change based on the type of rate used. The terms disclosed are the actual interest rate in effect as of 9/30/19.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460" w:hanging="452"/>
        <w:spacing w:after="0" w:line="221"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460" w:right="260" w:hanging="452"/>
        <w:spacing w:after="0" w:line="221"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79% of our total assets and non-qualifying assets represent 21% of our total assets.</w:t>
      </w:r>
    </w:p>
    <w:p>
      <w:pPr>
        <w:ind w:left="460" w:right="260" w:hanging="452"/>
        <w:spacing w:after="0" w:line="221"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460" w:hanging="452"/>
        <w:spacing w:after="0" w:line="221"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Investment is held through our Taxable Subsidiary.</w:t>
      </w:r>
    </w:p>
    <w:p>
      <w:pPr>
        <w:ind w:left="460" w:hanging="452"/>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spacing w:after="0" w:line="196"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Industry Classification</w:t>
            </w:r>
          </w:p>
        </w:tc>
        <w:tc>
          <w:tcPr>
            <w:tcW w:w="3780" w:type="dxa"/>
            <w:vAlign w:val="bottom"/>
          </w:tcPr>
          <w:p>
            <w:pPr>
              <w:spacing w:after="0"/>
              <w:rPr>
                <w:sz w:val="14"/>
                <w:szCs w:val="14"/>
                <w:color w:val="auto"/>
              </w:rPr>
            </w:pPr>
          </w:p>
        </w:tc>
        <w:tc>
          <w:tcPr>
            <w:tcW w:w="2720" w:type="dxa"/>
            <w:vAlign w:val="bottom"/>
            <w:gridSpan w:val="2"/>
          </w:tcPr>
          <w:p>
            <w:pPr>
              <w:jc w:val="right"/>
              <w:ind w:right="1400"/>
              <w:spacing w:after="0"/>
              <w:rPr>
                <w:sz w:val="20"/>
                <w:szCs w:val="20"/>
                <w:color w:val="auto"/>
              </w:rPr>
            </w:pPr>
            <w:r>
              <w:rPr>
                <w:rFonts w:ascii="Arial" w:cs="Arial" w:eastAsia="Arial" w:hAnsi="Arial"/>
                <w:sz w:val="14"/>
                <w:szCs w:val="14"/>
                <w:b w:val="1"/>
                <w:bCs w:val="1"/>
                <w:color w:val="auto"/>
                <w:w w:val="92"/>
              </w:rPr>
              <w:t>September 30, 2019</w:t>
            </w:r>
            <w:r>
              <w:rPr>
                <w:rFonts w:ascii="Arial" w:cs="Arial" w:eastAsia="Arial" w:hAnsi="Arial"/>
                <w:sz w:val="8"/>
                <w:szCs w:val="8"/>
                <w:b w:val="1"/>
                <w:bCs w:val="1"/>
                <w:color w:val="auto"/>
                <w:w w:val="92"/>
              </w:rPr>
              <w:t>(1)</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September 30, 2018</w:t>
            </w:r>
            <w:r>
              <w:rPr>
                <w:rFonts w:ascii="Arial" w:cs="Arial" w:eastAsia="Arial" w:hAnsi="Arial"/>
                <w:sz w:val="8"/>
                <w:szCs w:val="8"/>
                <w:b w:val="1"/>
                <w:bCs w:val="1"/>
                <w:color w:val="auto"/>
                <w:w w:val="92"/>
              </w:rPr>
              <w:t>(1)</w:t>
            </w:r>
          </w:p>
        </w:tc>
        <w:tc>
          <w:tcPr>
            <w:tcW w:w="0" w:type="dxa"/>
            <w:vAlign w:val="bottom"/>
          </w:tcPr>
          <w:p>
            <w:pPr>
              <w:spacing w:after="0"/>
              <w:rPr>
                <w:sz w:val="1"/>
                <w:szCs w:val="1"/>
                <w:color w:val="auto"/>
              </w:rPr>
            </w:pPr>
          </w:p>
        </w:tc>
      </w:tr>
      <w:tr>
        <w:trPr>
          <w:trHeight w:val="20"/>
        </w:trPr>
        <w:tc>
          <w:tcPr>
            <w:tcW w:w="51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320" w:type="dxa"/>
            <w:vAlign w:val="bottom"/>
            <w:shd w:val="clear" w:color="auto" w:fill="000000"/>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gridSpan w:val="2"/>
            <w:vMerge w:val="continue"/>
            <w:shd w:val="clear" w:color="auto" w:fill="CCEEFF"/>
          </w:tcPr>
          <w:p>
            <w:pPr>
              <w:spacing w:after="0"/>
              <w:rPr>
                <w:sz w:val="17"/>
                <w:szCs w:val="17"/>
                <w:color w:val="auto"/>
              </w:rPr>
            </w:pPr>
          </w:p>
        </w:tc>
        <w:tc>
          <w:tcPr>
            <w:tcW w:w="2720" w:type="dxa"/>
            <w:vAlign w:val="bottom"/>
            <w:gridSpan w:val="2"/>
            <w:shd w:val="clear" w:color="auto" w:fill="CCEEFF"/>
          </w:tcPr>
          <w:p>
            <w:pPr>
              <w:jc w:val="right"/>
              <w:ind w:right="1260"/>
              <w:spacing w:after="0" w:line="203" w:lineRule="exact"/>
              <w:rPr>
                <w:sz w:val="20"/>
                <w:szCs w:val="20"/>
                <w:color w:val="auto"/>
              </w:rPr>
            </w:pPr>
            <w:r>
              <w:rPr>
                <w:rFonts w:ascii="Arial" w:cs="Arial" w:eastAsia="Arial" w:hAnsi="Arial"/>
                <w:sz w:val="18"/>
                <w:szCs w:val="18"/>
                <w:color w:val="auto"/>
              </w:rPr>
              <w:t>7%</w:t>
            </w:r>
          </w:p>
        </w:tc>
        <w:tc>
          <w:tcPr>
            <w:tcW w:w="15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Hotel, Gaming and Leisure</w:t>
            </w:r>
          </w:p>
        </w:tc>
        <w:tc>
          <w:tcPr>
            <w:tcW w:w="2720" w:type="dxa"/>
            <w:vAlign w:val="bottom"/>
            <w:gridSpan w:val="2"/>
          </w:tcPr>
          <w:p>
            <w:pPr>
              <w:jc w:val="right"/>
              <w:ind w:right="1400"/>
              <w:spacing w:after="0"/>
              <w:rPr>
                <w:sz w:val="20"/>
                <w:szCs w:val="20"/>
                <w:color w:val="auto"/>
              </w:rPr>
            </w:pPr>
            <w:r>
              <w:rPr>
                <w:rFonts w:ascii="Arial" w:cs="Arial" w:eastAsia="Arial" w:hAnsi="Arial"/>
                <w:sz w:val="18"/>
                <w:szCs w:val="18"/>
                <w:color w:val="auto"/>
              </w:rPr>
              <w:t>7</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7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6</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Healthcare and Pharmaceuticals</w:t>
            </w:r>
          </w:p>
        </w:tc>
        <w:tc>
          <w:tcPr>
            <w:tcW w:w="2720" w:type="dxa"/>
            <w:vAlign w:val="bottom"/>
            <w:gridSpan w:val="2"/>
          </w:tcPr>
          <w:p>
            <w:pPr>
              <w:jc w:val="right"/>
              <w:ind w:right="1400"/>
              <w:spacing w:after="0"/>
              <w:rPr>
                <w:sz w:val="20"/>
                <w:szCs w:val="20"/>
                <w:color w:val="auto"/>
              </w:rPr>
            </w:pPr>
            <w:r>
              <w:rPr>
                <w:rFonts w:ascii="Arial" w:cs="Arial" w:eastAsia="Arial" w:hAnsi="Arial"/>
                <w:sz w:val="18"/>
                <w:szCs w:val="18"/>
                <w:color w:val="auto"/>
              </w:rPr>
              <w:t>6</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7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5</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Capital Equipment</w:t>
            </w:r>
          </w:p>
        </w:tc>
        <w:tc>
          <w:tcPr>
            <w:tcW w:w="2720" w:type="dxa"/>
            <w:vAlign w:val="bottom"/>
            <w:gridSpan w:val="2"/>
          </w:tcPr>
          <w:p>
            <w:pPr>
              <w:jc w:val="right"/>
              <w:ind w:right="1400"/>
              <w:spacing w:after="0"/>
              <w:rPr>
                <w:sz w:val="20"/>
                <w:szCs w:val="20"/>
                <w:color w:val="auto"/>
              </w:rPr>
            </w:pPr>
            <w:r>
              <w:rPr>
                <w:rFonts w:ascii="Arial" w:cs="Arial" w:eastAsia="Arial" w:hAnsi="Arial"/>
                <w:sz w:val="18"/>
                <w:szCs w:val="18"/>
                <w:color w:val="auto"/>
              </w:rPr>
              <w:t>5</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7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5</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Media</w:t>
            </w:r>
          </w:p>
        </w:tc>
        <w:tc>
          <w:tcPr>
            <w:tcW w:w="2720" w:type="dxa"/>
            <w:vAlign w:val="bottom"/>
            <w:gridSpan w:val="2"/>
          </w:tcPr>
          <w:p>
            <w:pPr>
              <w:jc w:val="right"/>
              <w:ind w:right="1400"/>
              <w:spacing w:after="0"/>
              <w:rPr>
                <w:sz w:val="20"/>
                <w:szCs w:val="20"/>
                <w:color w:val="auto"/>
              </w:rPr>
            </w:pPr>
            <w:r>
              <w:rPr>
                <w:rFonts w:ascii="Arial" w:cs="Arial" w:eastAsia="Arial" w:hAnsi="Arial"/>
                <w:sz w:val="18"/>
                <w:szCs w:val="18"/>
                <w:color w:val="auto"/>
              </w:rPr>
              <w:t>5</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27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4</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Media: Diversified and Production</w:t>
            </w:r>
          </w:p>
        </w:tc>
        <w:tc>
          <w:tcPr>
            <w:tcW w:w="2720" w:type="dxa"/>
            <w:vAlign w:val="bottom"/>
            <w:gridSpan w:val="2"/>
          </w:tcPr>
          <w:p>
            <w:pPr>
              <w:jc w:val="right"/>
              <w:ind w:right="1400"/>
              <w:spacing w:after="0"/>
              <w:rPr>
                <w:sz w:val="20"/>
                <w:szCs w:val="20"/>
                <w:color w:val="auto"/>
              </w:rPr>
            </w:pPr>
            <w:r>
              <w:rPr>
                <w:rFonts w:ascii="Arial" w:cs="Arial" w:eastAsia="Arial" w:hAnsi="Arial"/>
                <w:sz w:val="18"/>
                <w:szCs w:val="18"/>
                <w:color w:val="auto"/>
              </w:rPr>
              <w:t>4</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7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4</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720" w:type="dxa"/>
            <w:vAlign w:val="bottom"/>
            <w:gridSpan w:val="2"/>
          </w:tcPr>
          <w:p>
            <w:pPr>
              <w:jc w:val="right"/>
              <w:ind w:right="1400"/>
              <w:spacing w:after="0"/>
              <w:rPr>
                <w:sz w:val="20"/>
                <w:szCs w:val="20"/>
                <w:color w:val="auto"/>
              </w:rPr>
            </w:pPr>
            <w:r>
              <w:rPr>
                <w:rFonts w:ascii="Arial" w:cs="Arial" w:eastAsia="Arial" w:hAnsi="Arial"/>
                <w:sz w:val="18"/>
                <w:szCs w:val="18"/>
                <w:color w:val="auto"/>
              </w:rPr>
              <w:t>3</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7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3</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Consumer Goods: Non-Durable</w:t>
            </w:r>
          </w:p>
        </w:tc>
        <w:tc>
          <w:tcPr>
            <w:tcW w:w="2720" w:type="dxa"/>
            <w:vAlign w:val="bottom"/>
            <w:gridSpan w:val="2"/>
          </w:tcPr>
          <w:p>
            <w:pPr>
              <w:jc w:val="right"/>
              <w:ind w:right="1400"/>
              <w:spacing w:after="0"/>
              <w:rPr>
                <w:sz w:val="20"/>
                <w:szCs w:val="20"/>
                <w:color w:val="auto"/>
              </w:rPr>
            </w:pPr>
            <w:r>
              <w:rPr>
                <w:rFonts w:ascii="Arial" w:cs="Arial" w:eastAsia="Arial" w:hAnsi="Arial"/>
                <w:sz w:val="18"/>
                <w:szCs w:val="18"/>
                <w:color w:val="auto"/>
              </w:rPr>
              <w:t>3</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7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3</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Diversified Financial Services</w:t>
            </w:r>
          </w:p>
        </w:tc>
        <w:tc>
          <w:tcPr>
            <w:tcW w:w="2720" w:type="dxa"/>
            <w:vAlign w:val="bottom"/>
            <w:gridSpan w:val="2"/>
          </w:tcPr>
          <w:p>
            <w:pPr>
              <w:jc w:val="right"/>
              <w:ind w:right="1400"/>
              <w:spacing w:after="0"/>
              <w:rPr>
                <w:sz w:val="20"/>
                <w:szCs w:val="20"/>
                <w:color w:val="auto"/>
              </w:rPr>
            </w:pPr>
            <w:r>
              <w:rPr>
                <w:rFonts w:ascii="Arial" w:cs="Arial" w:eastAsia="Arial" w:hAnsi="Arial"/>
                <w:sz w:val="18"/>
                <w:szCs w:val="18"/>
                <w:color w:val="auto"/>
              </w:rPr>
              <w:t>3</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7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3</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Wholesale</w:t>
            </w:r>
          </w:p>
        </w:tc>
        <w:tc>
          <w:tcPr>
            <w:tcW w:w="2720" w:type="dxa"/>
            <w:vAlign w:val="bottom"/>
            <w:gridSpan w:val="2"/>
          </w:tcPr>
          <w:p>
            <w:pPr>
              <w:jc w:val="right"/>
              <w:ind w:right="1400"/>
              <w:spacing w:after="0"/>
              <w:rPr>
                <w:sz w:val="20"/>
                <w:szCs w:val="20"/>
                <w:color w:val="auto"/>
              </w:rPr>
            </w:pPr>
            <w:r>
              <w:rPr>
                <w:rFonts w:ascii="Arial" w:cs="Arial" w:eastAsia="Arial" w:hAnsi="Arial"/>
                <w:sz w:val="18"/>
                <w:szCs w:val="18"/>
                <w:color w:val="auto"/>
              </w:rPr>
              <w:t>3</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27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2</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Building Products</w:t>
            </w:r>
          </w:p>
        </w:tc>
        <w:tc>
          <w:tcPr>
            <w:tcW w:w="2720" w:type="dxa"/>
            <w:vAlign w:val="bottom"/>
            <w:gridSpan w:val="2"/>
          </w:tcPr>
          <w:p>
            <w:pPr>
              <w:jc w:val="right"/>
              <w:ind w:right="1400"/>
              <w:spacing w:after="0"/>
              <w:rPr>
                <w:sz w:val="20"/>
                <w:szCs w:val="20"/>
                <w:color w:val="auto"/>
              </w:rPr>
            </w:pPr>
            <w:r>
              <w:rPr>
                <w:rFonts w:ascii="Arial" w:cs="Arial" w:eastAsia="Arial" w:hAnsi="Arial"/>
                <w:sz w:val="18"/>
                <w:szCs w:val="18"/>
                <w:color w:val="auto"/>
              </w:rPr>
              <w:t>2</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Services &amp; Supplies</w:t>
            </w:r>
          </w:p>
        </w:tc>
        <w:tc>
          <w:tcPr>
            <w:tcW w:w="27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2</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Hotels, Restaurants and Leisure</w:t>
            </w:r>
          </w:p>
        </w:tc>
        <w:tc>
          <w:tcPr>
            <w:tcW w:w="2720" w:type="dxa"/>
            <w:vAlign w:val="bottom"/>
            <w:gridSpan w:val="2"/>
          </w:tcPr>
          <w:p>
            <w:pPr>
              <w:jc w:val="right"/>
              <w:ind w:right="1400"/>
              <w:spacing w:after="0"/>
              <w:rPr>
                <w:sz w:val="20"/>
                <w:szCs w:val="20"/>
                <w:color w:val="auto"/>
              </w:rPr>
            </w:pPr>
            <w:r>
              <w:rPr>
                <w:rFonts w:ascii="Arial" w:cs="Arial" w:eastAsia="Arial" w:hAnsi="Arial"/>
                <w:sz w:val="18"/>
                <w:szCs w:val="18"/>
                <w:color w:val="auto"/>
              </w:rPr>
              <w:t>2</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27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2</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Media: Broadcasting and Subscription</w:t>
            </w:r>
          </w:p>
        </w:tc>
        <w:tc>
          <w:tcPr>
            <w:tcW w:w="2720" w:type="dxa"/>
            <w:vAlign w:val="bottom"/>
            <w:gridSpan w:val="2"/>
          </w:tcPr>
          <w:p>
            <w:pPr>
              <w:jc w:val="right"/>
              <w:ind w:right="1400"/>
              <w:spacing w:after="0"/>
              <w:rPr>
                <w:sz w:val="20"/>
                <w:szCs w:val="20"/>
                <w:color w:val="auto"/>
              </w:rPr>
            </w:pPr>
            <w:r>
              <w:rPr>
                <w:rFonts w:ascii="Arial" w:cs="Arial" w:eastAsia="Arial" w:hAnsi="Arial"/>
                <w:sz w:val="18"/>
                <w:szCs w:val="18"/>
                <w:color w:val="auto"/>
              </w:rPr>
              <w:t>2</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Consumer Services</w:t>
            </w:r>
          </w:p>
        </w:tc>
        <w:tc>
          <w:tcPr>
            <w:tcW w:w="27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1</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Healthcare Technology</w:t>
            </w:r>
          </w:p>
        </w:tc>
        <w:tc>
          <w:tcPr>
            <w:tcW w:w="2720" w:type="dxa"/>
            <w:vAlign w:val="bottom"/>
            <w:gridSpan w:val="2"/>
          </w:tcPr>
          <w:p>
            <w:pPr>
              <w:jc w:val="right"/>
              <w:ind w:right="1400"/>
              <w:spacing w:after="0"/>
              <w:rPr>
                <w:sz w:val="20"/>
                <w:szCs w:val="20"/>
                <w:color w:val="auto"/>
              </w:rPr>
            </w:pPr>
            <w:r>
              <w:rPr>
                <w:rFonts w:ascii="Arial" w:cs="Arial" w:eastAsia="Arial" w:hAnsi="Arial"/>
                <w:sz w:val="18"/>
                <w:szCs w:val="18"/>
                <w:color w:val="auto"/>
              </w:rPr>
              <w:t>1</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 Services</w:t>
            </w:r>
          </w:p>
        </w:tc>
        <w:tc>
          <w:tcPr>
            <w:tcW w:w="27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1</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Retail</w:t>
            </w:r>
          </w:p>
        </w:tc>
        <w:tc>
          <w:tcPr>
            <w:tcW w:w="2720" w:type="dxa"/>
            <w:vAlign w:val="bottom"/>
            <w:gridSpan w:val="2"/>
          </w:tcPr>
          <w:p>
            <w:pPr>
              <w:jc w:val="right"/>
              <w:ind w:right="1400"/>
              <w:spacing w:after="0"/>
              <w:rPr>
                <w:sz w:val="20"/>
                <w:szCs w:val="20"/>
                <w:color w:val="auto"/>
              </w:rPr>
            </w:pPr>
            <w:r>
              <w:rPr>
                <w:rFonts w:ascii="Arial" w:cs="Arial" w:eastAsia="Arial" w:hAnsi="Arial"/>
                <w:sz w:val="18"/>
                <w:szCs w:val="18"/>
                <w:color w:val="auto"/>
              </w:rPr>
              <w:t>1</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720" w:type="dxa"/>
            <w:vAlign w:val="bottom"/>
            <w:gridSpan w:val="2"/>
          </w:tcPr>
          <w:p>
            <w:pPr>
              <w:jc w:val="right"/>
              <w:ind w:right="126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886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8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investments in PSSL.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280" w:right="33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PORTFOLIO MANAGEMENT</w:t>
      </w:r>
    </w:p>
    <w:p>
      <w:pPr>
        <w:spacing w:after="0" w:line="229"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Our Investment Adviser, which manages our day-to-day investment activities under the supervision of our board of directors, has four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65"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Arthur H. Penn became the Chief Executive Officer and a Director of PennantPark Floating Rate Capital Ltd. at its inception in 2010.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High-Yield Capital Markets at Lehman Brothers.</w:t>
      </w:r>
    </w:p>
    <w:p>
      <w:pPr>
        <w:spacing w:after="0" w:line="185"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57"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76"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297" w:right="359" w:bottom="1440" w:gutter="0" w:footer="0" w:header="0"/>
        </w:sectPr>
      </w:pPr>
    </w:p>
    <w:bookmarkStart w:id="55" w:name="page56"/>
    <w:bookmarkEnd w:id="55"/>
    <w:p>
      <w:pPr>
        <w:ind w:right="40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addition to managing our investments, as of September 30, 2019 our portfolio managers also managed investments on behalf of the following entities: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10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22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Entity</w:t>
            </w:r>
          </w:p>
        </w:tc>
        <w:tc>
          <w:tcPr>
            <w:tcW w:w="4200" w:type="dxa"/>
            <w:vAlign w:val="bottom"/>
            <w:gridSpan w:val="2"/>
            <w:vMerge w:val="restart"/>
          </w:tcPr>
          <w:p>
            <w:pPr>
              <w:ind w:left="1460"/>
              <w:spacing w:after="0"/>
              <w:rPr>
                <w:sz w:val="20"/>
                <w:szCs w:val="20"/>
                <w:color w:val="auto"/>
              </w:rPr>
            </w:pPr>
            <w:r>
              <w:rPr>
                <w:rFonts w:ascii="Arial" w:cs="Arial" w:eastAsia="Arial" w:hAnsi="Arial"/>
                <w:sz w:val="14"/>
                <w:szCs w:val="14"/>
                <w:b w:val="1"/>
                <w:bCs w:val="1"/>
                <w:color w:val="auto"/>
              </w:rPr>
              <w:t>Investment Focus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8"/>
              </w:rPr>
              <w:t>Gross Assets</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4200" w:type="dxa"/>
            <w:vAlign w:val="bottom"/>
            <w:gridSpan w:val="2"/>
            <w:vMerge w:val="continue"/>
          </w:tcPr>
          <w:p>
            <w:pPr>
              <w:spacing w:after="0"/>
              <w:rPr>
                <w:sz w:val="15"/>
                <w:szCs w:val="15"/>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180"/>
        </w:trPr>
        <w:tc>
          <w:tcPr>
            <w:tcW w:w="3480" w:type="dxa"/>
            <w:vAlign w:val="bottom"/>
            <w:gridSpan w:val="2"/>
          </w:tcPr>
          <w:p>
            <w:pPr>
              <w:spacing w:after="0" w:line="180" w:lineRule="exact"/>
              <w:rPr>
                <w:sz w:val="20"/>
                <w:szCs w:val="20"/>
                <w:color w:val="auto"/>
              </w:rPr>
            </w:pPr>
            <w:r>
              <w:rPr>
                <w:rFonts w:ascii="Arial" w:cs="Arial" w:eastAsia="Arial" w:hAnsi="Arial"/>
                <w:sz w:val="16"/>
                <w:szCs w:val="16"/>
                <w:color w:val="auto"/>
              </w:rPr>
              <w:t>PennantPark Investment Corporation</w:t>
            </w:r>
          </w:p>
        </w:tc>
        <w:tc>
          <w:tcPr>
            <w:tcW w:w="460" w:type="dxa"/>
            <w:vAlign w:val="bottom"/>
          </w:tcPr>
          <w:p>
            <w:pPr>
              <w:spacing w:after="0"/>
              <w:rPr>
                <w:sz w:val="15"/>
                <w:szCs w:val="15"/>
                <w:color w:val="auto"/>
              </w:rPr>
            </w:pPr>
          </w:p>
        </w:tc>
        <w:tc>
          <w:tcPr>
            <w:tcW w:w="19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Business development</w:t>
            </w:r>
          </w:p>
        </w:tc>
        <w:tc>
          <w:tcPr>
            <w:tcW w:w="220" w:type="dxa"/>
            <w:vAlign w:val="bottom"/>
          </w:tcPr>
          <w:p>
            <w:pPr>
              <w:spacing w:after="0"/>
              <w:rPr>
                <w:sz w:val="15"/>
                <w:szCs w:val="15"/>
                <w:color w:val="auto"/>
              </w:rPr>
            </w:pPr>
          </w:p>
        </w:tc>
        <w:tc>
          <w:tcPr>
            <w:tcW w:w="400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w w:val="99"/>
              </w:rPr>
              <w:t>Primarily in U.S. middle-market companies in the form of</w:t>
            </w:r>
          </w:p>
        </w:tc>
        <w:tc>
          <w:tcPr>
            <w:tcW w:w="200" w:type="dxa"/>
            <w:vAlign w:val="bottom"/>
          </w:tcPr>
          <w:p>
            <w:pPr>
              <w:spacing w:after="0"/>
              <w:rPr>
                <w:sz w:val="15"/>
                <w:szCs w:val="15"/>
                <w:color w:val="auto"/>
              </w:rPr>
            </w:pPr>
          </w:p>
        </w:tc>
        <w:tc>
          <w:tcPr>
            <w:tcW w:w="8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660" w:type="dxa"/>
            <w:vAlign w:val="bottom"/>
            <w:gridSpan w:val="3"/>
          </w:tcPr>
          <w:p>
            <w:pPr>
              <w:ind w:left="460"/>
              <w:spacing w:after="0"/>
              <w:rPr>
                <w:sz w:val="20"/>
                <w:szCs w:val="20"/>
                <w:color w:val="auto"/>
              </w:rPr>
            </w:pPr>
            <w:r>
              <w:rPr>
                <w:rFonts w:ascii="Arial" w:cs="Arial" w:eastAsia="Arial" w:hAnsi="Arial"/>
                <w:sz w:val="16"/>
                <w:szCs w:val="16"/>
                <w:color w:val="auto"/>
              </w:rPr>
              <w:t>company</w:t>
            </w:r>
          </w:p>
        </w:tc>
        <w:tc>
          <w:tcPr>
            <w:tcW w:w="4200" w:type="dxa"/>
            <w:vAlign w:val="bottom"/>
            <w:gridSpan w:val="2"/>
          </w:tcPr>
          <w:p>
            <w:pPr>
              <w:spacing w:after="0"/>
              <w:rPr>
                <w:sz w:val="20"/>
                <w:szCs w:val="20"/>
                <w:color w:val="auto"/>
              </w:rPr>
            </w:pPr>
            <w:r>
              <w:rPr>
                <w:rFonts w:ascii="Arial" w:cs="Arial" w:eastAsia="Arial" w:hAnsi="Arial"/>
                <w:sz w:val="16"/>
                <w:szCs w:val="16"/>
                <w:color w:val="auto"/>
              </w:rPr>
              <w:t>first lien secured loans, second lien secured debt,</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6"/>
                <w:szCs w:val="16"/>
                <w:color w:val="auto"/>
              </w:rPr>
              <w:t>subordinated debt and equity investments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3480" w:type="dxa"/>
            <w:vAlign w:val="bottom"/>
            <w:gridSpan w:val="2"/>
          </w:tcPr>
          <w:p>
            <w:pPr>
              <w:spacing w:after="0"/>
              <w:rPr>
                <w:sz w:val="20"/>
                <w:szCs w:val="20"/>
                <w:color w:val="auto"/>
              </w:rPr>
            </w:pPr>
            <w:r>
              <w:rPr>
                <w:rFonts w:ascii="Arial" w:cs="Arial" w:eastAsia="Arial" w:hAnsi="Arial"/>
                <w:sz w:val="16"/>
                <w:szCs w:val="16"/>
                <w:color w:val="auto"/>
              </w:rPr>
              <w:t>PennantPark Senior Secured Loan Fund I LLC</w:t>
            </w:r>
          </w:p>
        </w:tc>
        <w:tc>
          <w:tcPr>
            <w:tcW w:w="2660" w:type="dxa"/>
            <w:vAlign w:val="bottom"/>
            <w:gridSpan w:val="3"/>
          </w:tcPr>
          <w:p>
            <w:pPr>
              <w:ind w:left="460"/>
              <w:spacing w:after="0"/>
              <w:rPr>
                <w:sz w:val="20"/>
                <w:szCs w:val="20"/>
                <w:color w:val="auto"/>
              </w:rPr>
            </w:pPr>
            <w:r>
              <w:rPr>
                <w:rFonts w:ascii="Arial" w:cs="Arial" w:eastAsia="Arial" w:hAnsi="Arial"/>
                <w:sz w:val="16"/>
                <w:szCs w:val="16"/>
                <w:color w:val="auto"/>
              </w:rPr>
              <w:t>Joint Venture</w:t>
            </w:r>
          </w:p>
        </w:tc>
        <w:tc>
          <w:tcPr>
            <w:tcW w:w="4200" w:type="dxa"/>
            <w:vAlign w:val="bottom"/>
            <w:gridSpan w:val="2"/>
          </w:tcPr>
          <w:p>
            <w:pPr>
              <w:spacing w:after="0"/>
              <w:rPr>
                <w:sz w:val="20"/>
                <w:szCs w:val="20"/>
                <w:color w:val="auto"/>
              </w:rPr>
            </w:pPr>
            <w:r>
              <w:rPr>
                <w:rFonts w:ascii="Arial" w:cs="Arial" w:eastAsia="Arial" w:hAnsi="Arial"/>
                <w:sz w:val="16"/>
                <w:szCs w:val="16"/>
                <w:color w:val="auto"/>
              </w:rPr>
              <w:t>Primarily floating rate loans, with an emphasis on senior</w:t>
            </w:r>
          </w:p>
        </w:tc>
        <w:tc>
          <w:tcPr>
            <w:tcW w:w="860" w:type="dxa"/>
            <w:vAlign w:val="bottom"/>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6"/>
                <w:szCs w:val="16"/>
                <w:color w:val="auto"/>
              </w:rPr>
              <w:t>secured loans, in middle-market leveraged companies.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3480" w:type="dxa"/>
            <w:vAlign w:val="bottom"/>
            <w:gridSpan w:val="2"/>
          </w:tcPr>
          <w:p>
            <w:pPr>
              <w:spacing w:after="0"/>
              <w:rPr>
                <w:sz w:val="20"/>
                <w:szCs w:val="20"/>
                <w:color w:val="auto"/>
              </w:rPr>
            </w:pPr>
            <w:r>
              <w:rPr>
                <w:rFonts w:ascii="Arial" w:cs="Arial" w:eastAsia="Arial" w:hAnsi="Arial"/>
                <w:sz w:val="16"/>
                <w:szCs w:val="16"/>
                <w:color w:val="auto"/>
              </w:rPr>
              <w:t>Other Managed Funds</w:t>
            </w:r>
          </w:p>
        </w:tc>
        <w:tc>
          <w:tcPr>
            <w:tcW w:w="2660" w:type="dxa"/>
            <w:vAlign w:val="bottom"/>
            <w:gridSpan w:val="3"/>
          </w:tcPr>
          <w:p>
            <w:pPr>
              <w:ind w:left="460"/>
              <w:spacing w:after="0"/>
              <w:rPr>
                <w:sz w:val="20"/>
                <w:szCs w:val="20"/>
                <w:color w:val="auto"/>
              </w:rPr>
            </w:pPr>
            <w:r>
              <w:rPr>
                <w:rFonts w:ascii="Arial" w:cs="Arial" w:eastAsia="Arial" w:hAnsi="Arial"/>
                <w:sz w:val="16"/>
                <w:szCs w:val="16"/>
                <w:color w:val="auto"/>
              </w:rPr>
              <w:t>Direct Lending Funds</w:t>
            </w:r>
          </w:p>
        </w:tc>
        <w:tc>
          <w:tcPr>
            <w:tcW w:w="4200" w:type="dxa"/>
            <w:vAlign w:val="bottom"/>
            <w:gridSpan w:val="2"/>
          </w:tcPr>
          <w:p>
            <w:pPr>
              <w:spacing w:after="0"/>
              <w:rPr>
                <w:sz w:val="20"/>
                <w:szCs w:val="20"/>
                <w:color w:val="auto"/>
              </w:rPr>
            </w:pPr>
            <w:r>
              <w:rPr>
                <w:rFonts w:ascii="Arial" w:cs="Arial" w:eastAsia="Arial" w:hAnsi="Arial"/>
                <w:sz w:val="16"/>
                <w:szCs w:val="16"/>
                <w:color w:val="auto"/>
              </w:rPr>
              <w:t>Other credit opportunities</w:t>
            </w:r>
          </w:p>
        </w:tc>
        <w:tc>
          <w:tcPr>
            <w:tcW w:w="860" w:type="dxa"/>
            <w:vAlign w:val="bottom"/>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senior investment professionals as of January 27, 2020. Information as to the beneficial ownerships is based on information furnished to us by such persons. We are not part of a “family of investment companies,” as that term is defined in the 1940 Act.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40" w:type="dxa"/>
            <w:vAlign w:val="bottom"/>
          </w:tcPr>
          <w:p>
            <w:pPr>
              <w:spacing w:after="0"/>
              <w:rPr>
                <w:sz w:val="14"/>
                <w:szCs w:val="14"/>
                <w:color w:val="auto"/>
              </w:rPr>
            </w:pPr>
          </w:p>
        </w:tc>
        <w:tc>
          <w:tcPr>
            <w:tcW w:w="14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Dollar Range of the</w:t>
            </w:r>
          </w:p>
        </w:tc>
      </w:tr>
      <w:tr>
        <w:trPr>
          <w:trHeight w:val="149"/>
        </w:trPr>
        <w:tc>
          <w:tcPr>
            <w:tcW w:w="9840" w:type="dxa"/>
            <w:vAlign w:val="bottom"/>
          </w:tcPr>
          <w:p>
            <w:pPr>
              <w:spacing w:after="0"/>
              <w:rPr>
                <w:sz w:val="12"/>
                <w:szCs w:val="12"/>
                <w:color w:val="auto"/>
              </w:rPr>
            </w:pPr>
          </w:p>
        </w:tc>
        <w:tc>
          <w:tcPr>
            <w:tcW w:w="14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Common Stock of</w:t>
            </w:r>
          </w:p>
        </w:tc>
      </w:tr>
      <w:tr>
        <w:trPr>
          <w:trHeight w:val="148"/>
        </w:trPr>
        <w:tc>
          <w:tcPr>
            <w:tcW w:w="984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PennantPark Floating</w:t>
            </w:r>
          </w:p>
        </w:tc>
      </w:tr>
      <w:tr>
        <w:trPr>
          <w:trHeight w:val="171"/>
        </w:trPr>
        <w:tc>
          <w:tcPr>
            <w:tcW w:w="9840" w:type="dxa"/>
            <w:vAlign w:val="bottom"/>
          </w:tcPr>
          <w:p>
            <w:pPr>
              <w:spacing w:after="0"/>
              <w:rPr>
                <w:sz w:val="14"/>
                <w:szCs w:val="14"/>
                <w:color w:val="auto"/>
              </w:rPr>
            </w:pPr>
          </w:p>
        </w:tc>
        <w:tc>
          <w:tcPr>
            <w:tcW w:w="14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Rate Capital Ltd.</w:t>
            </w:r>
            <w:r>
              <w:rPr>
                <w:rFonts w:ascii="Arial" w:cs="Arial" w:eastAsia="Arial" w:hAnsi="Arial"/>
                <w:sz w:val="8"/>
                <w:szCs w:val="8"/>
                <w:b w:val="1"/>
                <w:bCs w:val="1"/>
                <w:color w:val="auto"/>
                <w:w w:val="98"/>
              </w:rPr>
              <w:t>(1)</w:t>
            </w:r>
          </w:p>
        </w:tc>
      </w:tr>
      <w:tr>
        <w:trPr>
          <w:trHeight w:val="196"/>
        </w:trPr>
        <w:tc>
          <w:tcPr>
            <w:tcW w:w="9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6"/>
                <w:szCs w:val="16"/>
                <w:color w:val="auto"/>
              </w:rPr>
              <w:t>Arthur H. Penn</w:t>
            </w:r>
            <w:r>
              <w:rPr>
                <w:rFonts w:ascii="Arial" w:cs="Arial" w:eastAsia="Arial" w:hAnsi="Arial"/>
                <w:sz w:val="20"/>
                <w:szCs w:val="20"/>
                <w:color w:val="auto"/>
                <w:vertAlign w:val="superscript"/>
              </w:rPr>
              <w:t>(2)</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Over $</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9840" w:type="dxa"/>
            <w:vAlign w:val="bottom"/>
          </w:tcPr>
          <w:p>
            <w:pPr>
              <w:spacing w:after="0"/>
              <w:rPr>
                <w:sz w:val="20"/>
                <w:szCs w:val="20"/>
                <w:color w:val="auto"/>
              </w:rPr>
            </w:pPr>
            <w:r>
              <w:rPr>
                <w:rFonts w:ascii="Arial" w:cs="Arial" w:eastAsia="Arial" w:hAnsi="Arial"/>
                <w:sz w:val="16"/>
                <w:szCs w:val="16"/>
                <w:color w:val="auto"/>
              </w:rPr>
              <w:t>Jose A. Briones</w:t>
            </w:r>
          </w:p>
        </w:tc>
        <w:tc>
          <w:tcPr>
            <w:tcW w:w="580" w:type="dxa"/>
            <w:vAlign w:val="bottom"/>
          </w:tcPr>
          <w:p>
            <w:pPr>
              <w:spacing w:after="0"/>
              <w:rPr>
                <w:sz w:val="20"/>
                <w:szCs w:val="20"/>
                <w:color w:val="auto"/>
              </w:rPr>
            </w:pPr>
            <w:r>
              <w:rPr>
                <w:rFonts w:ascii="Arial" w:cs="Arial" w:eastAsia="Arial" w:hAnsi="Arial"/>
                <w:sz w:val="16"/>
                <w:szCs w:val="16"/>
                <w:color w:val="auto"/>
              </w:rPr>
              <w:t>Over $</w:t>
            </w:r>
          </w:p>
        </w:tc>
        <w:tc>
          <w:tcPr>
            <w:tcW w:w="780" w:type="dxa"/>
            <w:vAlign w:val="bottom"/>
          </w:tcPr>
          <w:p>
            <w:pPr>
              <w:jc w:val="right"/>
              <w:spacing w:after="0"/>
              <w:rPr>
                <w:sz w:val="20"/>
                <w:szCs w:val="20"/>
                <w:color w:val="auto"/>
              </w:rPr>
            </w:pPr>
            <w:r>
              <w:rPr>
                <w:rFonts w:ascii="Arial" w:cs="Arial" w:eastAsia="Arial" w:hAnsi="Arial"/>
                <w:sz w:val="16"/>
                <w:szCs w:val="16"/>
                <w:color w:val="auto"/>
              </w:rPr>
              <w:t>1,000,000</w:t>
            </w:r>
          </w:p>
        </w:tc>
        <w:tc>
          <w:tcPr>
            <w:tcW w:w="40" w:type="dxa"/>
            <w:vAlign w:val="bottom"/>
          </w:tcPr>
          <w:p>
            <w:pPr>
              <w:spacing w:after="0"/>
              <w:rPr>
                <w:sz w:val="17"/>
                <w:szCs w:val="17"/>
                <w:color w:val="auto"/>
              </w:rPr>
            </w:pPr>
          </w:p>
        </w:tc>
      </w:tr>
      <w:tr>
        <w:trPr>
          <w:trHeight w:val="203"/>
        </w:trPr>
        <w:tc>
          <w:tcPr>
            <w:tcW w:w="9840" w:type="dxa"/>
            <w:vAlign w:val="bottom"/>
            <w:shd w:val="clear" w:color="auto" w:fill="CCEEFF"/>
          </w:tcPr>
          <w:p>
            <w:pPr>
              <w:spacing w:after="0"/>
              <w:rPr>
                <w:sz w:val="20"/>
                <w:szCs w:val="20"/>
                <w:color w:val="auto"/>
              </w:rPr>
            </w:pPr>
            <w:r>
              <w:rPr>
                <w:rFonts w:ascii="Arial" w:cs="Arial" w:eastAsia="Arial" w:hAnsi="Arial"/>
                <w:sz w:val="16"/>
                <w:szCs w:val="16"/>
                <w:color w:val="auto"/>
              </w:rPr>
              <w:t>Salvatore Giannetti III</w:t>
            </w:r>
          </w:p>
        </w:tc>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Over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40" w:type="dxa"/>
            <w:vAlign w:val="bottom"/>
            <w:shd w:val="clear" w:color="auto" w:fill="CCEEFF"/>
          </w:tcPr>
          <w:p>
            <w:pPr>
              <w:spacing w:after="0"/>
              <w:rPr>
                <w:sz w:val="17"/>
                <w:szCs w:val="17"/>
                <w:color w:val="auto"/>
              </w:rPr>
            </w:pPr>
          </w:p>
        </w:tc>
      </w:tr>
      <w:tr>
        <w:trPr>
          <w:trHeight w:val="210"/>
        </w:trPr>
        <w:tc>
          <w:tcPr>
            <w:tcW w:w="9840" w:type="dxa"/>
            <w:vAlign w:val="bottom"/>
          </w:tcPr>
          <w:p>
            <w:pPr>
              <w:spacing w:after="0"/>
              <w:rPr>
                <w:sz w:val="20"/>
                <w:szCs w:val="20"/>
                <w:color w:val="auto"/>
              </w:rPr>
            </w:pPr>
            <w:r>
              <w:rPr>
                <w:rFonts w:ascii="Arial" w:cs="Arial" w:eastAsia="Arial" w:hAnsi="Arial"/>
                <w:sz w:val="16"/>
                <w:szCs w:val="16"/>
                <w:color w:val="auto"/>
              </w:rPr>
              <w:t>P. Whitridge Williams, Jr.</w:t>
            </w:r>
          </w:p>
        </w:tc>
        <w:tc>
          <w:tcPr>
            <w:tcW w:w="580" w:type="dxa"/>
            <w:vAlign w:val="bottom"/>
          </w:tcPr>
          <w:p>
            <w:pPr>
              <w:spacing w:after="0"/>
              <w:rPr>
                <w:sz w:val="20"/>
                <w:szCs w:val="20"/>
                <w:color w:val="auto"/>
              </w:rPr>
            </w:pPr>
            <w:r>
              <w:rPr>
                <w:rFonts w:ascii="Arial" w:cs="Arial" w:eastAsia="Arial" w:hAnsi="Arial"/>
                <w:sz w:val="16"/>
                <w:szCs w:val="16"/>
                <w:color w:val="auto"/>
              </w:rPr>
              <w:t>Over $</w:t>
            </w:r>
          </w:p>
        </w:tc>
        <w:tc>
          <w:tcPr>
            <w:tcW w:w="780" w:type="dxa"/>
            <w:vAlign w:val="bottom"/>
          </w:tcPr>
          <w:p>
            <w:pPr>
              <w:jc w:val="right"/>
              <w:spacing w:after="0"/>
              <w:rPr>
                <w:sz w:val="20"/>
                <w:szCs w:val="20"/>
                <w:color w:val="auto"/>
              </w:rPr>
            </w:pPr>
            <w:r>
              <w:rPr>
                <w:rFonts w:ascii="Arial" w:cs="Arial" w:eastAsia="Arial" w:hAnsi="Arial"/>
                <w:sz w:val="16"/>
                <w:szCs w:val="16"/>
                <w:color w:val="auto"/>
              </w:rPr>
              <w:t>1,000,000</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886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1" w:lineRule="exact"/>
        <w:rPr>
          <w:sz w:val="20"/>
          <w:szCs w:val="20"/>
          <w:color w:val="auto"/>
        </w:rPr>
      </w:pPr>
    </w:p>
    <w:p>
      <w:pPr>
        <w:ind w:left="460" w:right="880" w:hanging="452"/>
        <w:spacing w:after="0" w:line="291"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 Beneficial ownership has been determined in accordance with Rule 16a-1(a)(2) promulgated under the Exchange Act.</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01" w:right="33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DETERMINATION OF NET ASSET VALUE</w:t>
      </w:r>
    </w:p>
    <w:p>
      <w:pPr>
        <w:spacing w:after="0" w:line="229"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1"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1000" w:right="160" w:hanging="54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00" w:right="320" w:hanging="547"/>
        <w:spacing w:after="0" w:line="279"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00" w:right="240" w:hanging="547"/>
        <w:spacing w:after="0" w:line="311"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4" w:lineRule="exact"/>
        <w:rPr>
          <w:rFonts w:ascii="Arial" w:cs="Arial" w:eastAsia="Arial" w:hAnsi="Arial"/>
          <w:sz w:val="16"/>
          <w:szCs w:val="16"/>
          <w:color w:val="auto"/>
        </w:rPr>
      </w:pPr>
    </w:p>
    <w:p>
      <w:pPr>
        <w:ind w:left="1000" w:right="40" w:hanging="54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297" w:right="379" w:bottom="1440" w:gutter="0" w:footer="0" w:header="0"/>
        </w:sectPr>
      </w:pPr>
    </w:p>
    <w:bookmarkStart w:id="57" w:name="page58"/>
    <w:bookmarkEnd w:id="5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the extent we invest in derivative instruments in the future, such instruments would be valued in accordance with our valuation policy.</w:t>
      </w:r>
    </w:p>
    <w:p>
      <w:pPr>
        <w:spacing w:after="0" w:line="23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600" w:right="1380" w:hanging="1147"/>
        <w:spacing w:after="0" w:line="277" w:lineRule="auto"/>
        <w:tabs>
          <w:tab w:leader="none" w:pos="15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00" w:right="640" w:hanging="1147"/>
        <w:spacing w:after="0" w:line="263" w:lineRule="auto"/>
        <w:tabs>
          <w:tab w:leader="none" w:pos="15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6" w:lineRule="exact"/>
        <w:rPr>
          <w:sz w:val="20"/>
          <w:szCs w:val="20"/>
          <w:color w:val="auto"/>
        </w:rPr>
      </w:pPr>
    </w:p>
    <w:p>
      <w:pPr>
        <w:ind w:left="1600" w:right="1080" w:hanging="1147"/>
        <w:spacing w:after="0" w:line="277" w:lineRule="auto"/>
        <w:tabs>
          <w:tab w:leader="none" w:pos="15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2023 Notes are classified as Level 1, as they are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3" w:lineRule="exact"/>
        <w:rPr>
          <w:sz w:val="20"/>
          <w:szCs w:val="20"/>
          <w:color w:val="auto"/>
        </w:rPr>
      </w:pPr>
    </w:p>
    <w:p>
      <w:pPr>
        <w:ind w:left="1000" w:hanging="439"/>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1000" w:right="320" w:hanging="439"/>
        <w:spacing w:after="0" w:line="311"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301" w:right="359" w:bottom="1440" w:gutter="0" w:footer="0" w:header="0"/>
        </w:sectPr>
      </w:pPr>
    </w:p>
    <w:bookmarkStart w:id="58" w:name="page59"/>
    <w:bookmarkEnd w:id="58"/>
    <w:p>
      <w:pPr>
        <w:ind w:left="1000" w:right="320" w:hanging="439"/>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000" w:hanging="439"/>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1000" w:right="260" w:hanging="439"/>
        <w:spacing w:after="0" w:line="279"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71"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85"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301" w:right="37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DESCRIPTION OF OUR CAPITAL STOCK</w:t>
      </w:r>
    </w:p>
    <w:p>
      <w:pPr>
        <w:spacing w:after="0" w:line="229"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As of December 31, 2019, our authorized capital stock consisted of 100,000,000 shares of stock, par value $0.001 per share, all of which is classified as common stock. Our common stock is quoted on The Nasdaq Global Select Market and the TASE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The last reported closing market price of our common stock on January 27, 2020 was $12.01 per share. As of December 31, 2019, we had 43 stockholders of record.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December 31, 2019:</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1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Amount Held by</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1"/>
              </w:rPr>
              <w:t>Title of Class</w:t>
            </w:r>
          </w:p>
        </w:tc>
        <w:tc>
          <w:tcPr>
            <w:tcW w:w="5500" w:type="dxa"/>
            <w:vAlign w:val="bottom"/>
            <w:vMerge w:val="restart"/>
          </w:tcPr>
          <w:p>
            <w:pPr>
              <w:spacing w:after="0"/>
              <w:rPr>
                <w:sz w:val="12"/>
                <w:szCs w:val="12"/>
                <w:color w:val="auto"/>
              </w:rPr>
            </w:pPr>
          </w:p>
        </w:tc>
        <w:tc>
          <w:tcPr>
            <w:tcW w:w="9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6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8"/>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5500" w:type="dxa"/>
            <w:vAlign w:val="bottom"/>
            <w:vMerge w:val="continue"/>
          </w:tcPr>
          <w:p>
            <w:pPr>
              <w:spacing w:after="0"/>
              <w:rPr>
                <w:sz w:val="15"/>
                <w:szCs w:val="15"/>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Authorized</w:t>
            </w:r>
          </w:p>
        </w:tc>
        <w:tc>
          <w:tcPr>
            <w:tcW w:w="560" w:type="dxa"/>
            <w:vAlign w:val="bottom"/>
          </w:tcPr>
          <w:p>
            <w:pPr>
              <w:spacing w:after="0"/>
              <w:rPr>
                <w:sz w:val="15"/>
                <w:szCs w:val="15"/>
                <w:color w:val="auto"/>
              </w:rPr>
            </w:pPr>
          </w:p>
        </w:tc>
        <w:tc>
          <w:tcPr>
            <w:tcW w:w="160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89"/>
              </w:rPr>
              <w:t>Account</w:t>
            </w:r>
          </w:p>
        </w:tc>
        <w:tc>
          <w:tcPr>
            <w:tcW w:w="9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6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par value $0.001 per share</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100,000,000</w:t>
            </w:r>
          </w:p>
        </w:tc>
        <w:tc>
          <w:tcPr>
            <w:tcW w:w="5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8"/>
              </w:rPr>
              <w:t>38,772,074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297" w:right="339" w:bottom="1440" w:gutter="0" w:footer="0" w:header="0"/>
        </w:sectPr>
      </w:pPr>
    </w:p>
    <w:bookmarkStart w:id="60" w:name="page61"/>
    <w:bookmarkEnd w:id="60"/>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85" w:lineRule="exact"/>
        <w:rPr>
          <w:sz w:val="20"/>
          <w:szCs w:val="20"/>
          <w:color w:val="auto"/>
        </w:rPr>
      </w:pPr>
    </w:p>
    <w:p>
      <w:pPr>
        <w:ind w:right="140" w:firstLine="449"/>
        <w:spacing w:after="0" w:line="308" w:lineRule="auto"/>
        <w:rPr>
          <w:sz w:val="20"/>
          <w:szCs w:val="20"/>
          <w:color w:val="auto"/>
        </w:rPr>
      </w:pPr>
      <w:r>
        <w:rPr>
          <w:rFonts w:ascii="Arial" w:cs="Arial" w:eastAsia="Arial" w:hAnsi="Arial"/>
          <w:sz w:val="17"/>
          <w:szCs w:val="17"/>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46" w:lineRule="exact"/>
        <w:rPr>
          <w:sz w:val="20"/>
          <w:szCs w:val="20"/>
          <w:color w:val="auto"/>
        </w:rPr>
      </w:pPr>
    </w:p>
    <w:p>
      <w:pPr>
        <w:ind w:right="100" w:firstLine="449"/>
        <w:spacing w:after="0" w:line="284"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w:t>
      </w:r>
    </w:p>
    <w:p>
      <w:pPr>
        <w:spacing w:after="0" w:line="4" w:lineRule="exact"/>
        <w:rPr>
          <w:sz w:val="20"/>
          <w:szCs w:val="20"/>
          <w:color w:val="auto"/>
        </w:rPr>
      </w:pPr>
    </w:p>
    <w:p>
      <w:pPr>
        <w:ind w:right="200" w:firstLine="8"/>
        <w:spacing w:after="0" w:line="288" w:lineRule="auto"/>
        <w:tabs>
          <w:tab w:leader="none" w:pos="2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30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Provisions of the Maryland General Corporation Law and our Charter and Bylaws</w:t>
      </w:r>
    </w:p>
    <w:p>
      <w:pPr>
        <w:spacing w:after="0" w:line="121" w:lineRule="exact"/>
        <w:rPr>
          <w:sz w:val="20"/>
          <w:szCs w:val="20"/>
          <w:color w:val="auto"/>
        </w:rPr>
      </w:pPr>
    </w:p>
    <w:p>
      <w:pPr>
        <w:ind w:right="260" w:firstLine="449"/>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at the annual meeting of stockholders held in 2021, 2022 and 2020,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Our charter and bylaws provide that the affirmative vote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78"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jc w:val="both"/>
        <w:ind w:right="40" w:firstLine="449"/>
        <w:spacing w:after="0" w:line="286" w:lineRule="auto"/>
        <w:rPr>
          <w:sz w:val="20"/>
          <w:szCs w:val="20"/>
          <w:color w:val="auto"/>
        </w:rPr>
      </w:pPr>
      <w:r>
        <w:rPr>
          <w:rFonts w:ascii="Arial" w:cs="Arial" w:eastAsia="Arial" w:hAnsi="Arial"/>
          <w:sz w:val="17"/>
          <w:szCs w:val="17"/>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297" w:right="339" w:bottom="1440" w:gutter="0" w:footer="0" w:header="0"/>
        </w:sectPr>
      </w:pPr>
    </w:p>
    <w:bookmarkStart w:id="62" w:name="page63"/>
    <w:bookmarkEnd w:id="62"/>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7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72"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0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 appraisal rights</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right="120" w:firstLine="449"/>
        <w:spacing w:after="0" w:line="342" w:lineRule="auto"/>
        <w:rPr>
          <w:sz w:val="20"/>
          <w:szCs w:val="20"/>
          <w:color w:val="auto"/>
        </w:rPr>
      </w:pPr>
      <w:r>
        <w:rPr>
          <w:rFonts w:ascii="Arial" w:cs="Arial" w:eastAsia="Arial" w:hAnsi="Arial"/>
          <w:sz w:val="16"/>
          <w:szCs w:val="16"/>
          <w:color w:val="auto"/>
        </w:rPr>
        <w:t>Our bylaws contain a provision exempting from the Maryland Control Share Acquisition Act any and all acquisitions by any person of shares of our stock. There can be no assurance that such provision will not be amended or eliminated at any time in the future to the extent permitted by the 1940 Act.</w:t>
      </w:r>
    </w:p>
    <w:p>
      <w:pPr>
        <w:spacing w:after="0" w:line="124"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The Maryland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8" w:lineRule="exact"/>
        <w:rPr>
          <w:sz w:val="20"/>
          <w:szCs w:val="20"/>
          <w:color w:val="auto"/>
        </w:rPr>
      </w:pPr>
    </w:p>
    <w:p>
      <w:pPr>
        <w:ind w:left="1000" w:hanging="439"/>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1000" w:hanging="439"/>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1000" w:hanging="439"/>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17" w:lineRule="exact"/>
        <w:rPr>
          <w:sz w:val="20"/>
          <w:szCs w:val="20"/>
          <w:color w:val="auto"/>
        </w:rPr>
      </w:pPr>
    </w:p>
    <w:p>
      <w:pPr>
        <w:ind w:right="180" w:firstLine="449"/>
        <w:spacing w:after="0" w:line="311"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14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92"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30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Business combinations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1000" w:hanging="439"/>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90" w:lineRule="exact"/>
        <w:rPr>
          <w:rFonts w:ascii="Arial" w:cs="Arial" w:eastAsia="Arial" w:hAnsi="Arial"/>
          <w:sz w:val="18"/>
          <w:szCs w:val="18"/>
          <w:color w:val="auto"/>
        </w:rPr>
      </w:pPr>
    </w:p>
    <w:p>
      <w:pPr>
        <w:ind w:left="1000" w:right="100" w:hanging="439"/>
        <w:spacing w:after="0" w:line="308"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46"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84"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1000" w:hanging="439"/>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ind w:left="1000" w:right="120" w:hanging="439"/>
        <w:spacing w:after="0" w:line="342"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4" w:lineRule="exact"/>
        <w:rPr>
          <w:sz w:val="20"/>
          <w:szCs w:val="20"/>
          <w:color w:val="auto"/>
        </w:rPr>
      </w:pPr>
    </w:p>
    <w:p>
      <w:pPr>
        <w:ind w:right="60" w:firstLine="449"/>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right="200" w:firstLine="449"/>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Maryland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ind w:right="360" w:firstLine="449"/>
        <w:spacing w:after="0" w:line="263" w:lineRule="auto"/>
        <w:rPr>
          <w:sz w:val="20"/>
          <w:szCs w:val="20"/>
          <w:color w:val="auto"/>
        </w:rPr>
      </w:pPr>
      <w:r>
        <w:rPr>
          <w:rFonts w:ascii="Arial" w:cs="Arial" w:eastAsia="Arial" w:hAnsi="Arial"/>
          <w:sz w:val="18"/>
          <w:szCs w:val="18"/>
          <w:color w:val="auto"/>
        </w:rPr>
        <w:t>If and to the extent that any provision of the Maryland General Corporation Law, including the Maryland Control Share Acquisition Act (if we amend our bylaws to be subject to such Act) and the Maryland Business Combination Act, or any provision of our charter or bylaws conflicts with any provision of the 1940 Act, the applicable provision of the 1940 Act will control.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30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Exclusive Forum</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absolute forum for (a) any derivative action or proceeding brought on our behalf, (b) any action asserting a claim of breach of any duty owed by any of our directors, officers or other agents to us or to our stockholders, (c) any action asserting a claim against us or any of our directors, officers or other agents arising pursuant to any provision of the Maryland General Corporation Law or our charter or bylaws or (d) any action asserting a claim against us or any of our directors, officers or other agents that is governed by the internal affairs doctrine.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301" w:right="49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DESCRIPTION OF OUR PREFERRED STOCK</w:t>
      </w:r>
    </w:p>
    <w:p>
      <w:pPr>
        <w:spacing w:after="0" w:line="229"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95" w:lineRule="exact"/>
        <w:rPr>
          <w:sz w:val="20"/>
          <w:szCs w:val="20"/>
          <w:color w:val="auto"/>
        </w:rPr>
      </w:pPr>
    </w:p>
    <w:p>
      <w:pPr>
        <w:ind w:firstLine="449"/>
        <w:spacing w:after="0" w:line="257" w:lineRule="auto"/>
        <w:rPr>
          <w:sz w:val="20"/>
          <w:szCs w:val="20"/>
          <w:color w:val="auto"/>
        </w:rPr>
      </w:pPr>
      <w:r>
        <w:rPr>
          <w:rFonts w:ascii="Arial" w:cs="Arial" w:eastAsia="Arial" w:hAnsi="Arial"/>
          <w:sz w:val="17"/>
          <w:szCs w:val="17"/>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w:t>
      </w:r>
      <w:r>
        <w:rPr>
          <w:rFonts w:ascii="Arial" w:cs="Arial" w:eastAsia="Arial" w:hAnsi="Arial"/>
          <w:sz w:val="23"/>
          <w:szCs w:val="23"/>
          <w:color w:val="auto"/>
          <w:vertAlign w:val="superscript"/>
        </w:rPr>
        <w:t>2</w:t>
      </w:r>
      <w:r>
        <w:rPr>
          <w:rFonts w:ascii="Arial" w:cs="Arial" w:eastAsia="Arial" w:hAnsi="Arial"/>
          <w:sz w:val="17"/>
          <w:szCs w:val="17"/>
          <w:color w:val="auto"/>
        </w:rPr>
        <w:t>⁄</w:t>
      </w:r>
      <w:r>
        <w:rPr>
          <w:rFonts w:ascii="Arial" w:cs="Arial" w:eastAsia="Arial" w:hAnsi="Arial"/>
          <w:sz w:val="23"/>
          <w:szCs w:val="23"/>
          <w:color w:val="auto"/>
          <w:vertAlign w:val="subscript"/>
        </w:rPr>
        <w:t>3</w:t>
      </w:r>
      <w:r>
        <w:rPr>
          <w:rFonts w:ascii="Arial" w:cs="Arial" w:eastAsia="Arial" w:hAnsi="Arial"/>
          <w:sz w:val="17"/>
          <w:szCs w:val="17"/>
          <w:color w:val="auto"/>
        </w:rPr>
        <w:t>%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89"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1000" w:hanging="439"/>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1000" w:right="320" w:hanging="439"/>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5" w:lineRule="exact"/>
        <w:rPr>
          <w:rFonts w:ascii="Arial" w:cs="Arial" w:eastAsia="Arial" w:hAnsi="Arial"/>
          <w:sz w:val="18"/>
          <w:szCs w:val="18"/>
          <w:color w:val="auto"/>
        </w:rPr>
      </w:pPr>
    </w:p>
    <w:p>
      <w:pPr>
        <w:ind w:left="1000" w:hanging="439"/>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1000" w:hanging="439"/>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01" w:lineRule="exact"/>
        <w:rPr>
          <w:rFonts w:ascii="Arial" w:cs="Arial" w:eastAsia="Arial" w:hAnsi="Arial"/>
          <w:sz w:val="17"/>
          <w:szCs w:val="17"/>
          <w:color w:val="auto"/>
        </w:rPr>
      </w:pPr>
    </w:p>
    <w:p>
      <w:pPr>
        <w:ind w:left="1000" w:hanging="439"/>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1000" w:hanging="439"/>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1000" w:right="100" w:hanging="439"/>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5" w:lineRule="exact"/>
        <w:rPr>
          <w:rFonts w:ascii="Arial" w:cs="Arial" w:eastAsia="Arial" w:hAnsi="Arial"/>
          <w:sz w:val="18"/>
          <w:szCs w:val="18"/>
          <w:color w:val="auto"/>
        </w:rPr>
      </w:pPr>
    </w:p>
    <w:p>
      <w:pPr>
        <w:ind w:left="1000" w:hanging="439"/>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1000" w:hanging="439"/>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1000" w:right="20" w:hanging="439"/>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297" w:right="35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DESCRIPTION OF OUR WARRANTS</w:t>
      </w:r>
    </w:p>
    <w:p>
      <w:pPr>
        <w:spacing w:after="0" w:line="229"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100" w:firstLine="449"/>
        <w:spacing w:after="0" w:line="301"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00" w:hanging="439"/>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1000" w:hanging="439"/>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1000" w:hanging="439"/>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1000" w:hanging="439"/>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1000" w:right="20" w:hanging="439"/>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5" w:lineRule="exact"/>
        <w:rPr>
          <w:rFonts w:ascii="Arial" w:cs="Arial" w:eastAsia="Arial" w:hAnsi="Arial"/>
          <w:sz w:val="18"/>
          <w:szCs w:val="18"/>
          <w:color w:val="auto"/>
        </w:rPr>
      </w:pPr>
    </w:p>
    <w:p>
      <w:pPr>
        <w:ind w:left="1000" w:right="180" w:hanging="439"/>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8" w:lineRule="exact"/>
        <w:rPr>
          <w:rFonts w:ascii="Arial" w:cs="Arial" w:eastAsia="Arial" w:hAnsi="Arial"/>
          <w:sz w:val="18"/>
          <w:szCs w:val="18"/>
          <w:color w:val="auto"/>
        </w:rPr>
      </w:pPr>
    </w:p>
    <w:p>
      <w:pPr>
        <w:jc w:val="both"/>
        <w:ind w:left="1000" w:right="180" w:hanging="439"/>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8" w:lineRule="exact"/>
        <w:rPr>
          <w:rFonts w:ascii="Arial" w:cs="Arial" w:eastAsia="Arial" w:hAnsi="Arial"/>
          <w:sz w:val="18"/>
          <w:szCs w:val="18"/>
          <w:color w:val="auto"/>
        </w:rPr>
      </w:pPr>
    </w:p>
    <w:p>
      <w:pPr>
        <w:ind w:left="1000" w:hanging="439"/>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90" w:lineRule="exact"/>
        <w:rPr>
          <w:rFonts w:ascii="Arial" w:cs="Arial" w:eastAsia="Arial" w:hAnsi="Arial"/>
          <w:sz w:val="18"/>
          <w:szCs w:val="18"/>
          <w:color w:val="auto"/>
        </w:rPr>
      </w:pPr>
    </w:p>
    <w:p>
      <w:pPr>
        <w:ind w:left="1000" w:hanging="439"/>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1000" w:hanging="439"/>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1000" w:hanging="439"/>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1000" w:hanging="439"/>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1000" w:hanging="439"/>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1000" w:hanging="439"/>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1000" w:hanging="439"/>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297" w:right="379" w:bottom="1440" w:gutter="0" w:footer="0" w:header="0"/>
        </w:sectPr>
      </w:pPr>
    </w:p>
    <w:bookmarkStart w:id="68" w:name="page69"/>
    <w:bookmarkEnd w:id="68"/>
    <w:p>
      <w:pPr>
        <w:ind w:right="100" w:firstLine="449"/>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301" w:right="37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DESCRIPTION OF OUR SUBSCRIPTION RIGHTS</w:t>
      </w:r>
    </w:p>
    <w:p>
      <w:pPr>
        <w:spacing w:after="0" w:line="229" w:lineRule="exact"/>
        <w:rPr>
          <w:sz w:val="20"/>
          <w:szCs w:val="20"/>
          <w:color w:val="auto"/>
        </w:rPr>
      </w:pPr>
    </w:p>
    <w:p>
      <w:pPr>
        <w:ind w:right="60" w:firstLine="449"/>
        <w:spacing w:after="0" w:line="289"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66"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000" w:hanging="439"/>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1000" w:hanging="439"/>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1000" w:hanging="439"/>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1000" w:hanging="439"/>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1000" w:right="240" w:hanging="439"/>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issuance or exercise of such subscription rights;</w:t>
      </w:r>
    </w:p>
    <w:p>
      <w:pPr>
        <w:spacing w:after="0" w:line="35"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5" w:lineRule="exact"/>
        <w:rPr>
          <w:rFonts w:ascii="Arial" w:cs="Arial" w:eastAsia="Arial" w:hAnsi="Arial"/>
          <w:sz w:val="18"/>
          <w:szCs w:val="18"/>
          <w:color w:val="auto"/>
        </w:rPr>
      </w:pPr>
    </w:p>
    <w:p>
      <w:pPr>
        <w:ind w:left="1000" w:hanging="439"/>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1000" w:right="340" w:hanging="439"/>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5" w:lineRule="exact"/>
        <w:rPr>
          <w:rFonts w:ascii="Arial" w:cs="Arial" w:eastAsia="Arial" w:hAnsi="Arial"/>
          <w:sz w:val="18"/>
          <w:szCs w:val="18"/>
          <w:color w:val="auto"/>
        </w:rPr>
      </w:pPr>
    </w:p>
    <w:p>
      <w:pPr>
        <w:ind w:left="1000" w:right="680" w:hanging="439"/>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11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8"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297" w:right="3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DESCRIPTION OF OUR DEBT SECURITIES</w:t>
      </w:r>
    </w:p>
    <w:p>
      <w:pPr>
        <w:spacing w:after="0" w:line="229"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In November 2017, we issued $138.6 million in aggregate principal amount of our 2023 Notes. The 2023 Notes were issued pursuant to a deed of trust between the Company and Mishmeret Trust Company, Ltd. as trustee.</w:t>
      </w:r>
    </w:p>
    <w:p>
      <w:pPr>
        <w:spacing w:after="0" w:line="170"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The 2023 Notes are rated ilA+ by S&amp;P Global Ratings Maalot Ltd. and are listed for trading on the TASE.</w:t>
      </w:r>
    </w:p>
    <w:p>
      <w:pPr>
        <w:spacing w:after="0" w:line="187"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70"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Second, the trustee performs certain administrative duties for us, such as sending interest and principal payments to holders.</w:t>
      </w:r>
    </w:p>
    <w:p>
      <w:pPr>
        <w:spacing w:after="0" w:line="176"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54" w:lineRule="exact"/>
        <w:rPr>
          <w:sz w:val="20"/>
          <w:szCs w:val="20"/>
          <w:color w:val="auto"/>
        </w:rPr>
      </w:pPr>
    </w:p>
    <w:p>
      <w:pPr>
        <w:ind w:left="1000" w:hanging="439"/>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000" w:right="400" w:hanging="439"/>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297" w:right="339" w:bottom="1440" w:gutter="0" w:footer="0" w:header="0"/>
        </w:sectPr>
      </w:pPr>
    </w:p>
    <w:bookmarkStart w:id="71" w:name="page72"/>
    <w:bookmarkEnd w:id="71"/>
    <w:p>
      <w:pPr>
        <w:ind w:left="1000" w:hanging="439"/>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000" w:right="340" w:hanging="439"/>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000" w:hanging="439"/>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9" w:lineRule="exact"/>
        <w:rPr>
          <w:rFonts w:ascii="Arial" w:cs="Arial" w:eastAsia="Arial" w:hAnsi="Arial"/>
          <w:sz w:val="18"/>
          <w:szCs w:val="18"/>
          <w:color w:val="auto"/>
        </w:rPr>
      </w:pPr>
    </w:p>
    <w:p>
      <w:pPr>
        <w:ind w:left="1000" w:right="280" w:hanging="439"/>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federal income tax considerations relating to OID;</w:t>
      </w:r>
    </w:p>
    <w:p>
      <w:pPr>
        <w:spacing w:after="0" w:line="130" w:lineRule="exact"/>
        <w:rPr>
          <w:rFonts w:ascii="Arial" w:cs="Arial" w:eastAsia="Arial" w:hAnsi="Arial"/>
          <w:sz w:val="18"/>
          <w:szCs w:val="18"/>
          <w:color w:val="auto"/>
        </w:rPr>
      </w:pPr>
    </w:p>
    <w:p>
      <w:pPr>
        <w:ind w:left="1000" w:right="220" w:hanging="439"/>
        <w:spacing w:after="0" w:line="342"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000" w:hanging="439"/>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jc w:val="both"/>
        <w:ind w:right="40" w:firstLine="449"/>
        <w:spacing w:after="0" w:line="286" w:lineRule="auto"/>
        <w:rPr>
          <w:sz w:val="20"/>
          <w:szCs w:val="20"/>
          <w:color w:val="auto"/>
        </w:rPr>
      </w:pPr>
      <w:r>
        <w:rPr>
          <w:rFonts w:ascii="Arial" w:cs="Arial" w:eastAsia="Arial" w:hAnsi="Arial"/>
          <w:sz w:val="17"/>
          <w:szCs w:val="17"/>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indenture provides that any debt securities proposed to be sold under this prospectus and any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4"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301" w:right="359" w:bottom="1440" w:gutter="0" w:footer="0" w:header="0"/>
        </w:sectPr>
      </w:pPr>
    </w:p>
    <w:bookmarkStart w:id="72" w:name="page73"/>
    <w:bookmarkEnd w:id="72"/>
    <w:p>
      <w:pPr>
        <w:ind w:right="80" w:firstLine="449"/>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240" w:firstLine="449"/>
        <w:spacing w:after="0" w:line="308" w:lineRule="auto"/>
        <w:rPr>
          <w:sz w:val="20"/>
          <w:szCs w:val="20"/>
          <w:color w:val="auto"/>
        </w:rPr>
      </w:pPr>
      <w:r>
        <w:rPr>
          <w:rFonts w:ascii="Arial" w:cs="Arial" w:eastAsia="Arial" w:hAnsi="Arial"/>
          <w:sz w:val="17"/>
          <w:szCs w:val="17"/>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6"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4"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4"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301" w:right="359" w:bottom="1440" w:gutter="0" w:footer="0" w:header="0"/>
        </w:sectPr>
      </w:pPr>
    </w:p>
    <w:bookmarkStart w:id="73" w:name="page74"/>
    <w:bookmarkEnd w:id="73"/>
    <w:p>
      <w:pPr>
        <w:ind w:right="6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ind w:right="280" w:firstLine="449"/>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6"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87"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301" w:right="339" w:bottom="1440" w:gutter="0" w:footer="0" w:header="0"/>
        </w:sectPr>
      </w:pPr>
    </w:p>
    <w:bookmarkStart w:id="74" w:name="page75"/>
    <w:bookmarkEnd w:id="7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7" w:lineRule="exact"/>
        <w:rPr>
          <w:sz w:val="20"/>
          <w:szCs w:val="20"/>
          <w:color w:val="auto"/>
        </w:rPr>
      </w:pPr>
    </w:p>
    <w:p>
      <w:pPr>
        <w:ind w:right="60" w:firstLine="449"/>
        <w:spacing w:after="0" w:line="34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1000" w:hanging="439"/>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00" w:right="100" w:hanging="439"/>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1000" w:right="340" w:hanging="439"/>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46"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30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depositary that holds the global security will be considered the holder of the debt securities represented by the global security.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000" w:right="120" w:hanging="439"/>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5" w:lineRule="exact"/>
        <w:rPr>
          <w:rFonts w:ascii="Arial" w:cs="Arial" w:eastAsia="Arial" w:hAnsi="Arial"/>
          <w:sz w:val="18"/>
          <w:szCs w:val="18"/>
          <w:color w:val="auto"/>
        </w:rPr>
      </w:pPr>
    </w:p>
    <w:p>
      <w:pPr>
        <w:ind w:left="1000" w:right="80" w:hanging="439"/>
        <w:spacing w:after="0" w:line="263"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8" w:lineRule="exact"/>
        <w:rPr>
          <w:rFonts w:ascii="Arial" w:cs="Arial" w:eastAsia="Arial" w:hAnsi="Arial"/>
          <w:sz w:val="18"/>
          <w:szCs w:val="18"/>
          <w:color w:val="auto"/>
        </w:rPr>
      </w:pPr>
    </w:p>
    <w:p>
      <w:pPr>
        <w:ind w:left="1000" w:right="140" w:hanging="439"/>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5" w:lineRule="exact"/>
        <w:rPr>
          <w:rFonts w:ascii="Arial" w:cs="Arial" w:eastAsia="Arial" w:hAnsi="Arial"/>
          <w:sz w:val="18"/>
          <w:szCs w:val="18"/>
          <w:color w:val="auto"/>
        </w:rPr>
      </w:pPr>
    </w:p>
    <w:p>
      <w:pPr>
        <w:ind w:left="1000" w:right="720" w:hanging="439"/>
        <w:spacing w:after="0" w:line="308"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11" w:lineRule="exact"/>
        <w:rPr>
          <w:rFonts w:ascii="Arial" w:cs="Arial" w:eastAsia="Arial" w:hAnsi="Arial"/>
          <w:sz w:val="17"/>
          <w:szCs w:val="17"/>
          <w:color w:val="auto"/>
        </w:rPr>
      </w:pPr>
    </w:p>
    <w:p>
      <w:pPr>
        <w:ind w:left="1000" w:right="80" w:hanging="439"/>
        <w:spacing w:after="0" w:line="286"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30" w:lineRule="exact"/>
        <w:rPr>
          <w:rFonts w:ascii="Arial" w:cs="Arial" w:eastAsia="Arial" w:hAnsi="Arial"/>
          <w:sz w:val="17"/>
          <w:szCs w:val="17"/>
          <w:color w:val="auto"/>
        </w:rPr>
      </w:pPr>
    </w:p>
    <w:p>
      <w:pPr>
        <w:ind w:left="1000" w:right="360" w:hanging="439"/>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5" w:lineRule="exact"/>
        <w:rPr>
          <w:rFonts w:ascii="Arial" w:cs="Arial" w:eastAsia="Arial" w:hAnsi="Arial"/>
          <w:sz w:val="18"/>
          <w:szCs w:val="18"/>
          <w:color w:val="auto"/>
        </w:rPr>
      </w:pPr>
    </w:p>
    <w:p>
      <w:pPr>
        <w:ind w:left="1000" w:right="160" w:hanging="439"/>
        <w:spacing w:after="0" w:line="263"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8" w:lineRule="exact"/>
        <w:rPr>
          <w:rFonts w:ascii="Arial" w:cs="Arial" w:eastAsia="Arial" w:hAnsi="Arial"/>
          <w:sz w:val="18"/>
          <w:szCs w:val="18"/>
          <w:color w:val="auto"/>
        </w:rPr>
      </w:pPr>
    </w:p>
    <w:p>
      <w:pPr>
        <w:ind w:left="1000" w:right="80" w:hanging="439"/>
        <w:spacing w:after="0" w:line="263"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8" w:lineRule="exact"/>
        <w:rPr>
          <w:rFonts w:ascii="Arial" w:cs="Arial" w:eastAsia="Arial" w:hAnsi="Arial"/>
          <w:sz w:val="18"/>
          <w:szCs w:val="18"/>
          <w:color w:val="auto"/>
        </w:rPr>
      </w:pPr>
    </w:p>
    <w:p>
      <w:pPr>
        <w:ind w:left="1000" w:right="120" w:hanging="439"/>
        <w:spacing w:after="0" w:line="259"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 Issuance of Securities in Registered Form” above.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1000" w:right="380" w:hanging="439"/>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5" w:lineRule="exact"/>
        <w:rPr>
          <w:rFonts w:ascii="Arial" w:cs="Arial" w:eastAsia="Arial" w:hAnsi="Arial"/>
          <w:sz w:val="18"/>
          <w:szCs w:val="18"/>
          <w:color w:val="auto"/>
        </w:rPr>
      </w:pPr>
    </w:p>
    <w:p>
      <w:pPr>
        <w:ind w:left="1000" w:hanging="439"/>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301" w:right="339" w:bottom="1440" w:gutter="0" w:footer="0" w:header="0"/>
        </w:sectPr>
      </w:pPr>
    </w:p>
    <w:bookmarkStart w:id="76" w:name="page77"/>
    <w:bookmarkEnd w:id="76"/>
    <w:p>
      <w:pPr>
        <w:ind w:left="1000" w:right="40" w:hanging="439"/>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right="540" w:firstLine="449"/>
        <w:spacing w:after="0" w:line="301"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382" w:right="339" w:bottom="1440" w:gutter="0" w:footer="0" w:header="0"/>
        </w:sectPr>
      </w:pPr>
    </w:p>
    <w:bookmarkStart w:id="77" w:name="page78"/>
    <w:bookmarkEnd w:id="77"/>
    <w:p>
      <w:pPr>
        <w:ind w:right="70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Book-entry and other indirect holders should consult their banks or brokers for information on how they will receive payments on their debt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000" w:hanging="439"/>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1000" w:right="100" w:hanging="439"/>
        <w:spacing w:after="0" w:line="342"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1000" w:hanging="439"/>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right="120" w:firstLine="449"/>
        <w:spacing w:after="0" w:line="279" w:lineRule="auto"/>
        <w:rPr>
          <w:sz w:val="20"/>
          <w:szCs w:val="20"/>
          <w:color w:val="auto"/>
        </w:rPr>
      </w:pPr>
      <w:r>
        <w:rPr>
          <w:rFonts w:ascii="Arial" w:cs="Arial" w:eastAsia="Arial" w:hAnsi="Arial"/>
          <w:sz w:val="17"/>
          <w:szCs w:val="17"/>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71"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61"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000" w:hanging="439"/>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000" w:right="80" w:hanging="439"/>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301" w:right="339" w:bottom="1440" w:gutter="0" w:footer="0" w:header="0"/>
        </w:sectPr>
      </w:pPr>
    </w:p>
    <w:bookmarkStart w:id="78" w:name="page79"/>
    <w:bookmarkEnd w:id="78"/>
    <w:p>
      <w:pPr>
        <w:ind w:left="1000" w:hanging="439"/>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1000" w:right="340" w:hanging="439"/>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1" w:lineRule="exact"/>
        <w:rPr>
          <w:sz w:val="20"/>
          <w:szCs w:val="20"/>
          <w:color w:val="auto"/>
        </w:rPr>
      </w:pPr>
    </w:p>
    <w:p>
      <w:pPr>
        <w:ind w:right="80" w:firstLine="562"/>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right="700" w:firstLine="449"/>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000" w:right="80" w:hanging="439"/>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1000" w:hanging="439"/>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320" w:top="301" w:right="379" w:bottom="1440" w:gutter="0" w:footer="0" w:header="0"/>
        </w:sectPr>
      </w:pPr>
    </w:p>
    <w:bookmarkStart w:id="79" w:name="page80"/>
    <w:bookmarkEnd w:id="79"/>
    <w:p>
      <w:pPr>
        <w:ind w:left="1000" w:hanging="439"/>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change the place or currency of payment on a debt security (except as otherwise described in the prospectus or prospectus supplement);</w:t>
      </w:r>
    </w:p>
    <w:p>
      <w:pPr>
        <w:spacing w:after="0" w:line="153" w:lineRule="exact"/>
        <w:rPr>
          <w:rFonts w:ascii="Arial" w:cs="Arial" w:eastAsia="Arial" w:hAnsi="Arial"/>
          <w:sz w:val="16"/>
          <w:szCs w:val="16"/>
          <w:color w:val="auto"/>
        </w:rPr>
      </w:pPr>
    </w:p>
    <w:p>
      <w:pPr>
        <w:ind w:left="1000" w:hanging="439"/>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00" w:right="280" w:hanging="439"/>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000" w:hanging="439"/>
        <w:spacing w:after="0"/>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53" w:lineRule="exact"/>
        <w:rPr>
          <w:rFonts w:ascii="Arial" w:cs="Arial" w:eastAsia="Arial" w:hAnsi="Arial"/>
          <w:sz w:val="16"/>
          <w:szCs w:val="16"/>
          <w:color w:val="auto"/>
        </w:rPr>
      </w:pPr>
    </w:p>
    <w:p>
      <w:pPr>
        <w:ind w:left="1000" w:right="60" w:hanging="439"/>
        <w:spacing w:after="0" w:line="342"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00" w:right="140" w:hanging="439"/>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OID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1000" w:right="20" w:hanging="439"/>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301" w:right="359" w:bottom="1440" w:gutter="0" w:footer="0" w:header="0"/>
        </w:sectPr>
      </w:pPr>
    </w:p>
    <w:bookmarkStart w:id="80" w:name="page81"/>
    <w:bookmarkEnd w:id="80"/>
    <w:p>
      <w:pPr>
        <w:ind w:left="1000" w:hanging="439"/>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 debt securities denominated in one or more foreign currencies, we will use the U.S. dollar equivalent.</w:t>
      </w:r>
    </w:p>
    <w:p>
      <w:pPr>
        <w:spacing w:after="0" w:line="225"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right="60" w:firstLine="562"/>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700" w:firstLine="449"/>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93" w:lineRule="exact"/>
        <w:rPr>
          <w:sz w:val="20"/>
          <w:szCs w:val="20"/>
          <w:color w:val="auto"/>
        </w:rPr>
      </w:pPr>
    </w:p>
    <w:p>
      <w:pPr>
        <w:ind w:left="1000" w:hanging="439"/>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9" w:lineRule="exact"/>
        <w:rPr>
          <w:rFonts w:ascii="Arial" w:cs="Arial" w:eastAsia="Arial" w:hAnsi="Arial"/>
          <w:sz w:val="18"/>
          <w:szCs w:val="18"/>
          <w:color w:val="auto"/>
        </w:rPr>
      </w:pPr>
    </w:p>
    <w:p>
      <w:pPr>
        <w:ind w:left="1000" w:hanging="439"/>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4"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46"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301"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Full Defeasance</w:t>
      </w:r>
    </w:p>
    <w:p>
      <w:pPr>
        <w:spacing w:after="0" w:line="117" w:lineRule="exact"/>
        <w:rPr>
          <w:sz w:val="20"/>
          <w:szCs w:val="20"/>
          <w:color w:val="auto"/>
        </w:rPr>
      </w:pPr>
    </w:p>
    <w:p>
      <w:pPr>
        <w:ind w:right="200" w:firstLine="449"/>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000" w:hanging="439"/>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89" w:lineRule="exact"/>
        <w:rPr>
          <w:rFonts w:ascii="Arial" w:cs="Arial" w:eastAsia="Arial" w:hAnsi="Arial"/>
          <w:sz w:val="18"/>
          <w:szCs w:val="18"/>
          <w:color w:val="auto"/>
        </w:rPr>
      </w:pPr>
    </w:p>
    <w:p>
      <w:pPr>
        <w:ind w:left="1000" w:hanging="439"/>
        <w:spacing w:after="0" w:line="255"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97" w:lineRule="exact"/>
        <w:rPr>
          <w:rFonts w:ascii="Arial" w:cs="Arial" w:eastAsia="Arial" w:hAnsi="Arial"/>
          <w:sz w:val="18"/>
          <w:szCs w:val="18"/>
          <w:color w:val="auto"/>
        </w:rPr>
      </w:pPr>
    </w:p>
    <w:p>
      <w:pPr>
        <w:ind w:left="1000" w:right="140" w:hanging="439"/>
        <w:spacing w:after="0" w:line="308"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46"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000" w:hanging="439"/>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unless we indicate otherwise in the prospectus supplement, in denominations of $1,000 and amounts that are multiples of $1,000.</w:t>
      </w:r>
    </w:p>
    <w:p>
      <w:pPr>
        <w:spacing w:after="0" w:line="237"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4"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4"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301" w:right="359" w:bottom="1440" w:gutter="0" w:footer="0" w:header="0"/>
        </w:sectPr>
      </w:pPr>
    </w:p>
    <w:bookmarkStart w:id="82" w:name="page83"/>
    <w:bookmarkEnd w:id="82"/>
    <w:p>
      <w:pPr>
        <w:ind w:firstLine="449"/>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95" w:lineRule="exact"/>
        <w:rPr>
          <w:sz w:val="20"/>
          <w:szCs w:val="20"/>
          <w:color w:val="auto"/>
        </w:rPr>
      </w:pPr>
    </w:p>
    <w:p>
      <w:pPr>
        <w:ind w:right="180" w:firstLine="449"/>
        <w:spacing w:after="0" w:line="254"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9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00" w:right="140" w:hanging="439"/>
        <w:spacing w:after="0" w:line="259"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1000" w:hanging="439"/>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320" w:top="301" w:right="379" w:bottom="1440" w:gutter="0" w:footer="0" w:header="0"/>
        </w:sectPr>
      </w:pPr>
    </w:p>
    <w:bookmarkStart w:id="83" w:name="page84"/>
    <w:bookmarkEnd w:id="83"/>
    <w:p>
      <w:pPr>
        <w:ind w:firstLine="449"/>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this prospectus is being delivered in connection with the offering of a series of indenture securities denominated as subordinated debt securities, an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American Stock Transfer &amp; Trust Company, LLC is the trustee under the indenture. Mishmeret Trust Company, Ltd. serves as trustee for our 2023 Notes.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320" w:top="301" w:right="379" w:bottom="1440" w:gutter="0" w:footer="0" w:header="0"/>
        </w:sectPr>
      </w:pPr>
    </w:p>
    <w:bookmarkStart w:id="84" w:name="page85"/>
    <w:bookmarkEnd w:id="8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BROKERAGE ALLOCATIONS AND OTHER PRACTICES</w:t>
      </w:r>
    </w:p>
    <w:p>
      <w:pPr>
        <w:spacing w:after="0" w:line="22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60"/>
          </w:cols>
          <w:pgMar w:left="320" w:top="297" w:right="41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MATERIAL U.S. FEDERAL INCOME TAX CONSIDERATIONS</w:t>
      </w:r>
    </w:p>
    <w:p>
      <w:pPr>
        <w:spacing w:after="0" w:line="22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000" w:hanging="439"/>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00" w:right="260" w:hanging="439"/>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1000" w:right="140" w:hanging="439"/>
        <w:spacing w:after="0" w:line="263"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9" w:lineRule="exact"/>
        <w:rPr>
          <w:rFonts w:ascii="Arial" w:cs="Arial" w:eastAsia="Arial" w:hAnsi="Arial"/>
          <w:sz w:val="18"/>
          <w:szCs w:val="18"/>
          <w:color w:val="auto"/>
        </w:rPr>
      </w:pPr>
    </w:p>
    <w:p>
      <w:pPr>
        <w:ind w:left="1000" w:hanging="439"/>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jc w:val="both"/>
        <w:ind w:right="320" w:firstLine="449"/>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297"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Election to be Treated as a RIC</w:t>
      </w:r>
    </w:p>
    <w:p>
      <w:pPr>
        <w:spacing w:after="0" w:line="121"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1000" w:hanging="439"/>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jc w:val="both"/>
        <w:ind w:left="1000" w:right="100" w:hanging="439"/>
        <w:spacing w:after="0" w:line="263"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9" w:lineRule="exact"/>
        <w:rPr>
          <w:rFonts w:ascii="Arial" w:cs="Arial" w:eastAsia="Arial" w:hAnsi="Arial"/>
          <w:sz w:val="18"/>
          <w:szCs w:val="18"/>
          <w:color w:val="auto"/>
        </w:rPr>
      </w:pPr>
    </w:p>
    <w:p>
      <w:pPr>
        <w:ind w:left="1000" w:hanging="439"/>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jc w:val="both"/>
        <w:ind w:left="1460" w:hanging="453"/>
        <w:spacing w:after="0" w:line="263" w:lineRule="auto"/>
        <w:tabs>
          <w:tab w:leader="none" w:pos="1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9" w:lineRule="exact"/>
        <w:rPr>
          <w:rFonts w:ascii="Arial" w:cs="Arial" w:eastAsia="Arial" w:hAnsi="Arial"/>
          <w:sz w:val="18"/>
          <w:szCs w:val="18"/>
          <w:color w:val="auto"/>
        </w:rPr>
      </w:pPr>
    </w:p>
    <w:p>
      <w:pPr>
        <w:ind w:left="1460" w:hanging="453"/>
        <w:spacing w:after="0" w:line="286" w:lineRule="auto"/>
        <w:tabs>
          <w:tab w:leader="none" w:pos="14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5" w:lineRule="exact"/>
        <w:rPr>
          <w:sz w:val="20"/>
          <w:szCs w:val="20"/>
          <w:color w:val="auto"/>
        </w:rPr>
      </w:pPr>
    </w:p>
    <w:p>
      <w:pPr>
        <w:jc w:val="both"/>
        <w:ind w:right="20" w:firstLine="449"/>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9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88"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297" w:right="359" w:bottom="1440" w:gutter="0" w:footer="0" w:header="0"/>
        </w:sectPr>
      </w:pPr>
    </w:p>
    <w:bookmarkStart w:id="87" w:name="page88"/>
    <w:bookmarkEnd w:id="87"/>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purposes. The Taxable Subsidiary generally will be subject to corporate income taxes on its earnings, which ultimately will reduce our return on such income and fees.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9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78"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76"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24" w:lineRule="exact"/>
        <w:rPr>
          <w:sz w:val="20"/>
          <w:szCs w:val="20"/>
          <w:color w:val="auto"/>
        </w:rPr>
      </w:pPr>
    </w:p>
    <w:p>
      <w:pPr>
        <w:ind w:right="300" w:firstLine="449"/>
        <w:spacing w:after="0" w:line="273" w:lineRule="auto"/>
        <w:rPr>
          <w:sz w:val="20"/>
          <w:szCs w:val="20"/>
          <w:color w:val="auto"/>
        </w:rPr>
      </w:pPr>
      <w:r>
        <w:rPr>
          <w:rFonts w:ascii="Arial" w:cs="Arial" w:eastAsia="Arial" w:hAnsi="Arial"/>
          <w:sz w:val="17"/>
          <w:szCs w:val="17"/>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8"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80"/>
          </w:cols>
          <w:pgMar w:left="320" w:top="301" w:right="39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Failure to Qualify as a RIC</w:t>
      </w:r>
    </w:p>
    <w:p>
      <w:pPr>
        <w:spacing w:after="0" w:line="121"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88"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right="80" w:firstLine="449"/>
        <w:spacing w:after="0" w:line="268" w:lineRule="auto"/>
        <w:rPr>
          <w:sz w:val="20"/>
          <w:szCs w:val="20"/>
          <w:color w:val="auto"/>
        </w:rPr>
      </w:pPr>
      <w:r>
        <w:rPr>
          <w:rFonts w:ascii="Arial" w:cs="Arial" w:eastAsia="Arial" w:hAnsi="Arial"/>
          <w:sz w:val="17"/>
          <w:szCs w:val="17"/>
          <w:color w:val="auto"/>
        </w:rPr>
        <w:t>Distributions by us, including distributions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and other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reported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86"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297" w:right="339" w:bottom="1440" w:gutter="0" w:footer="0" w:header="0"/>
        </w:sectPr>
      </w:pPr>
    </w:p>
    <w:bookmarkStart w:id="89" w:name="page90"/>
    <w:bookmarkEnd w:id="8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 and since that rate is currently in excess of the maximum rate generally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82"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78" w:lineRule="exact"/>
        <w:rPr>
          <w:sz w:val="20"/>
          <w:szCs w:val="20"/>
          <w:color w:val="auto"/>
        </w:rPr>
      </w:pPr>
    </w:p>
    <w:p>
      <w:pPr>
        <w:ind w:right="140" w:firstLine="449"/>
        <w:spacing w:after="0" w:line="34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24"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77"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also applied to ordinary income. Non-corporate stockholders with net capital losses for a taxable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taxable year, but may carryback such losses for three taxable years or carry forward such losses for five taxable years.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320" w:top="301" w:right="379" w:bottom="1440" w:gutter="0" w:footer="0" w:header="0"/>
        </w:sectPr>
      </w:pPr>
    </w:p>
    <w:bookmarkStart w:id="90" w:name="page91"/>
    <w:bookmarkEnd w:id="90"/>
    <w:p>
      <w:pPr>
        <w:ind w:firstLine="44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76"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4" w:lineRule="exact"/>
        <w:rPr>
          <w:sz w:val="20"/>
          <w:szCs w:val="20"/>
          <w:color w:val="auto"/>
        </w:rPr>
      </w:pPr>
    </w:p>
    <w:p>
      <w:pPr>
        <w:ind w:right="160" w:firstLine="449"/>
        <w:spacing w:after="0" w:line="287"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w:t>
      </w:r>
    </w:p>
    <w:p>
      <w:pPr>
        <w:spacing w:after="0" w:line="2" w:lineRule="exact"/>
        <w:rPr>
          <w:sz w:val="20"/>
          <w:szCs w:val="20"/>
          <w:color w:val="auto"/>
        </w:rPr>
      </w:pPr>
    </w:p>
    <w:p>
      <w:pPr>
        <w:jc w:val="both"/>
        <w:ind w:right="80" w:firstLine="8"/>
        <w:spacing w:after="0" w:line="273" w:lineRule="auto"/>
        <w:tabs>
          <w:tab w:leader="none" w:pos="2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4"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Subject to the discussion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2"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color w:val="auto"/>
        </w:rPr>
        <w:t>In addition, with respect to certain distributions made by RICs to Non-U.S. Stockholders, no withholding is required and the distributions generally are not subject to U.S. federal income tax if (i) the distributions are properly reported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301" w:right="359" w:bottom="1440" w:gutter="0" w:footer="0" w:header="0"/>
        </w:sectPr>
      </w:pPr>
    </w:p>
    <w:bookmarkStart w:id="91" w:name="page92"/>
    <w:bookmarkEnd w:id="91"/>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8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92"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92"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78"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301" w:right="35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PLAN OF DISTRIBUTION</w:t>
      </w:r>
    </w:p>
    <w:p>
      <w:pPr>
        <w:spacing w:after="0" w:line="229" w:lineRule="exact"/>
        <w:rPr>
          <w:sz w:val="20"/>
          <w:szCs w:val="20"/>
          <w:color w:val="auto"/>
        </w:rPr>
      </w:pPr>
    </w:p>
    <w:p>
      <w:pPr>
        <w:ind w:right="460" w:firstLine="449"/>
        <w:spacing w:after="0" w:line="259" w:lineRule="auto"/>
        <w:rPr>
          <w:sz w:val="20"/>
          <w:szCs w:val="20"/>
          <w:color w:val="auto"/>
        </w:rPr>
      </w:pPr>
      <w:r>
        <w:rPr>
          <w:rFonts w:ascii="Arial" w:cs="Arial" w:eastAsia="Arial" w:hAnsi="Arial"/>
          <w:sz w:val="18"/>
          <w:szCs w:val="18"/>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92" w:lineRule="exact"/>
        <w:rPr>
          <w:sz w:val="20"/>
          <w:szCs w:val="20"/>
          <w:color w:val="auto"/>
        </w:rPr>
      </w:pPr>
    </w:p>
    <w:p>
      <w:pPr>
        <w:ind w:left="1000" w:hanging="439"/>
        <w:spacing w:after="0"/>
        <w:tabs>
          <w:tab w:leader="none" w:pos="10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1000" w:right="420" w:hanging="439"/>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4"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88"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4" w:lineRule="exact"/>
        <w:rPr>
          <w:sz w:val="20"/>
          <w:szCs w:val="20"/>
          <w:color w:val="auto"/>
        </w:rPr>
      </w:pPr>
    </w:p>
    <w:p>
      <w:pPr>
        <w:ind w:right="440" w:firstLine="449"/>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297" w:right="339" w:bottom="1440" w:gutter="0" w:footer="0" w:header="0"/>
        </w:sectPr>
      </w:pPr>
    </w:p>
    <w:bookmarkStart w:id="93" w:name="page94"/>
    <w:bookmarkEnd w:id="93"/>
    <w:p>
      <w:pPr>
        <w:ind w:firstLine="449"/>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320" w:top="301" w:right="37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SUB-ADMINISTRATOR, CUSTODIAN, TRANSFER AGENT AND TRUSTEE</w:t>
      </w:r>
    </w:p>
    <w:p>
      <w:pPr>
        <w:spacing w:after="0" w:line="229" w:lineRule="exact"/>
        <w:rPr>
          <w:sz w:val="20"/>
          <w:szCs w:val="20"/>
          <w:color w:val="auto"/>
        </w:rPr>
      </w:pPr>
    </w:p>
    <w:p>
      <w:pPr>
        <w:ind w:firstLine="449"/>
        <w:spacing w:after="0" w:line="280" w:lineRule="auto"/>
        <w:rPr>
          <w:sz w:val="20"/>
          <w:szCs w:val="20"/>
          <w:color w:val="auto"/>
        </w:rPr>
      </w:pPr>
      <w:r>
        <w:rPr>
          <w:rFonts w:ascii="Arial" w:cs="Arial" w:eastAsia="Arial" w:hAnsi="Arial"/>
          <w:sz w:val="16"/>
          <w:szCs w:val="16"/>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Avenue, 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floor, Brooklyn, NY 11219, telephone number: (800) 937-5449. American Stock Transfer &amp; Trust Company, LLC may also serve as trustee for offerings of our debt securities. Mishmeret Trust Company, Ltd. serves as trustee for our 2023 Notes. The principal business address of Mishmeret Trust Company, Ltd. is 46-48 Menachem Begin Road, Tel Aviv, Israel 66184.</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Maryland counsel. Certain legal matters will be passed upon for underwriters, if any, by the counsel named in the prospectus supplement, if any.</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Our current independent registered public accounting firm, RSM US LLP, located at 151 West 42nd Street, New York, NY 10036, has audited the consolidated financial statements of the Company as of September 30, 2019 and 2018 and for each of the years in the three-year period ended September 30, 2019 and the effectiveness of internal control over financial reporting as of September 30, 2019 incorporated in this Prospectus by reference from the Company’s Annual Report on Form 10-K for the year ended September 30, 2019, as stated in their reports thereon incorporated herein by reference, and have been incorporated and included in this Prospectus and Registration Statement in reliance upon such reports and upon the authority of such firm as experts in accounting and auditing. The senior securities table of the Company included in this Prospectus and elsewhere in the Registration Statement has been included in reliance upon the report of RSM US LLP, an independent registered public accounting firm, as stated in their report filed as an exhibit to the Registration Statement of which this Prospectus is part.</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This prospectus is part of a registration statement that we have filed with the SEC. Pursuant to the Small Business Credit Availability Act, or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87"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the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297" w:right="359" w:bottom="1440" w:gutter="0" w:footer="0" w:header="0"/>
        </w:sectPr>
      </w:pPr>
    </w:p>
    <w:bookmarkStart w:id="95" w:name="page96"/>
    <w:bookmarkEnd w:id="9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This prospectus and any prospectus supplement incorporates by reference the documents set forth below that have previously been filed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116" w:lineRule="exact"/>
        <w:rPr>
          <w:sz w:val="20"/>
          <w:szCs w:val="20"/>
          <w:color w:val="auto"/>
        </w:rPr>
      </w:pPr>
    </w:p>
    <w:p>
      <w:pPr>
        <w:jc w:val="both"/>
        <w:ind w:left="1000" w:right="340" w:hanging="439"/>
        <w:spacing w:after="0" w:line="263"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September 30, 2019, filed with the SEC on November 20, 2019, including the information specifically incorporated by reference to the Form 10-K from our Definitive Proxy Statement on </w:t>
      </w:r>
      <w:hyperlink r:id="rId45">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December 17, 2019; and</w:t>
      </w:r>
    </w:p>
    <w:p>
      <w:pPr>
        <w:spacing w:after="0" w:line="89" w:lineRule="exact"/>
        <w:rPr>
          <w:rFonts w:ascii="Arial" w:cs="Arial" w:eastAsia="Arial" w:hAnsi="Arial"/>
          <w:sz w:val="18"/>
          <w:szCs w:val="18"/>
          <w:color w:val="auto"/>
        </w:rPr>
      </w:pPr>
    </w:p>
    <w:p>
      <w:pPr>
        <w:ind w:left="1000" w:hanging="439"/>
        <w:spacing w:after="0" w:line="263"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referenced in our Registration Statement on </w:t>
      </w:r>
      <w:hyperlink r:id="rId46">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(No. 001-35127), as filed with the SEC on April 7, 2011, including any amendment or report filed for the purpose of updating such description prior to the termination of the offering of the common stock registered hereby.</w:t>
      </w:r>
    </w:p>
    <w:p>
      <w:pPr>
        <w:spacing w:after="0" w:line="184"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32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rFonts w:ascii="Arial" w:cs="Arial" w:eastAsia="Arial" w:hAnsi="Arial"/>
          <w:sz w:val="18"/>
          <w:szCs w:val="18"/>
          <w:color w:val="auto"/>
        </w:rPr>
      </w:pPr>
    </w:p>
    <w:p>
      <w:pPr>
        <w:ind w:right="60" w:firstLine="449"/>
        <w:spacing w:after="0" w:line="254" w:lineRule="auto"/>
        <w:rPr>
          <w:sz w:val="20"/>
          <w:szCs w:val="20"/>
          <w:color w:val="auto"/>
        </w:rPr>
      </w:pPr>
      <w:r>
        <w:rPr>
          <w:rFonts w:ascii="Arial" w:cs="Arial" w:eastAsia="Arial" w:hAnsi="Arial"/>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Except for the documents incorporated by reference into this prospectus and any accompanying prospectus supplement,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Copies of these reports, proxy and information statements and other information may be obtained, after paying a duplicating fee, by sending a request by email to: publicinfo@sec.gov.</w:t>
      </w:r>
    </w:p>
    <w:p>
      <w:pPr>
        <w:spacing w:after="0" w:line="12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301" w:right="339"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226060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6995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2668270</wp:posOffset>
            </wp:positionH>
            <wp:positionV relativeFrom="page">
              <wp:posOffset>628650</wp:posOffset>
            </wp:positionV>
            <wp:extent cx="2219960" cy="514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2219960" cy="51435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260"/>
        <w:spacing w:after="0"/>
        <w:rPr>
          <w:sz w:val="20"/>
          <w:szCs w:val="20"/>
          <w:color w:val="auto"/>
        </w:rPr>
      </w:pPr>
      <w:r>
        <w:rPr>
          <w:rFonts w:ascii="Arial" w:cs="Arial" w:eastAsia="Arial" w:hAnsi="Arial"/>
          <w:sz w:val="29"/>
          <w:szCs w:val="29"/>
          <w:b w:val="1"/>
          <w:bCs w:val="1"/>
          <w:color w:val="auto"/>
        </w:rPr>
        <w:t>4,000,000 Shares</w:t>
      </w:r>
    </w:p>
    <w:p>
      <w:pPr>
        <w:spacing w:after="0" w:line="229" w:lineRule="exact"/>
        <w:rPr>
          <w:sz w:val="20"/>
          <w:szCs w:val="20"/>
          <w:color w:val="auto"/>
        </w:rPr>
      </w:pPr>
    </w:p>
    <w:p>
      <w:pPr>
        <w:jc w:val="center"/>
        <w:ind w:right="26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1675130</wp:posOffset>
            </wp:positionV>
            <wp:extent cx="1474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6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249555</wp:posOffset>
            </wp:positionV>
            <wp:extent cx="1474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60"/>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0740"/>
          </w:cols>
          <w:pgMar w:left="700" w:top="1440" w:right="459" w:bottom="1440" w:gutter="0" w:footer="0" w:header="0"/>
        </w:sectPr>
      </w:pP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Morgan Stanley</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J.P. Morgan</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right"/>
        <w:spacing w:after="0" w:line="334" w:lineRule="auto"/>
        <w:rPr>
          <w:sz w:val="20"/>
          <w:szCs w:val="20"/>
          <w:color w:val="auto"/>
        </w:rPr>
      </w:pPr>
      <w:r>
        <w:rPr>
          <w:rFonts w:ascii="Arial" w:cs="Arial" w:eastAsia="Arial" w:hAnsi="Arial"/>
          <w:sz w:val="15"/>
          <w:szCs w:val="15"/>
          <w:b w:val="1"/>
          <w:bCs w:val="1"/>
          <w:color w:val="auto"/>
        </w:rPr>
        <w:t xml:space="preserve">Keefe, Bruyette &amp; Woods </w:t>
      </w:r>
      <w:r>
        <w:rPr>
          <w:rFonts w:ascii="Arial" w:cs="Arial" w:eastAsia="Arial" w:hAnsi="Arial"/>
          <w:sz w:val="15"/>
          <w:szCs w:val="15"/>
          <w:i w:val="1"/>
          <w:iCs w:val="1"/>
          <w:color w:val="auto"/>
        </w:rPr>
        <w:t>A Stifel Company</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tabs>
          <w:tab w:leader="none" w:pos="1800" w:val="left"/>
        </w:tabs>
        <w:rPr>
          <w:sz w:val="20"/>
          <w:szCs w:val="20"/>
          <w:color w:val="auto"/>
        </w:rPr>
      </w:pPr>
      <w:r>
        <w:rPr>
          <w:rFonts w:ascii="Arial" w:cs="Arial" w:eastAsia="Arial" w:hAnsi="Arial"/>
          <w:sz w:val="16"/>
          <w:szCs w:val="16"/>
          <w:b w:val="1"/>
          <w:bCs w:val="1"/>
          <w:color w:val="auto"/>
        </w:rPr>
        <w:t>RBC Capital Markets</w:t>
      </w:r>
      <w:r>
        <w:rPr>
          <w:sz w:val="20"/>
          <w:szCs w:val="20"/>
          <w:color w:val="auto"/>
        </w:rPr>
        <w:tab/>
      </w:r>
      <w:r>
        <w:rPr>
          <w:rFonts w:ascii="Arial" w:cs="Arial" w:eastAsia="Arial" w:hAnsi="Arial"/>
          <w:sz w:val="14"/>
          <w:szCs w:val="14"/>
          <w:b w:val="1"/>
          <w:bCs w:val="1"/>
          <w:color w:val="auto"/>
        </w:rPr>
        <w:t>Truist Securities</w:t>
      </w:r>
    </w:p>
    <w:p>
      <w:pPr>
        <w:spacing w:after="0" w:line="450" w:lineRule="exact"/>
        <w:rPr>
          <w:sz w:val="20"/>
          <w:szCs w:val="20"/>
          <w:color w:val="auto"/>
        </w:rPr>
      </w:pPr>
    </w:p>
    <w:p>
      <w:pPr>
        <w:sectPr>
          <w:pgSz w:w="11900" w:h="16838" w:orient="portrait"/>
          <w:cols w:equalWidth="0" w:num="5">
            <w:col w:w="1120" w:space="380"/>
            <w:col w:w="1900" w:space="620"/>
            <w:col w:w="840" w:space="680"/>
            <w:col w:w="1760" w:space="500"/>
            <w:col w:w="2940"/>
          </w:cols>
          <w:pgMar w:left="700" w:top="1440" w:right="459" w:bottom="1440" w:gutter="0" w:footer="0" w:header="0"/>
          <w:type w:val="continuous"/>
        </w:sectPr>
      </w:pPr>
    </w:p>
    <w:p>
      <w:pPr>
        <w:jc w:val="center"/>
        <w:ind w:right="260"/>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0740"/>
          </w:cols>
          <w:pgMar w:left="700" w:top="1440" w:right="459" w:bottom="1440" w:gutter="0" w:footer="0" w:header="0"/>
          <w:type w:val="continuous"/>
        </w:sectPr>
      </w:pPr>
    </w:p>
    <w:p>
      <w:pPr>
        <w:spacing w:after="0" w:line="27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Janney Montgomery Scott</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Ladenburg Thalmann</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jc w:val="center"/>
        <w:ind w:right="640"/>
        <w:spacing w:after="0"/>
        <w:rPr>
          <w:sz w:val="20"/>
          <w:szCs w:val="20"/>
          <w:color w:val="auto"/>
        </w:rPr>
      </w:pPr>
      <w:r>
        <w:rPr>
          <w:rFonts w:ascii="Arial" w:cs="Arial" w:eastAsia="Arial" w:hAnsi="Arial"/>
          <w:sz w:val="15"/>
          <w:szCs w:val="15"/>
          <w:b w:val="1"/>
          <w:bCs w:val="1"/>
          <w:color w:val="auto"/>
        </w:rPr>
        <w:t>Maxim Group LLC</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Comerica Securities</w:t>
      </w:r>
    </w:p>
    <w:p>
      <w:pPr>
        <w:spacing w:after="0" w:line="211" w:lineRule="exact"/>
        <w:rPr>
          <w:sz w:val="20"/>
          <w:szCs w:val="20"/>
          <w:color w:val="auto"/>
        </w:rPr>
      </w:pPr>
    </w:p>
    <w:p>
      <w:pPr>
        <w:sectPr>
          <w:pgSz w:w="11900" w:h="16838" w:orient="portrait"/>
          <w:cols w:equalWidth="0" w:num="4">
            <w:col w:w="2300" w:space="720"/>
            <w:col w:w="2120" w:space="720"/>
            <w:col w:w="2000" w:space="720"/>
            <w:col w:w="2160"/>
          </w:cols>
          <w:pgMar w:left="700" w:top="1440" w:right="45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August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254635</wp:posOffset>
            </wp:positionV>
            <wp:extent cx="1474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-167005</wp:posOffset>
            </wp:positionH>
            <wp:positionV relativeFrom="paragraph">
              <wp:posOffset>1077595</wp:posOffset>
            </wp:positionV>
            <wp:extent cx="6995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-167005</wp:posOffset>
            </wp:positionH>
            <wp:positionV relativeFrom="paragraph">
              <wp:posOffset>1146175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740"/>
      </w:cols>
      <w:pgMar w:left="700" w:top="1440"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1)"/>
      <w:numFmt w:val="lowerRoman"/>
      <w:start w:val="2"/>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6"/>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decimal"/>
      <w:start w:val="212"/>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7"/>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1)"/>
      <w:numFmt w:val="lowerLetter"/>
      <w:start w:val="2"/>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lvl w:ilvl="1">
      <w:lvlJc w:val="left"/>
      <w:lvlText w:val="%2)"/>
      <w:numFmt w:val="decimal"/>
      <w:start w:val="1"/>
    </w:lvl>
  </w:abstractNum>
  <w:abstractNum w:abstractNumId="53">
    <w:nsid w:val="23F9C13C"/>
    <w:multiLevelType w:val="hybridMultilevel"/>
    <w:lvl w:ilvl="0">
      <w:lvlJc w:val="left"/>
      <w:lvlText w:val="(%1)"/>
      <w:numFmt w:val="decimal"/>
      <w:start w:val="2"/>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jpe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jpe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9" Type="http://schemas.openxmlformats.org/officeDocument/2006/relationships/hyperlink" Target="http://www.sec.gov/Archives/edgar/data/1504619/000156459021057464/pflt-10k_20210930.htm#ITEM_1A_RISK_FACTORS" TargetMode="External"/><Relationship Id="rId10" Type="http://schemas.openxmlformats.org/officeDocument/2006/relationships/hyperlink" Target="http://www.sec.gov/Archives/edgar/data/1504619/000095017022014234/pflt-10q-2022.06.30-no_x.htm#item_1a_risk_factors" TargetMode="External"/><Relationship Id="rId38" Type="http://schemas.openxmlformats.org/officeDocument/2006/relationships/hyperlink" Target="http://www.sec.gov/Archives/edgar/data/1504619/000156459021057464/pflt-10k_20210930.htm" TargetMode="External"/><Relationship Id="rId39" Type="http://schemas.openxmlformats.org/officeDocument/2006/relationships/hyperlink" Target="http://www.sec.gov/Archives/edgar/data/1504619/000095017022000969/pflt-10q-20211231-no_xbr.htm" TargetMode="External"/><Relationship Id="rId40" Type="http://schemas.openxmlformats.org/officeDocument/2006/relationships/hyperlink" Target="http://www.sec.gov/Archives/edgar/data/1504619/000095017022007470/pflt-10q-2022.03.31-no_x.htm" TargetMode="External"/><Relationship Id="rId41" Type="http://schemas.openxmlformats.org/officeDocument/2006/relationships/hyperlink" Target="http://www.sec.gov/Archives/edgar/data/1504619/000095017022014234/pflt-10q-2022.06.30-no_x.htm" TargetMode="External"/><Relationship Id="rId42" Type="http://schemas.openxmlformats.org/officeDocument/2006/relationships/hyperlink" Target="http://www.sec.gov/Archives/edgar/data/0001504619/000095017022001227/pflt_proxy_results_2.8.2.htm" TargetMode="External"/><Relationship Id="rId43" Type="http://schemas.openxmlformats.org/officeDocument/2006/relationships/hyperlink" Target="http://www.sec.gov/Archives/edgar/data/0001504619/000095017022008017/pflt-appt_of_new_directo.htm" TargetMode="External"/><Relationship Id="rId44" Type="http://schemas.openxmlformats.org/officeDocument/2006/relationships/hyperlink" Target="http://www.sec.gov/Archives/edgar/data/0001504619/000117184322004096/f8k_060222.htm" TargetMode="External"/><Relationship Id="rId45" Type="http://schemas.openxmlformats.org/officeDocument/2006/relationships/hyperlink" Target="http://www.sec.gov/Archives/edgar/data/0001504619/000095012319011902/DEF14A.htm" TargetMode="External"/><Relationship Id="rId46" Type="http://schemas.openxmlformats.org/officeDocument/2006/relationships/hyperlink" Target="http://www.sec.gov/Archives/edgar/data/0001504619/000119312511090965/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2022-08-10T15:31:19Z</dcterms:created>
  <dcterms:modified xsi:type="dcterms:W3CDTF">2022-08-10T15:31:19Z</dcterms:modified>
</cp:coreProperties>
</file>