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185" w:right="1527" w:hanging="0"/>
        <w:jc w:val="center"/>
        <w:rPr>
          <w:b/>
          <w:sz w:val="20"/>
        </w:rPr>
      </w:pPr>
      <w:bookmarkStart w:id="0" w:name="f8k_092326.htm"/>
      <w:bookmarkStart w:id="1" w:name="ksf8k_092326"/>
      <w:bookmarkEnd w:id="0"/>
      <w:bookmarkEnd w:id="1"/>
      <w:r>
        <w:rPr>
          <w:b/>
          <w:sz w:val="20"/>
        </w:rPr>
        <w:t>UNITED STATES</w:t>
      </w:r>
    </w:p>
    <w:p>
      <w:pPr>
        <w:pStyle w:val="TextBody"/>
        <w:bidi w:val="0"/>
        <w:spacing w:before="0" w:after="0"/>
        <w:ind w:left="1238" w:right="1527" w:hanging="0"/>
        <w:jc w:val="center"/>
        <w:rPr>
          <w:b/>
          <w:sz w:val="20"/>
        </w:rPr>
      </w:pPr>
      <w:r>
        <w:rPr>
          <w:b/>
          <w:sz w:val="20"/>
        </w:rPr>
        <w:t>SECURITIES AND EXCHANGE COMMISSION</w:t>
      </w:r>
    </w:p>
    <w:p>
      <w:pPr>
        <w:pStyle w:val="TextBody"/>
        <w:bidi w:val="0"/>
        <w:spacing w:before="0" w:after="0"/>
        <w:ind w:left="1243" w:right="1527" w:hanging="0"/>
        <w:jc w:val="center"/>
        <w:rPr>
          <w:sz w:val="20"/>
        </w:rPr>
      </w:pPr>
      <w:r>
        <w:rPr>
          <w:sz w:val="20"/>
        </w:rPr>
        <w:t>Washington, D.C. 20549</w:t>
      </w:r>
    </w:p>
    <w:p>
      <w:pPr>
        <w:pStyle w:val="TextBody"/>
        <w:bidi w:val="0"/>
        <w:spacing w:before="0" w:after="0"/>
        <w:ind w:left="1243" w:right="1527" w:hanging="0"/>
        <w:jc w:val="center"/>
        <w:rPr/>
      </w:pPr>
      <w:r>
        <w:rPr/>
        <w:t> </w:t>
      </w:r>
    </w:p>
    <w:p>
      <w:pPr>
        <w:pStyle w:val="TextBody"/>
        <w:bidi w:val="0"/>
        <w:spacing w:before="0" w:after="0"/>
        <w:ind w:left="1188" w:right="1527" w:hanging="0"/>
        <w:jc w:val="center"/>
        <w:rPr>
          <w:b/>
          <w:sz w:val="20"/>
        </w:rPr>
      </w:pPr>
      <w:r>
        <w:rPr>
          <w:b/>
          <w:sz w:val="20"/>
        </w:rPr>
        <w:t xml:space="preserve">FORM </w:t>
      </w:r>
      <w:bookmarkStart w:id="2" w:name="xdx_90D_edei--DocumentType_c20261002__20"/>
      <w:bookmarkEnd w:id="2"/>
      <w:r>
        <w:rPr>
          <w:b/>
          <w:sz w:val="20"/>
        </w:rPr>
        <w:t>8-K</w:t>
      </w:r>
    </w:p>
    <w:p>
      <w:pPr>
        <w:pStyle w:val="TextBody"/>
        <w:bidi w:val="0"/>
        <w:spacing w:before="0" w:after="0"/>
        <w:ind w:left="1188" w:right="1527" w:hanging="0"/>
        <w:jc w:val="center"/>
        <w:rPr/>
      </w:pPr>
      <w:r>
        <w:rPr/>
        <w:t> </w:t>
      </w:r>
    </w:p>
    <w:p>
      <w:pPr>
        <w:pStyle w:val="TextBody"/>
        <w:bidi w:val="0"/>
        <w:spacing w:before="0" w:after="0"/>
        <w:ind w:left="1184" w:right="1527" w:hanging="0"/>
        <w:jc w:val="center"/>
        <w:rPr>
          <w:sz w:val="20"/>
        </w:rPr>
      </w:pPr>
      <w:r>
        <w:rPr>
          <w:sz w:val="20"/>
        </w:rPr>
        <w:t>CURRENT REPORT</w:t>
      </w:r>
    </w:p>
    <w:p>
      <w:pPr>
        <w:pStyle w:val="TextBody"/>
        <w:bidi w:val="0"/>
        <w:spacing w:before="0" w:after="0"/>
        <w:ind w:left="1184" w:right="1527" w:hanging="0"/>
        <w:jc w:val="center"/>
        <w:rPr/>
      </w:pPr>
      <w:r>
        <w:rPr/>
        <w:t> </w:t>
      </w:r>
    </w:p>
    <w:p>
      <w:pPr>
        <w:pStyle w:val="TextBody"/>
        <w:bidi w:val="0"/>
        <w:spacing w:before="0" w:after="0"/>
        <w:ind w:left="3872" w:right="4209" w:hanging="0"/>
        <w:jc w:val="center"/>
        <w:rPr>
          <w:sz w:val="20"/>
        </w:rPr>
      </w:pPr>
      <w:r>
        <w:rPr>
          <w:sz w:val="20"/>
        </w:rPr>
        <w:t>Pursuant to Section 13 or 15(d) of the Securities Exchange Act of 1934</w:t>
      </w:r>
    </w:p>
    <w:p>
      <w:pPr>
        <w:pStyle w:val="TextBody"/>
        <w:bidi w:val="0"/>
        <w:spacing w:before="0" w:after="0"/>
        <w:ind w:left="0" w:right="0" w:hanging="0"/>
        <w:jc w:val="left"/>
        <w:rPr/>
      </w:pPr>
      <w:r>
        <w:rPr/>
        <w:t> </w:t>
      </w:r>
    </w:p>
    <w:p>
      <w:pPr>
        <w:pStyle w:val="TextBody"/>
        <w:bidi w:val="0"/>
        <w:spacing w:before="0" w:after="0"/>
        <w:ind w:left="1551" w:right="1479" w:hanging="0"/>
        <w:jc w:val="center"/>
        <w:rPr>
          <w:b/>
          <w:sz w:val="20"/>
        </w:rPr>
      </w:pPr>
      <w:r>
        <w:rPr>
          <w:b/>
          <w:sz w:val="20"/>
        </w:rPr>
        <w:t xml:space="preserve">Date of Report: </w:t>
      </w:r>
      <w:bookmarkStart w:id="3" w:name="xdx_901_edei--DocumentPeriodEndDate_c202"/>
      <w:bookmarkEnd w:id="3"/>
      <w:r>
        <w:rPr>
          <w:b/>
          <w:sz w:val="20"/>
        </w:rPr>
        <w:t>October 2, 2026</w:t>
      </w:r>
    </w:p>
    <w:p>
      <w:pPr>
        <w:pStyle w:val="TextBody"/>
        <w:bidi w:val="0"/>
        <w:spacing w:before="0" w:after="0"/>
        <w:ind w:left="1551" w:right="1477" w:hanging="0"/>
        <w:jc w:val="center"/>
        <w:rPr>
          <w:sz w:val="20"/>
        </w:rPr>
      </w:pPr>
      <w:r>
        <w:rPr>
          <w:sz w:val="20"/>
        </w:rPr>
        <w:t>(Date of earliest event reported)</w:t>
      </w:r>
    </w:p>
    <w:p>
      <w:pPr>
        <w:pStyle w:val="TextBody"/>
        <w:bidi w:val="0"/>
        <w:spacing w:before="0" w:after="0"/>
        <w:ind w:left="0" w:right="0" w:hanging="0"/>
        <w:jc w:val="left"/>
        <w:rPr/>
      </w:pPr>
      <w:r>
        <w:rPr/>
        <w:t> </w:t>
      </w:r>
    </w:p>
    <w:p>
      <w:pPr>
        <w:pStyle w:val="TextBody"/>
        <w:bidi w:val="0"/>
        <w:spacing w:before="0" w:after="0"/>
        <w:ind w:left="1548" w:right="1527" w:hanging="0"/>
        <w:jc w:val="center"/>
        <w:rPr>
          <w:b/>
          <w:sz w:val="20"/>
        </w:rPr>
      </w:pPr>
      <w:bookmarkStart w:id="4" w:name="xdx_904_edei--EntityRegistrantName_c2026"/>
      <w:bookmarkEnd w:id="4"/>
      <w:r>
        <w:rPr>
          <w:b/>
          <w:sz w:val="20"/>
        </w:rPr>
        <w:t>PennantPark Floating Rate Capital Ltd.</w:t>
      </w:r>
    </w:p>
    <w:p>
      <w:pPr>
        <w:pStyle w:val="TextBody"/>
        <w:bidi w:val="0"/>
        <w:spacing w:before="0" w:after="0"/>
        <w:ind w:left="1551" w:right="1278" w:hanging="0"/>
        <w:jc w:val="center"/>
        <w:rPr>
          <w:sz w:val="20"/>
        </w:rPr>
      </w:pPr>
      <w:r>
        <w:rPr>
          <w:sz w:val="20"/>
        </w:rPr>
        <w:t>(Exact name of registrant as specified in its charter)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028"/>
        <w:gridCol w:w="2567"/>
        <w:gridCol w:w="3610"/>
      </w:tblGrid>
      <w:tr>
        <w:trPr/>
        <w:tc>
          <w:tcPr>
            <w:tcW w:w="4028" w:type="dxa"/>
            <w:tcBorders/>
            <w:vAlign w:val="center"/>
          </w:tcPr>
          <w:p>
            <w:pPr>
              <w:pStyle w:val="TableContents"/>
              <w:bidi w:val="0"/>
              <w:spacing w:before="0" w:after="0"/>
              <w:jc w:val="center"/>
              <w:rPr>
                <w:b/>
                <w:sz w:val="20"/>
              </w:rPr>
            </w:pPr>
            <w:bookmarkStart w:id="5" w:name="xdx_90F_edei--EntityIncorporationStateCo"/>
            <w:bookmarkEnd w:id="5"/>
            <w:r>
              <w:rPr>
                <w:b/>
                <w:sz w:val="20"/>
              </w:rPr>
              <w:t>Maryland</w:t>
            </w:r>
          </w:p>
        </w:tc>
        <w:tc>
          <w:tcPr>
            <w:tcW w:w="2567" w:type="dxa"/>
            <w:tcBorders/>
            <w:vAlign w:val="center"/>
          </w:tcPr>
          <w:p>
            <w:pPr>
              <w:pStyle w:val="TableContents"/>
              <w:bidi w:val="0"/>
              <w:spacing w:before="0" w:after="0"/>
              <w:jc w:val="center"/>
              <w:rPr>
                <w:b/>
                <w:sz w:val="20"/>
              </w:rPr>
            </w:pPr>
            <w:bookmarkStart w:id="6" w:name="xdx_90C_edei--EntityFileNumber_c20261002"/>
            <w:bookmarkEnd w:id="6"/>
            <w:r>
              <w:rPr>
                <w:b/>
                <w:sz w:val="20"/>
              </w:rPr>
              <w:t>814-00891</w:t>
            </w:r>
          </w:p>
        </w:tc>
        <w:tc>
          <w:tcPr>
            <w:tcW w:w="3610" w:type="dxa"/>
            <w:tcBorders/>
            <w:vAlign w:val="center"/>
          </w:tcPr>
          <w:p>
            <w:pPr>
              <w:pStyle w:val="TableContents"/>
              <w:bidi w:val="0"/>
              <w:spacing w:before="0" w:after="0"/>
              <w:jc w:val="center"/>
              <w:rPr>
                <w:b/>
                <w:sz w:val="20"/>
              </w:rPr>
            </w:pPr>
            <w:bookmarkStart w:id="7" w:name="xdx_900_edei--EntityTaxIdentificationNum"/>
            <w:bookmarkEnd w:id="7"/>
            <w:r>
              <w:rPr>
                <w:b/>
                <w:sz w:val="20"/>
              </w:rPr>
              <w:t>27-3794690</w:t>
            </w:r>
          </w:p>
        </w:tc>
      </w:tr>
      <w:tr>
        <w:trPr/>
        <w:tc>
          <w:tcPr>
            <w:tcW w:w="4028" w:type="dxa"/>
            <w:tcBorders/>
            <w:vAlign w:val="center"/>
          </w:tcPr>
          <w:p>
            <w:pPr>
              <w:pStyle w:val="TableContents"/>
              <w:bidi w:val="0"/>
              <w:spacing w:before="0" w:after="283"/>
              <w:jc w:val="center"/>
              <w:rPr/>
            </w:pPr>
            <w:r>
              <w:rPr/>
              <w:t>(State or other jurisdiction of incorporation)</w:t>
            </w:r>
          </w:p>
        </w:tc>
        <w:tc>
          <w:tcPr>
            <w:tcW w:w="2567" w:type="dxa"/>
            <w:tcBorders/>
            <w:vAlign w:val="center"/>
          </w:tcPr>
          <w:p>
            <w:pPr>
              <w:pStyle w:val="TableContents"/>
              <w:bidi w:val="0"/>
              <w:spacing w:before="0" w:after="283"/>
              <w:jc w:val="center"/>
              <w:rPr/>
            </w:pPr>
            <w:r>
              <w:rPr/>
              <w:t>(Commission File Number)</w:t>
            </w:r>
          </w:p>
        </w:tc>
        <w:tc>
          <w:tcPr>
            <w:tcW w:w="3610" w:type="dxa"/>
            <w:tcBorders/>
            <w:vAlign w:val="center"/>
          </w:tcPr>
          <w:p>
            <w:pPr>
              <w:pStyle w:val="TableContents"/>
              <w:bidi w:val="0"/>
              <w:spacing w:before="0" w:after="283"/>
              <w:jc w:val="center"/>
              <w:rPr/>
            </w:pPr>
            <w:r>
              <w:rPr/>
              <w:t>(IRS Employer Identification Number)</w:t>
            </w:r>
          </w:p>
        </w:tc>
      </w:tr>
    </w:tbl>
    <w:p>
      <w:pPr>
        <w:pStyle w:val="TextBody"/>
        <w:bidi w:val="0"/>
        <w:spacing w:before="0" w:after="0"/>
        <w:ind w:left="0" w:right="0" w:hanging="0"/>
        <w:jc w:val="left"/>
        <w:rPr/>
      </w:pPr>
      <w:r>
        <w:rPr/>
        <w:t> </w:t>
      </w:r>
    </w:p>
    <w:tbl>
      <w:tblPr>
        <w:tblW w:w="5035" w:type="dxa"/>
        <w:jc w:val="left"/>
        <w:tblInd w:w="0" w:type="dxa"/>
        <w:tblLayout w:type="fixed"/>
        <w:tblCellMar>
          <w:top w:w="0" w:type="dxa"/>
          <w:left w:w="0" w:type="dxa"/>
          <w:bottom w:w="0" w:type="dxa"/>
          <w:right w:w="0" w:type="dxa"/>
        </w:tblCellMar>
      </w:tblPr>
      <w:tblGrid>
        <w:gridCol w:w="3950"/>
        <w:gridCol w:w="1085"/>
      </w:tblGrid>
      <w:tr>
        <w:trPr/>
        <w:tc>
          <w:tcPr>
            <w:tcW w:w="3950" w:type="dxa"/>
            <w:tcBorders/>
            <w:vAlign w:val="center"/>
          </w:tcPr>
          <w:p>
            <w:pPr>
              <w:pStyle w:val="TableContents"/>
              <w:bidi w:val="0"/>
              <w:spacing w:before="0" w:after="0"/>
              <w:jc w:val="center"/>
              <w:rPr>
                <w:b/>
                <w:sz w:val="20"/>
              </w:rPr>
            </w:pPr>
            <w:bookmarkStart w:id="8" w:name="xdx_901_edei--EntityAddressAddressLine1_"/>
            <w:bookmarkEnd w:id="8"/>
            <w:r>
              <w:rPr>
                <w:b/>
                <w:sz w:val="20"/>
              </w:rPr>
              <w:t xml:space="preserve">1691 Michigan Avenue, </w:t>
            </w:r>
            <w:bookmarkStart w:id="9" w:name="xdx_904_edei--EntityAddressCityOrTown_c2"/>
            <w:bookmarkEnd w:id="9"/>
            <w:r>
              <w:rPr>
                <w:b/>
                <w:sz w:val="20"/>
              </w:rPr>
              <w:t xml:space="preserve">Miami Beach, </w:t>
            </w:r>
            <w:bookmarkStart w:id="10" w:name="xdx_909_edei--EntityAddressStateOrProvin"/>
            <w:bookmarkEnd w:id="10"/>
            <w:r>
              <w:rPr>
                <w:b/>
                <w:sz w:val="20"/>
              </w:rPr>
              <w:t>Florida</w:t>
            </w:r>
          </w:p>
        </w:tc>
        <w:tc>
          <w:tcPr>
            <w:tcW w:w="1085" w:type="dxa"/>
            <w:tcBorders/>
            <w:vAlign w:val="center"/>
          </w:tcPr>
          <w:p>
            <w:pPr>
              <w:pStyle w:val="TableContents"/>
              <w:bidi w:val="0"/>
              <w:spacing w:before="0" w:after="0"/>
              <w:jc w:val="center"/>
              <w:rPr>
                <w:b/>
                <w:sz w:val="20"/>
              </w:rPr>
            </w:pPr>
            <w:bookmarkStart w:id="11" w:name="xdx_90D_edei--EntityAddressPostalZipCode"/>
            <w:bookmarkEnd w:id="11"/>
            <w:r>
              <w:rPr>
                <w:b/>
                <w:sz w:val="20"/>
              </w:rPr>
              <w:t>33139</w:t>
            </w:r>
          </w:p>
        </w:tc>
      </w:tr>
      <w:tr>
        <w:trPr/>
        <w:tc>
          <w:tcPr>
            <w:tcW w:w="3950"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pPr>
      <w:r>
        <w:rPr/>
        <w:t> </w:t>
      </w:r>
    </w:p>
    <w:p>
      <w:pPr>
        <w:pStyle w:val="TextBody"/>
        <w:bidi w:val="0"/>
        <w:spacing w:before="0" w:after="0"/>
        <w:ind w:left="1548" w:right="1527" w:hanging="0"/>
        <w:jc w:val="center"/>
        <w:rPr>
          <w:b/>
          <w:sz w:val="20"/>
        </w:rPr>
      </w:pPr>
      <w:bookmarkStart w:id="12" w:name="xdx_90F_edei--CityAreaCode_c20261002__20"/>
      <w:bookmarkEnd w:id="12"/>
      <w:r>
        <w:rPr>
          <w:b/>
          <w:sz w:val="20"/>
        </w:rPr>
        <w:t>786-</w:t>
      </w:r>
      <w:bookmarkStart w:id="13" w:name="xdx_906_edei--LocalPhoneNumber_c20261002"/>
      <w:bookmarkEnd w:id="13"/>
      <w:r>
        <w:rPr>
          <w:b/>
          <w:sz w:val="20"/>
        </w:rPr>
        <w:t>297-9500</w:t>
      </w:r>
    </w:p>
    <w:p>
      <w:pPr>
        <w:pStyle w:val="TextBody"/>
        <w:bidi w:val="0"/>
        <w:spacing w:before="0" w:after="0"/>
        <w:ind w:left="1551" w:right="1477" w:hanging="0"/>
        <w:jc w:val="center"/>
        <w:rPr>
          <w:sz w:val="20"/>
        </w:rPr>
      </w:pPr>
      <w:r>
        <w:rPr>
          <w:sz w:val="20"/>
        </w:rPr>
        <w:t>(Registrant's telephone number, including area code)</w:t>
      </w:r>
    </w:p>
    <w:p>
      <w:pPr>
        <w:pStyle w:val="TextBody"/>
        <w:bidi w:val="0"/>
        <w:spacing w:before="0" w:after="0"/>
        <w:ind w:left="0" w:right="0" w:hanging="0"/>
        <w:jc w:val="left"/>
        <w:rPr/>
      </w:pPr>
      <w:r>
        <w:rPr/>
        <w:t> </w:t>
      </w:r>
    </w:p>
    <w:p>
      <w:pPr>
        <w:pStyle w:val="TextBody"/>
        <w:bidi w:val="0"/>
        <w:spacing w:before="0" w:after="0"/>
        <w:ind w:left="1546" w:right="1527" w:hanging="0"/>
        <w:jc w:val="center"/>
        <w:rPr>
          <w:b/>
          <w:sz w:val="20"/>
        </w:rPr>
      </w:pPr>
      <w:r>
        <w:rPr>
          <w:b/>
          <w:sz w:val="20"/>
        </w:rPr>
        <w:t>Not Applicable</w:t>
      </w:r>
    </w:p>
    <w:p>
      <w:pPr>
        <w:pStyle w:val="TextBody"/>
        <w:bidi w:val="0"/>
        <w:spacing w:before="0" w:after="0"/>
        <w:ind w:left="1551" w:right="1477" w:hanging="0"/>
        <w:jc w:val="center"/>
        <w:rPr>
          <w:sz w:val="20"/>
        </w:rPr>
      </w:pPr>
      <w:r>
        <w:rPr>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160" w:right="311"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160" w:right="311" w:hanging="0"/>
        <w:jc w:val="left"/>
        <w:rPr/>
      </w:pPr>
      <w:r>
        <w:rPr/>
        <w:t> </w:t>
      </w:r>
    </w:p>
    <w:p>
      <w:pPr>
        <w:pStyle w:val="TextBody"/>
        <w:bidi w:val="0"/>
        <w:spacing w:before="0" w:after="0"/>
        <w:ind w:left="160" w:right="311" w:hanging="0"/>
        <w:jc w:val="left"/>
        <w:rPr/>
      </w:pPr>
      <w:bookmarkStart w:id="14" w:name="xdx_906_edei--WrittenCommunications_c202"/>
      <w:bookmarkEnd w:id="14"/>
      <w:r>
        <w:rPr/>
        <w:t xml:space="preserve">☐ </w:t>
      </w:r>
      <w:r>
        <w:rPr>
          <w:sz w:val="20"/>
        </w:rPr>
        <w:t>Written communications pursuant to Rule 425 under the Securities Act (17 CFR 230.425)</w:t>
      </w:r>
    </w:p>
    <w:p>
      <w:pPr>
        <w:pStyle w:val="TextBody"/>
        <w:bidi w:val="0"/>
        <w:spacing w:before="0" w:after="0"/>
        <w:ind w:left="160" w:right="311" w:hanging="0"/>
        <w:jc w:val="left"/>
        <w:rPr/>
      </w:pPr>
      <w:bookmarkStart w:id="15" w:name="xdx_90D_edei--SolicitingMaterial_c202610"/>
      <w:bookmarkEnd w:id="15"/>
      <w:r>
        <w:rPr/>
        <w:t xml:space="preserve">☐ </w:t>
      </w:r>
      <w:r>
        <w:rPr>
          <w:sz w:val="20"/>
        </w:rPr>
        <w:t>Soliciting material pursuant to Rule 14a-12 under the Exchange Act (17 CFR 240.14a-12)</w:t>
      </w:r>
    </w:p>
    <w:p>
      <w:pPr>
        <w:pStyle w:val="TextBody"/>
        <w:bidi w:val="0"/>
        <w:spacing w:before="0" w:after="0"/>
        <w:ind w:left="160" w:right="311" w:hanging="0"/>
        <w:jc w:val="left"/>
        <w:rPr/>
      </w:pPr>
      <w:bookmarkStart w:id="16" w:name="xdx_909_edei--PreCommencementTenderOffer"/>
      <w:bookmarkEnd w:id="16"/>
      <w:r>
        <w:rPr/>
        <w:t xml:space="preserve">☐ </w:t>
      </w:r>
      <w:r>
        <w:rPr>
          <w:sz w:val="20"/>
        </w:rPr>
        <w:t>Pre-commencement communications pursuant to Rule 14d-2(b) under the Exchange Act (17 CFR 240.14d-2(b))</w:t>
      </w:r>
    </w:p>
    <w:p>
      <w:pPr>
        <w:pStyle w:val="TextBody"/>
        <w:bidi w:val="0"/>
        <w:spacing w:before="0" w:after="0"/>
        <w:ind w:left="160" w:right="311" w:hanging="0"/>
        <w:jc w:val="left"/>
        <w:rPr/>
      </w:pPr>
      <w:bookmarkStart w:id="17" w:name="xdx_906_edei--PreCommencementIssuerTende"/>
      <w:bookmarkEnd w:id="17"/>
      <w:r>
        <w:rPr/>
        <w:t xml:space="preserve">☐ </w:t>
      </w:r>
      <w:r>
        <w:rPr>
          <w:sz w:val="20"/>
        </w:rPr>
        <w:t>Pre-commencement communications pursuant to Rule 13e-4(c) under the Exchange Act (17 CFR 240.13e-4(c))</w:t>
      </w:r>
    </w:p>
    <w:p>
      <w:pPr>
        <w:pStyle w:val="TextBody"/>
        <w:bidi w:val="0"/>
        <w:spacing w:before="0" w:after="0"/>
        <w:ind w:left="160" w:right="311" w:hanging="0"/>
        <w:jc w:val="left"/>
        <w:rPr/>
      </w:pPr>
      <w:r>
        <w:rPr/>
        <w:t> </w:t>
      </w:r>
    </w:p>
    <w:p>
      <w:pPr>
        <w:pStyle w:val="TextBody"/>
        <w:bidi w:val="0"/>
        <w:spacing w:before="0" w:after="0"/>
        <w:ind w:left="160" w:right="311" w:hanging="0"/>
        <w:jc w:val="left"/>
        <w:rPr>
          <w:sz w:val="20"/>
        </w:rPr>
      </w:pPr>
      <w:r>
        <w:rPr>
          <w:sz w:val="20"/>
        </w:rPr>
        <w:t>Securities registered pursuant to Section 12(b) of the Act:</w:t>
      </w:r>
    </w:p>
    <w:p>
      <w:pPr>
        <w:pStyle w:val="TextBody"/>
        <w:bidi w:val="0"/>
        <w:spacing w:before="0" w:after="0"/>
        <w:ind w:left="160" w:right="311" w:hanging="0"/>
        <w:jc w:val="left"/>
        <w:rPr/>
      </w:pPr>
      <w:r>
        <w:rPr/>
        <w:t> </w:t>
      </w:r>
    </w:p>
    <w:tbl>
      <w:tblPr>
        <w:tblW w:w="9030" w:type="dxa"/>
        <w:jc w:val="left"/>
        <w:tblInd w:w="0" w:type="dxa"/>
        <w:tblLayout w:type="fixed"/>
        <w:tblCellMar>
          <w:top w:w="0" w:type="dxa"/>
          <w:left w:w="0" w:type="dxa"/>
          <w:bottom w:w="0" w:type="dxa"/>
          <w:right w:w="0" w:type="dxa"/>
        </w:tblCellMar>
      </w:tblPr>
      <w:tblGrid>
        <w:gridCol w:w="3515"/>
        <w:gridCol w:w="1610"/>
        <w:gridCol w:w="3905"/>
      </w:tblGrid>
      <w:tr>
        <w:trPr/>
        <w:tc>
          <w:tcPr>
            <w:tcW w:w="3515" w:type="dxa"/>
            <w:tcBorders/>
            <w:vAlign w:val="center"/>
          </w:tcPr>
          <w:p>
            <w:pPr>
              <w:pStyle w:val="TableContents"/>
              <w:bidi w:val="0"/>
              <w:spacing w:before="0" w:after="283"/>
              <w:ind w:left="0" w:right="0" w:hanging="0"/>
              <w:jc w:val="center"/>
              <w:rPr>
                <w:b/>
                <w:sz w:val="20"/>
              </w:rPr>
            </w:pPr>
            <w:r>
              <w:rPr>
                <w:b/>
                <w:sz w:val="20"/>
              </w:rPr>
              <w:t>Title of Each Class</w:t>
            </w:r>
          </w:p>
        </w:tc>
        <w:tc>
          <w:tcPr>
            <w:tcW w:w="1610" w:type="dxa"/>
            <w:tcBorders/>
            <w:vAlign w:val="center"/>
          </w:tcPr>
          <w:p>
            <w:pPr>
              <w:pStyle w:val="TableContents"/>
              <w:bidi w:val="0"/>
              <w:spacing w:before="0" w:after="283"/>
              <w:ind w:left="0" w:right="0" w:hanging="0"/>
              <w:jc w:val="center"/>
              <w:rPr>
                <w:b/>
                <w:sz w:val="20"/>
              </w:rPr>
            </w:pPr>
            <w:r>
              <w:rPr>
                <w:b/>
                <w:sz w:val="20"/>
              </w:rPr>
              <w:t>Trading Symbol(s)</w:t>
            </w:r>
          </w:p>
        </w:tc>
        <w:tc>
          <w:tcPr>
            <w:tcW w:w="3905" w:type="dxa"/>
            <w:tcBorders/>
            <w:vAlign w:val="center"/>
          </w:tcPr>
          <w:p>
            <w:pPr>
              <w:pStyle w:val="TableContents"/>
              <w:bidi w:val="0"/>
              <w:spacing w:before="0" w:after="283"/>
              <w:ind w:left="0" w:right="0" w:hanging="0"/>
              <w:jc w:val="center"/>
              <w:rPr>
                <w:b/>
                <w:sz w:val="20"/>
              </w:rPr>
            </w:pPr>
            <w:r>
              <w:rPr>
                <w:b/>
                <w:sz w:val="20"/>
              </w:rPr>
              <w:t>Name of Each Exchange on Which Registered</w:t>
            </w:r>
          </w:p>
        </w:tc>
      </w:tr>
      <w:tr>
        <w:trPr/>
        <w:tc>
          <w:tcPr>
            <w:tcW w:w="3515" w:type="dxa"/>
            <w:tcBorders/>
            <w:vAlign w:val="center"/>
          </w:tcPr>
          <w:p>
            <w:pPr>
              <w:pStyle w:val="TableContents"/>
              <w:bidi w:val="0"/>
              <w:spacing w:before="0" w:after="0"/>
              <w:jc w:val="center"/>
              <w:rPr>
                <w:sz w:val="20"/>
              </w:rPr>
            </w:pPr>
            <w:bookmarkStart w:id="18" w:name="xdx_90F_edei--Security12bTitle_c20261002"/>
            <w:bookmarkEnd w:id="18"/>
            <w:r>
              <w:rPr>
                <w:sz w:val="20"/>
              </w:rPr>
              <w:t>Common Stock, par value $0.001 per share</w:t>
            </w:r>
          </w:p>
          <w:p>
            <w:pPr>
              <w:pStyle w:val="TableContents"/>
              <w:bidi w:val="0"/>
              <w:spacing w:before="0" w:after="0"/>
              <w:ind w:left="0" w:right="0" w:hanging="0"/>
              <w:jc w:val="center"/>
              <w:rPr>
                <w:sz w:val="20"/>
              </w:rPr>
            </w:pPr>
            <w:r>
              <w:rPr>
                <w:sz w:val="20"/>
              </w:rPr>
              <w:t>7.375% Notes due 2031</w:t>
            </w:r>
          </w:p>
        </w:tc>
        <w:tc>
          <w:tcPr>
            <w:tcW w:w="1610" w:type="dxa"/>
            <w:tcBorders/>
            <w:vAlign w:val="center"/>
          </w:tcPr>
          <w:p>
            <w:pPr>
              <w:pStyle w:val="TableContents"/>
              <w:bidi w:val="0"/>
              <w:spacing w:before="0" w:after="0"/>
              <w:jc w:val="center"/>
              <w:rPr>
                <w:sz w:val="20"/>
              </w:rPr>
            </w:pPr>
            <w:bookmarkStart w:id="19" w:name="xdx_90F_edei--TradingSymbol_c20261002__2"/>
            <w:bookmarkEnd w:id="19"/>
            <w:r>
              <w:rPr>
                <w:sz w:val="20"/>
              </w:rPr>
              <w:t>PFLT</w:t>
            </w:r>
          </w:p>
          <w:p>
            <w:pPr>
              <w:pStyle w:val="TableContents"/>
              <w:bidi w:val="0"/>
              <w:spacing w:before="0" w:after="0"/>
              <w:ind w:left="0" w:right="0" w:hanging="0"/>
              <w:jc w:val="center"/>
              <w:rPr>
                <w:sz w:val="20"/>
              </w:rPr>
            </w:pPr>
            <w:r>
              <w:rPr>
                <w:sz w:val="20"/>
              </w:rPr>
              <w:t>PFLA</w:t>
            </w:r>
          </w:p>
        </w:tc>
        <w:tc>
          <w:tcPr>
            <w:tcW w:w="3905" w:type="dxa"/>
            <w:tcBorders/>
            <w:vAlign w:val="center"/>
          </w:tcPr>
          <w:p>
            <w:pPr>
              <w:pStyle w:val="TableContents"/>
              <w:bidi w:val="0"/>
              <w:spacing w:before="0" w:after="0"/>
              <w:jc w:val="center"/>
              <w:rPr>
                <w:sz w:val="20"/>
              </w:rPr>
            </w:pPr>
            <w:bookmarkStart w:id="20" w:name="xdx_905_edei--SecurityExchangeName_c2026"/>
            <w:bookmarkEnd w:id="20"/>
            <w:r>
              <w:rPr>
                <w:sz w:val="20"/>
              </w:rPr>
              <w:t>The New York Stock Exchange</w:t>
            </w:r>
          </w:p>
          <w:p>
            <w:pPr>
              <w:pStyle w:val="TableContents"/>
              <w:bidi w:val="0"/>
              <w:spacing w:before="0" w:after="0"/>
              <w:jc w:val="center"/>
              <w:rPr>
                <w:sz w:val="20"/>
              </w:rPr>
            </w:pPr>
            <w:r>
              <w:rPr>
                <w:sz w:val="20"/>
              </w:rPr>
              <w:t>The New York Stock Exchange</w:t>
            </w:r>
          </w:p>
        </w:tc>
      </w:tr>
    </w:tbl>
    <w:p>
      <w:pPr>
        <w:pStyle w:val="TextBody"/>
        <w:bidi w:val="0"/>
        <w:spacing w:before="0" w:after="0"/>
        <w:ind w:left="0" w:right="0" w:hanging="0"/>
        <w:jc w:val="left"/>
        <w:rPr/>
      </w:pPr>
      <w:r>
        <w:rPr/>
        <w:t> </w:t>
      </w:r>
    </w:p>
    <w:p>
      <w:pPr>
        <w:pStyle w:val="TextBody"/>
        <w:bidi w:val="0"/>
        <w:spacing w:before="0" w:after="0"/>
        <w:ind w:left="160" w:right="311" w:hanging="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1" w:name="xdx_90C_edei--EntityEmergingGrowthCompan"/>
      <w:bookmarkEnd w:id="21"/>
      <w:r>
        <w:rPr>
          <w:sz w:val="20"/>
        </w:rPr>
        <w:t>☐</w:t>
      </w:r>
    </w:p>
    <w:p>
      <w:pPr>
        <w:pStyle w:val="TextBody"/>
        <w:bidi w:val="0"/>
        <w:spacing w:before="0" w:after="0"/>
        <w:ind w:left="160" w:right="311" w:hanging="0"/>
        <w:jc w:val="left"/>
        <w:rPr/>
      </w:pPr>
      <w:r>
        <w:rPr/>
        <w:t> </w:t>
      </w:r>
    </w:p>
    <w:p>
      <w:pPr>
        <w:pStyle w:val="TextBody"/>
        <w:bidi w:val="0"/>
        <w:spacing w:before="0" w:after="0"/>
        <w:ind w:left="159" w:right="311"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159" w:right="311"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160" w:right="0" w:hanging="0"/>
        <w:jc w:val="left"/>
        <w:rPr>
          <w:b/>
          <w:sz w:val="20"/>
        </w:rPr>
      </w:pPr>
      <w:r>
        <w:rPr>
          <w:b/>
          <w:sz w:val="20"/>
        </w:rPr>
        <w:t>Item 7.01. Regulation FD Disclosure</w:t>
      </w:r>
    </w:p>
    <w:p>
      <w:pPr>
        <w:pStyle w:val="TextBody"/>
        <w:bidi w:val="0"/>
        <w:spacing w:before="0" w:after="0"/>
        <w:ind w:left="160" w:right="0" w:hanging="0"/>
        <w:jc w:val="left"/>
        <w:rPr/>
      </w:pPr>
      <w:r>
        <w:rPr/>
        <w:t> </w:t>
      </w:r>
    </w:p>
    <w:p>
      <w:pPr>
        <w:pStyle w:val="TextBody"/>
        <w:bidi w:val="0"/>
        <w:spacing w:before="0" w:after="0"/>
        <w:ind w:left="160" w:right="311" w:hanging="0"/>
        <w:jc w:val="left"/>
        <w:rPr>
          <w:sz w:val="20"/>
        </w:rPr>
      </w:pPr>
      <w:r>
        <w:rPr>
          <w:sz w:val="20"/>
        </w:rPr>
        <w:t>On October 2, 2026, PennantPark Floating Rate Capital Ltd. issued a press release announcing its monthly distribution. A copy of the press release is furnished as Exhibit 99.1 to this Form 8-K.</w:t>
      </w:r>
    </w:p>
    <w:p>
      <w:pPr>
        <w:pStyle w:val="TextBody"/>
        <w:bidi w:val="0"/>
        <w:spacing w:before="0" w:after="0"/>
        <w:ind w:left="160" w:right="311" w:hanging="0"/>
        <w:jc w:val="left"/>
        <w:rPr/>
      </w:pPr>
      <w:r>
        <w:rPr/>
        <w:t> </w:t>
      </w:r>
    </w:p>
    <w:p>
      <w:pPr>
        <w:pStyle w:val="TextBody"/>
        <w:bidi w:val="0"/>
        <w:spacing w:before="0" w:after="0"/>
        <w:ind w:left="160" w:right="179" w:hanging="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ind w:left="0" w:right="0" w:hanging="0"/>
        <w:jc w:val="left"/>
        <w:rPr/>
      </w:pPr>
      <w:r>
        <w:rPr/>
        <w:t> </w:t>
      </w:r>
    </w:p>
    <w:p>
      <w:pPr>
        <w:pStyle w:val="TextBody"/>
        <w:bidi w:val="0"/>
        <w:spacing w:before="0" w:after="0"/>
        <w:ind w:left="160" w:right="0" w:hanging="0"/>
        <w:jc w:val="left"/>
        <w:rPr>
          <w:b/>
          <w:sz w:val="20"/>
        </w:rPr>
      </w:pPr>
      <w:r>
        <w:rPr>
          <w:b/>
          <w:sz w:val="20"/>
        </w:rPr>
        <w:t>Forward-Looking Statements</w:t>
      </w:r>
    </w:p>
    <w:p>
      <w:pPr>
        <w:pStyle w:val="TextBody"/>
        <w:bidi w:val="0"/>
        <w:spacing w:before="0" w:after="0"/>
        <w:ind w:left="0" w:right="0" w:hanging="0"/>
        <w:jc w:val="left"/>
        <w:rPr/>
      </w:pPr>
      <w:r>
        <w:rPr/>
        <w:t> </w:t>
      </w:r>
    </w:p>
    <w:p>
      <w:pPr>
        <w:pStyle w:val="TextBody"/>
        <w:bidi w:val="0"/>
        <w:spacing w:before="0" w:after="0"/>
        <w:ind w:left="159" w:right="179" w:hanging="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ind w:left="159" w:right="179" w:hanging="0"/>
        <w:jc w:val="left"/>
        <w:rPr/>
      </w:pPr>
      <w:r>
        <w:rPr/>
        <w:t> </w:t>
      </w:r>
    </w:p>
    <w:p>
      <w:pPr>
        <w:pStyle w:val="TextBody"/>
        <w:bidi w:val="0"/>
        <w:spacing w:before="0" w:after="0"/>
        <w:ind w:left="16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tbl>
      <w:tblPr>
        <w:tblW w:w="2508" w:type="dxa"/>
        <w:jc w:val="left"/>
        <w:tblInd w:w="0" w:type="dxa"/>
        <w:tblLayout w:type="fixed"/>
        <w:tblCellMar>
          <w:top w:w="0" w:type="dxa"/>
          <w:left w:w="0" w:type="dxa"/>
          <w:bottom w:w="0" w:type="dxa"/>
          <w:right w:w="0" w:type="dxa"/>
        </w:tblCellMar>
      </w:tblPr>
      <w:tblGrid>
        <w:gridCol w:w="38"/>
        <w:gridCol w:w="29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2180" w:type="dxa"/>
            <w:tcBorders/>
            <w:vAlign w:val="center"/>
          </w:tcPr>
          <w:p>
            <w:pPr>
              <w:pStyle w:val="TableContents"/>
              <w:bidi w:val="0"/>
              <w:spacing w:before="0" w:after="283"/>
              <w:jc w:val="left"/>
              <w:rPr>
                <w:b/>
              </w:rPr>
            </w:pPr>
            <w:r>
              <w:rPr>
                <w:b/>
              </w:rPr>
              <w:t>Financial statements:</w:t>
            </w:r>
          </w:p>
        </w:tc>
      </w:tr>
    </w:tbl>
    <w:p>
      <w:pPr>
        <w:pStyle w:val="TextBody"/>
        <w:bidi w:val="0"/>
        <w:spacing w:before="0" w:after="0"/>
        <w:ind w:left="812" w:right="0" w:hanging="0"/>
        <w:jc w:val="left"/>
        <w:rPr/>
      </w:pPr>
      <w:r>
        <w:rPr/>
        <w:t> </w:t>
      </w:r>
    </w:p>
    <w:p>
      <w:pPr>
        <w:pStyle w:val="TextBody"/>
        <w:bidi w:val="0"/>
        <w:spacing w:before="0" w:after="0"/>
        <w:ind w:left="812" w:right="0" w:hanging="0"/>
        <w:jc w:val="left"/>
        <w:rPr>
          <w:sz w:val="20"/>
        </w:rPr>
      </w:pPr>
      <w:r>
        <w:rPr>
          <w:sz w:val="20"/>
        </w:rPr>
        <w:t>None</w:t>
      </w:r>
    </w:p>
    <w:p>
      <w:pPr>
        <w:pStyle w:val="TextBody"/>
        <w:bidi w:val="0"/>
        <w:spacing w:before="0" w:after="0"/>
        <w:ind w:left="812" w:right="0" w:hanging="0"/>
        <w:jc w:val="left"/>
        <w:rPr/>
      </w:pPr>
      <w:r>
        <w:rPr/>
        <w:t> </w:t>
      </w:r>
    </w:p>
    <w:tbl>
      <w:tblPr>
        <w:tblW w:w="3393" w:type="dxa"/>
        <w:jc w:val="left"/>
        <w:tblInd w:w="0" w:type="dxa"/>
        <w:tblLayout w:type="fixed"/>
        <w:tblCellMar>
          <w:top w:w="0" w:type="dxa"/>
          <w:left w:w="0" w:type="dxa"/>
          <w:bottom w:w="0" w:type="dxa"/>
          <w:right w:w="0" w:type="dxa"/>
        </w:tblCellMar>
      </w:tblPr>
      <w:tblGrid>
        <w:gridCol w:w="38"/>
        <w:gridCol w:w="29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065" w:type="dxa"/>
            <w:tcBorders/>
            <w:vAlign w:val="center"/>
          </w:tcPr>
          <w:p>
            <w:pPr>
              <w:pStyle w:val="TableContents"/>
              <w:bidi w:val="0"/>
              <w:spacing w:before="0" w:after="283"/>
              <w:jc w:val="left"/>
              <w:rPr/>
            </w:pPr>
            <w:r>
              <w:rPr/>
              <w:t>Pro forma financial information:</w:t>
            </w:r>
          </w:p>
        </w:tc>
      </w:tr>
    </w:tbl>
    <w:p>
      <w:pPr>
        <w:pStyle w:val="TextBody"/>
        <w:bidi w:val="0"/>
        <w:spacing w:before="0" w:after="0"/>
        <w:ind w:left="812" w:right="0" w:hanging="0"/>
        <w:jc w:val="left"/>
        <w:rPr/>
      </w:pPr>
      <w:r>
        <w:rPr/>
        <w:t> </w:t>
      </w:r>
    </w:p>
    <w:p>
      <w:pPr>
        <w:pStyle w:val="TextBody"/>
        <w:bidi w:val="0"/>
        <w:spacing w:before="0" w:after="0"/>
        <w:ind w:left="812" w:right="0" w:hanging="0"/>
        <w:jc w:val="left"/>
        <w:rPr>
          <w:sz w:val="20"/>
        </w:rPr>
      </w:pPr>
      <w:r>
        <w:rPr>
          <w:sz w:val="20"/>
        </w:rPr>
        <w:t>None</w:t>
      </w:r>
    </w:p>
    <w:p>
      <w:pPr>
        <w:pStyle w:val="TextBody"/>
        <w:bidi w:val="0"/>
        <w:spacing w:before="0" w:after="0"/>
        <w:ind w:left="812" w:right="0" w:hanging="0"/>
        <w:jc w:val="left"/>
        <w:rPr/>
      </w:pPr>
      <w:r>
        <w:rPr/>
        <w:t> </w:t>
      </w:r>
    </w:p>
    <w:tbl>
      <w:tblPr>
        <w:tblW w:w="2988" w:type="dxa"/>
        <w:jc w:val="left"/>
        <w:tblInd w:w="0" w:type="dxa"/>
        <w:tblLayout w:type="fixed"/>
        <w:tblCellMar>
          <w:top w:w="0" w:type="dxa"/>
          <w:left w:w="0" w:type="dxa"/>
          <w:bottom w:w="0" w:type="dxa"/>
          <w:right w:w="0" w:type="dxa"/>
        </w:tblCellMar>
      </w:tblPr>
      <w:tblGrid>
        <w:gridCol w:w="38"/>
        <w:gridCol w:w="275"/>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675" w:type="dxa"/>
            <w:tcBorders/>
            <w:vAlign w:val="center"/>
          </w:tcPr>
          <w:p>
            <w:pPr>
              <w:pStyle w:val="TableContents"/>
              <w:bidi w:val="0"/>
              <w:spacing w:before="0" w:after="283"/>
              <w:jc w:val="left"/>
              <w:rPr/>
            </w:pPr>
            <w:r>
              <w:rPr/>
              <w:t>Shell company transactions:</w:t>
            </w:r>
          </w:p>
        </w:tc>
      </w:tr>
    </w:tbl>
    <w:p>
      <w:pPr>
        <w:pStyle w:val="TextBody"/>
        <w:bidi w:val="0"/>
        <w:spacing w:before="0" w:after="0"/>
        <w:ind w:left="0" w:right="0" w:firstLine="800"/>
        <w:jc w:val="left"/>
        <w:rPr/>
      </w:pPr>
      <w:r>
        <w:rPr/>
        <w:t> </w:t>
      </w:r>
    </w:p>
    <w:p>
      <w:pPr>
        <w:pStyle w:val="TextBody"/>
        <w:bidi w:val="0"/>
        <w:spacing w:before="0" w:after="0"/>
        <w:ind w:left="0" w:right="0" w:firstLine="800"/>
        <w:jc w:val="left"/>
        <w:rPr>
          <w:sz w:val="20"/>
        </w:rPr>
      </w:pPr>
      <w:r>
        <w:rPr>
          <w:sz w:val="20"/>
        </w:rPr>
        <w:t>None</w:t>
      </w:r>
    </w:p>
    <w:p>
      <w:pPr>
        <w:pStyle w:val="TextBody"/>
        <w:bidi w:val="0"/>
        <w:spacing w:before="0" w:after="0"/>
        <w:ind w:left="0" w:right="0" w:firstLine="800"/>
        <w:jc w:val="left"/>
        <w:rPr/>
      </w:pPr>
      <w:r>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left"/>
              <w:rPr/>
            </w:pPr>
            <w:r>
              <w:rPr/>
              <w:t>Exhibits</w:t>
            </w:r>
          </w:p>
        </w:tc>
      </w:tr>
    </w:tbl>
    <w:p>
      <w:pPr>
        <w:pStyle w:val="TextBody"/>
        <w:bidi w:val="0"/>
        <w:spacing w:before="0" w:after="0"/>
        <w:ind w:left="0" w:right="0" w:firstLine="800"/>
        <w:jc w:val="left"/>
        <w:rPr/>
      </w:pPr>
      <w:r>
        <w:rPr/>
        <w:t> </w:t>
      </w:r>
    </w:p>
    <w:p>
      <w:pPr>
        <w:pStyle w:val="TextBody"/>
        <w:bidi w:val="0"/>
        <w:spacing w:before="0" w:after="0"/>
        <w:ind w:left="800" w:right="0" w:hanging="0"/>
        <w:jc w:val="left"/>
        <w:rPr/>
      </w:pPr>
      <w:hyperlink w:anchor="exh_991.htm">
        <w:r>
          <w:rPr>
            <w:rStyle w:val="InternetLink"/>
            <w:sz w:val="20"/>
          </w:rPr>
          <w:t>99.1</w:t>
        </w:r>
      </w:hyperlink>
      <w:r>
        <w:rPr>
          <w:sz w:val="20"/>
        </w:rPr>
        <w:t>      </w:t>
      </w:r>
      <w:hyperlink w:anchor="exh_991.htm">
        <w:r>
          <w:rPr>
            <w:rStyle w:val="InternetLink"/>
            <w:color w:val="000000"/>
            <w:sz w:val="20"/>
          </w:rPr>
          <w:t>Press Release of PennantPark Floating Rate Capital Ltd. Dated October 2, 2026</w:t>
        </w:r>
      </w:hyperlink>
    </w:p>
    <w:p>
      <w:pPr>
        <w:pStyle w:val="TextBody"/>
        <w:bidi w:val="0"/>
        <w:spacing w:before="0" w:after="0"/>
        <w:ind w:left="800" w:right="0" w:hanging="0"/>
        <w:jc w:val="left"/>
        <w:rPr>
          <w:sz w:val="20"/>
        </w:rPr>
      </w:pPr>
      <w:r>
        <w:rPr>
          <w:sz w:val="20"/>
        </w:rPr>
        <w:t>104       Cover Page Interactive Data File (embedded within the Inline XBRL document)</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1545" w:right="1527" w:hanging="0"/>
        <w:jc w:val="center"/>
        <w:rPr>
          <w:b/>
          <w:sz w:val="20"/>
        </w:rPr>
      </w:pPr>
      <w:r>
        <w:rPr>
          <w:b/>
          <w:sz w:val="20"/>
        </w:rPr>
        <w:t>SIGNATURE</w:t>
      </w:r>
    </w:p>
    <w:p>
      <w:pPr>
        <w:pStyle w:val="TextBody"/>
        <w:bidi w:val="0"/>
        <w:spacing w:before="0" w:after="0"/>
        <w:ind w:left="1545" w:right="1527" w:hanging="0"/>
        <w:jc w:val="center"/>
        <w:rPr/>
      </w:pPr>
      <w:r>
        <w:rPr/>
        <w:t> </w:t>
      </w:r>
    </w:p>
    <w:p>
      <w:pPr>
        <w:pStyle w:val="TextBody"/>
        <w:bidi w:val="0"/>
        <w:spacing w:before="0" w:after="0"/>
        <w:ind w:left="160" w:right="311" w:firstLine="302"/>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6504" w:type="dxa"/>
        <w:jc w:val="left"/>
        <w:tblInd w:w="0" w:type="dxa"/>
        <w:tblLayout w:type="fixed"/>
        <w:tblCellMar>
          <w:top w:w="0" w:type="dxa"/>
          <w:left w:w="0" w:type="dxa"/>
          <w:bottom w:w="0" w:type="dxa"/>
          <w:right w:w="0" w:type="dxa"/>
        </w:tblCellMar>
      </w:tblPr>
      <w:tblGrid>
        <w:gridCol w:w="1925"/>
        <w:gridCol w:w="434"/>
        <w:gridCol w:w="4145"/>
      </w:tblGrid>
      <w:tr>
        <w:trPr/>
        <w:tc>
          <w:tcPr>
            <w:tcW w:w="1925" w:type="dxa"/>
            <w:tcBorders/>
            <w:vAlign w:val="center"/>
          </w:tcPr>
          <w:p>
            <w:pPr>
              <w:pStyle w:val="TableContents"/>
              <w:bidi w:val="0"/>
              <w:spacing w:before="0" w:after="283"/>
              <w:jc w:val="left"/>
              <w:rPr>
                <w:sz w:val="20"/>
              </w:rPr>
            </w:pPr>
            <w:r>
              <w:rPr>
                <w:sz w:val="20"/>
              </w:rPr>
              <w:t>Dated: October 2, 2026</w:t>
            </w:r>
          </w:p>
        </w:tc>
        <w:tc>
          <w:tcPr>
            <w:tcW w:w="4579" w:type="dxa"/>
            <w:gridSpan w:val="2"/>
            <w:tcBorders/>
            <w:vAlign w:val="center"/>
          </w:tcPr>
          <w:p>
            <w:pPr>
              <w:pStyle w:val="TableContents"/>
              <w:bidi w:val="0"/>
              <w:spacing w:before="0" w:after="0"/>
              <w:ind w:left="0" w:right="0" w:hanging="0"/>
              <w:jc w:val="left"/>
              <w:rPr>
                <w:b/>
                <w:sz w:val="20"/>
              </w:rPr>
            </w:pPr>
            <w:r>
              <w:rPr>
                <w:b/>
                <w:sz w:val="20"/>
              </w:rPr>
              <w:t>PENNANTPARK FLOATING RATE CAPITAL LTD.</w:t>
            </w:r>
          </w:p>
        </w:tc>
      </w:tr>
      <w:tr>
        <w:trPr/>
        <w:tc>
          <w:tcPr>
            <w:tcW w:w="192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By:</w:t>
            </w:r>
          </w:p>
        </w:tc>
        <w:tc>
          <w:tcPr>
            <w:tcW w:w="4145" w:type="dxa"/>
            <w:tcBorders/>
            <w:vAlign w:val="center"/>
          </w:tcPr>
          <w:p>
            <w:pPr>
              <w:pStyle w:val="TableContents"/>
              <w:bidi w:val="0"/>
              <w:spacing w:before="0" w:after="283"/>
              <w:jc w:val="left"/>
              <w:rPr>
                <w:u w:val="single"/>
              </w:rPr>
            </w:pPr>
            <w:r>
              <w:rPr>
                <w:u w:val="single"/>
              </w:rPr>
              <w:t xml:space="preserve">/s/ Richard T. Allorto, Jr. </w:t>
            </w:r>
          </w:p>
        </w:tc>
      </w:tr>
      <w:tr>
        <w:trPr/>
        <w:tc>
          <w:tcPr>
            <w:tcW w:w="192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pPr>
            <w:r>
              <w:rPr/>
              <w:t>Richard T. Allorto, Jr.</w:t>
            </w:r>
          </w:p>
        </w:tc>
      </w:tr>
      <w:tr>
        <w:trPr/>
        <w:tc>
          <w:tcPr>
            <w:tcW w:w="192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i/>
              </w:rPr>
            </w:pPr>
            <w:r>
              <w:rPr>
                <w:i/>
              </w:rPr>
              <w:t>Chief Financial Officer &amp; Treasurer</w:t>
            </w:r>
          </w:p>
        </w:tc>
      </w:tr>
    </w:tbl>
    <w:p>
      <w:pPr>
        <w:pStyle w:val="TextBody"/>
        <w:bidi w:val="0"/>
        <w:spacing w:before="0" w:after="0"/>
        <w:ind w:left="0" w:right="0" w:hanging="0"/>
        <w:jc w:val="left"/>
        <w:rPr/>
      </w:pPr>
      <w:r>
        <w:rPr/>
        <w:t> </w:t>
      </w:r>
    </w:p>
    <w:p>
      <w:pPr>
        <w:pStyle w:val="TextBody"/>
        <w:bidi w:val="0"/>
        <w:jc w:val="right"/>
        <w:rPr/>
      </w:pPr>
      <w:bookmarkStart w:id="22" w:name="exh_991.htm"/>
      <w:bookmarkStart w:id="23" w:name="ksexh_991"/>
      <w:bookmarkEnd w:id="22"/>
      <w:bookmarkEnd w:id="23"/>
      <w:r>
        <w:rPr>
          <w:rStyle w:val="StrongEmphasis"/>
        </w:rPr>
        <w:t>EXHIBIT 99.1</w:t>
      </w:r>
      <w:r>
        <w:br w:type="page"/>
      </w:r>
    </w:p>
    <w:p>
      <w:pPr>
        <w:pStyle w:val="TextBody"/>
        <w:bidi w:val="0"/>
        <w:jc w:val="center"/>
        <w:rPr/>
      </w:pPr>
      <w:r>
        <w:rPr>
          <w:rStyle w:val="StrongEmphasis"/>
        </w:rPr>
        <w:t>PennantPark Floating Rate Capital Ltd. Announces Monthly Distribution of $0.0833 per Share</w:t>
      </w:r>
    </w:p>
    <w:p>
      <w:pPr>
        <w:pStyle w:val="TextBody"/>
        <w:bidi w:val="0"/>
        <w:jc w:val="both"/>
        <w:rPr/>
      </w:pPr>
      <w:r>
        <w:rPr/>
        <w:t>MIAMI, Oct. 02, 2026 (GLOBE NEWSWIRE) -- PennantPark Floating Rate Capital Ltd. (the "Company") (NYSE: PFLT) declares its monthly distribution for October 2026 of $0.0833 per share, comprised of an $0.08 per share base dividend and $0.0033 per share supplemental dividend, payable on November 2, 2026 to stockholders of record as of October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a leading middle market credit platform, and its affiliates, manage over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1363</Words>
  <Characters>7708</Characters>
  <CharactersWithSpaces>9047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