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560" w:right="1860" w:hanging="3552"/>
        <w:spacing w:after="0" w:line="470" w:lineRule="auto"/>
        <w:tabs>
          <w:tab w:leader="none" w:pos="2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9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40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480"/>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PFLT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Pr>
          <w:p>
            <w:pPr>
              <w:jc w:val="center"/>
              <w:ind w:right="71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right="304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August 7, 2019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JUNE 30, 2019</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40" w:type="dxa"/>
            <w:vAlign w:val="bottom"/>
          </w:tcPr>
          <w:p>
            <w:pPr>
              <w:spacing w:after="0"/>
              <w:rPr>
                <w:sz w:val="16"/>
                <w:szCs w:val="16"/>
                <w:color w:val="auto"/>
              </w:rPr>
            </w:pPr>
          </w:p>
        </w:tc>
      </w:tr>
      <w:tr>
        <w:trPr>
          <w:trHeight w:val="297"/>
        </w:trPr>
        <w:tc>
          <w:tcPr>
            <w:tcW w:w="93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40" w:type="dxa"/>
            <w:vAlign w:val="bottom"/>
          </w:tcPr>
          <w:p>
            <w:pPr>
              <w:spacing w:after="0"/>
              <w:rPr>
                <w:sz w:val="24"/>
                <w:szCs w:val="24"/>
                <w:color w:val="auto"/>
              </w:rPr>
            </w:pP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2019 (unaudited) and September 30, 2018</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2019 and 2018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nine months ended June 30, 2019 and 2018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2019 and 2018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2019 (unaudited) and September 30, 2018</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300" w:type="dxa"/>
            <w:vAlign w:val="bottom"/>
          </w:tcPr>
          <w:p>
            <w:pPr>
              <w:ind w:left="43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PART II. OTHER INFORMATION</w:t>
              </w:r>
            </w:hyperlink>
          </w:p>
        </w:tc>
        <w:tc>
          <w:tcPr>
            <w:tcW w:w="1940" w:type="dxa"/>
            <w:vAlign w:val="bottom"/>
          </w:tcPr>
          <w:p>
            <w:pPr>
              <w:spacing w:after="0"/>
              <w:rPr>
                <w:sz w:val="24"/>
                <w:szCs w:val="24"/>
                <w:color w:val="auto"/>
              </w:rPr>
            </w:pP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1. 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1A. Risk Factors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3. Defaults Upon Senior Securities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4. 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5. 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Item 6. Exhibits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“Credit Facility” refers to our multi-currency, senior secured revolving credit facility, as amended and restated; “2023 Notes” refers to our 3.83% Series A notes due 2023;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40" w:type="dxa"/>
            <w:vAlign w:val="bottom"/>
          </w:tcPr>
          <w:p>
            <w:pPr>
              <w:ind w:left="80"/>
              <w:spacing w:after="0"/>
              <w:rPr>
                <w:sz w:val="20"/>
                <w:szCs w:val="20"/>
                <w:color w:val="auto"/>
              </w:rPr>
            </w:pPr>
            <w:r>
              <w:rPr>
                <w:rFonts w:ascii="Arial" w:cs="Arial" w:eastAsia="Arial" w:hAnsi="Arial"/>
                <w:sz w:val="14"/>
                <w:szCs w:val="14"/>
                <w:b w:val="1"/>
                <w:bCs w:val="1"/>
                <w:color w:val="auto"/>
              </w:rPr>
              <w:t>Consolidated Financial Statements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08"/>
        </w:trPr>
        <w:tc>
          <w:tcPr>
            <w:tcW w:w="680" w:type="dxa"/>
            <w:vAlign w:val="bottom"/>
          </w:tcPr>
          <w:p>
            <w:pPr>
              <w:spacing w:after="0"/>
              <w:rPr>
                <w:sz w:val="24"/>
                <w:szCs w:val="24"/>
                <w:color w:val="auto"/>
              </w:rPr>
            </w:pPr>
          </w:p>
        </w:tc>
        <w:tc>
          <w:tcPr>
            <w:tcW w:w="7360" w:type="dxa"/>
            <w:vAlign w:val="bottom"/>
            <w:gridSpan w:val="2"/>
          </w:tcPr>
          <w:p>
            <w:pPr>
              <w:jc w:val="center"/>
              <w:ind w:left="2468"/>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680" w:type="dxa"/>
            <w:vAlign w:val="bottom"/>
          </w:tcPr>
          <w:p>
            <w:pPr>
              <w:spacing w:after="0"/>
              <w:rPr>
                <w:sz w:val="16"/>
                <w:szCs w:val="16"/>
                <w:color w:val="auto"/>
              </w:rPr>
            </w:pPr>
          </w:p>
        </w:tc>
        <w:tc>
          <w:tcPr>
            <w:tcW w:w="7360" w:type="dxa"/>
            <w:vAlign w:val="bottom"/>
            <w:gridSpan w:val="2"/>
          </w:tcPr>
          <w:p>
            <w:pPr>
              <w:jc w:val="center"/>
              <w:ind w:left="2448"/>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4"/>
        </w:trPr>
        <w:tc>
          <w:tcPr>
            <w:tcW w:w="6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June 30, 2019</w:t>
            </w: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2018</w:t>
            </w:r>
          </w:p>
        </w:tc>
      </w:tr>
      <w:tr>
        <w:trPr>
          <w:trHeight w:val="171"/>
        </w:trPr>
        <w:tc>
          <w:tcPr>
            <w:tcW w:w="6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(cost—$895,394,733 and $856,893,017, respectively)</w:t>
            </w: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884,350,757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854,753,064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(cost—$17,893,712 and $0 respectively)</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16,108,205.00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(cost—$172,812,500 and $144,375,000, respectively)</w:t>
            </w:r>
          </w:p>
        </w:tc>
        <w:tc>
          <w:tcPr>
            <w:tcW w:w="32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171,694,804</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145,860,229</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(cost—$1,086,100,945 and $1,001,268,017, respectively)</w:t>
            </w:r>
          </w:p>
        </w:tc>
        <w:tc>
          <w:tcPr>
            <w:tcW w:w="3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1,072,153,766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1,000,613,293</w:t>
            </w:r>
          </w:p>
        </w:tc>
        <w:tc>
          <w:tcPr>
            <w:tcW w:w="120" w:type="dxa"/>
            <w:vAlign w:val="bottom"/>
          </w:tcPr>
          <w:p>
            <w:pPr>
              <w:spacing w:after="0"/>
              <w:rPr>
                <w:sz w:val="13"/>
                <w:szCs w:val="13"/>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(cost—$25,360,185 and $72,231,801, respectively)</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25,364,034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3,366,168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2,813,808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2,977,500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77,922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792,069</w:t>
            </w:r>
          </w:p>
        </w:tc>
        <w:tc>
          <w:tcPr>
            <w:tcW w:w="120" w:type="dxa"/>
            <w:vAlign w:val="bottom"/>
            <w:tcBorders>
              <w:bottom w:val="single" w:sz="8" w:color="CCECFF"/>
            </w:tcBorders>
          </w:tcPr>
          <w:p>
            <w:pPr>
              <w:spacing w:after="0"/>
              <w:rPr>
                <w:sz w:val="14"/>
                <w:szCs w:val="14"/>
                <w:color w:val="auto"/>
              </w:rPr>
            </w:pPr>
          </w:p>
        </w:tc>
      </w:tr>
      <w:tr>
        <w:trPr>
          <w:trHeight w:val="155"/>
        </w:trPr>
        <w:tc>
          <w:tcPr>
            <w:tcW w:w="680" w:type="dxa"/>
            <w:vAlign w:val="bottom"/>
            <w:shd w:val="clear" w:color="auto" w:fill="CCECFF"/>
          </w:tcPr>
          <w:p>
            <w:pPr>
              <w:spacing w:after="0"/>
              <w:rPr>
                <w:sz w:val="13"/>
                <w:szCs w:val="13"/>
                <w:color w:val="auto"/>
              </w:rPr>
            </w:pPr>
          </w:p>
        </w:tc>
        <w:tc>
          <w:tcPr>
            <w:tcW w:w="7040" w:type="dxa"/>
            <w:vAlign w:val="bottom"/>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1,103,939,390</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shd w:val="clear" w:color="auto" w:fill="CCECFF"/>
          </w:tcPr>
          <w:p>
            <w:pPr>
              <w:spacing w:after="0"/>
              <w:rPr>
                <w:sz w:val="13"/>
                <w:szCs w:val="13"/>
                <w:color w:val="auto"/>
              </w:rPr>
            </w:pPr>
          </w:p>
        </w:tc>
      </w:tr>
      <w:tr>
        <w:trPr>
          <w:trHeight w:val="156"/>
        </w:trPr>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36,480,000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59,587,222</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Facility payable (cost—$415,307,500 and $333,727,520, respectively) (See Notes 5 and 10)</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412,129,078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332,128,815</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2023 Notes payable (par—$138,579,858) (See Notes 5 and 10)</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137,526,651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1,776,766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2,638,504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Base management fee payable (See Note 3)</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2,564,074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2,419,629</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2,350,269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3,298,404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695,474</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1,342,479</w:t>
            </w:r>
          </w:p>
        </w:tc>
        <w:tc>
          <w:tcPr>
            <w:tcW w:w="120" w:type="dxa"/>
            <w:vAlign w:val="bottom"/>
            <w:tcBorders>
              <w:bottom w:val="single" w:sz="8" w:color="CCECFF"/>
            </w:tcBorders>
          </w:tcPr>
          <w:p>
            <w:pPr>
              <w:spacing w:after="0"/>
              <w:rPr>
                <w:sz w:val="14"/>
                <w:szCs w:val="14"/>
                <w:color w:val="auto"/>
              </w:rPr>
            </w:pPr>
          </w:p>
        </w:tc>
      </w:tr>
      <w:tr>
        <w:trPr>
          <w:trHeight w:val="155"/>
        </w:trPr>
        <w:tc>
          <w:tcPr>
            <w:tcW w:w="680" w:type="dxa"/>
            <w:vAlign w:val="bottom"/>
            <w:shd w:val="clear" w:color="auto" w:fill="CCECFF"/>
          </w:tcPr>
          <w:p>
            <w:pPr>
              <w:spacing w:after="0"/>
              <w:rPr>
                <w:sz w:val="13"/>
                <w:szCs w:val="13"/>
                <w:color w:val="auto"/>
              </w:rPr>
            </w:pPr>
          </w:p>
        </w:tc>
        <w:tc>
          <w:tcPr>
            <w:tcW w:w="7040" w:type="dxa"/>
            <w:vAlign w:val="bottom"/>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597,205,659</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540,601,785</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w w:val="94"/>
              </w:rPr>
              <w:t>Net assets</w:t>
            </w:r>
          </w:p>
        </w:tc>
        <w:tc>
          <w:tcPr>
            <w:tcW w:w="70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43"/>
        </w:trPr>
        <w:tc>
          <w:tcPr>
            <w:tcW w:w="772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38,772,074 shares issued and outstanding Par value $0.001 per share and 100,000,000</w:t>
            </w: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720" w:type="dxa"/>
            <w:vAlign w:val="bottom"/>
            <w:gridSpan w:val="2"/>
          </w:tcPr>
          <w:p>
            <w:pPr>
              <w:ind w:left="120"/>
              <w:spacing w:after="0"/>
              <w:rPr>
                <w:sz w:val="20"/>
                <w:szCs w:val="20"/>
                <w:color w:val="auto"/>
              </w:rPr>
            </w:pPr>
            <w:r>
              <w:rPr>
                <w:rFonts w:ascii="Arial" w:cs="Arial" w:eastAsia="Arial" w:hAnsi="Arial"/>
                <w:sz w:val="14"/>
                <w:szCs w:val="14"/>
                <w:color w:val="auto"/>
              </w:rPr>
              <w:t>shares authorized</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38,722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32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539,462,336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Accumulated distributable net loss</w:t>
            </w:r>
          </w:p>
        </w:tc>
        <w:tc>
          <w:tcPr>
            <w:tcW w:w="32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(32,767,327)</w:t>
            </w: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(3,659,540)</w:t>
            </w:r>
          </w:p>
        </w:tc>
      </w:tr>
      <w:tr>
        <w:trPr>
          <w:trHeight w:val="155"/>
        </w:trPr>
        <w:tc>
          <w:tcPr>
            <w:tcW w:w="680" w:type="dxa"/>
            <w:vAlign w:val="bottom"/>
            <w:tcBorders>
              <w:top w:val="single" w:sz="8" w:color="CCECFF"/>
            </w:tcBorders>
            <w:shd w:val="clear" w:color="auto" w:fill="CCECFF"/>
          </w:tcPr>
          <w:p>
            <w:pPr>
              <w:spacing w:after="0"/>
              <w:rPr>
                <w:sz w:val="13"/>
                <w:szCs w:val="13"/>
                <w:color w:val="auto"/>
              </w:rPr>
            </w:pPr>
          </w:p>
        </w:tc>
        <w:tc>
          <w:tcPr>
            <w:tcW w:w="7040" w:type="dxa"/>
            <w:vAlign w:val="bottom"/>
            <w:tcBorders>
              <w:top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506,733,731</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535,841,568</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680" w:type="dxa"/>
            <w:vAlign w:val="bottom"/>
            <w:tcBorders>
              <w:bottom w:val="single" w:sz="8" w:color="CCECFF"/>
            </w:tcBorders>
          </w:tcPr>
          <w:p>
            <w:pPr>
              <w:spacing w:after="0"/>
              <w:rPr>
                <w:sz w:val="17"/>
                <w:szCs w:val="17"/>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1,103,939,390</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320" w:type="dxa"/>
            <w:vAlign w:val="bottom"/>
            <w:tcBorders>
              <w:bottom w:val="single" w:sz="8" w:color="auto"/>
            </w:tcBorders>
            <w:shd w:val="clear" w:color="auto" w:fill="CCECFF"/>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13.07</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13.82</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16,670,408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16,718,163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50,888,582</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45,225,422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974,760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559,708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2,971,768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1,255,766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305,217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1,082,208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109,863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124,734</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3,240,760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1,551,198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9,273,287</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2,985,061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Dividend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1,575,000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4,725,000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22,876,008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19,529,069</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69,065,579</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50,866,249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2,564,074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2,180,258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7,481,546</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5,932,024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2,350,270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329,567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3,671,908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852,678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5,663,183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3,862,037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16,284,841</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9,957,719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1,200,000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20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616,077</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622,025</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1,848,229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1,859,526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2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11,543,604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7,493,887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30,486,524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20,101,947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4,517,292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10,869,098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11,543,604</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7,693,887</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35,003,816</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31,571,045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11,332,404</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11,835,182</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34,061,763</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19,295,204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realized loss on investments: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(11,230,236)</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(1,790,048)</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(9,227,422)</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(3,113,542)</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(7,164,304)</w:t>
            </w: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(7,164,304)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loss on investments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(18,394,540)</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(1,790,048)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(16,391,726)</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(3,113,542)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8,492,044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(3,370,875)</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(9,292,141)</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(1,185,879)</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3,444,481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182,630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(3,892,061)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936,330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(355,573)</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(1,888,502)</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(443,549)</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6,544,816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11,580,952</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(5,076,747)</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(13,627,751)</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6,295,267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(6,813,588)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(6,866,795)</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(30,019,477)</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3,181,725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4,518,816</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4,968,387</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4,042,286</w:t>
            </w:r>
          </w:p>
        </w:tc>
        <w:tc>
          <w:tcPr>
            <w:tcW w:w="24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22,476,929</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0.12</w:t>
            </w:r>
          </w:p>
        </w:tc>
        <w:tc>
          <w:tcPr>
            <w:tcW w:w="2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0.13</w:t>
            </w:r>
          </w:p>
        </w:tc>
        <w:tc>
          <w:tcPr>
            <w:tcW w:w="2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0.10</w:t>
            </w:r>
          </w:p>
        </w:tc>
        <w:tc>
          <w:tcPr>
            <w:tcW w:w="2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0.31</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0.88</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11,332,404</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11,835,182</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34,061,763</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19,295,204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on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(18,394,540)</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(1,790,048)</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(16,391,726)</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(3,113,542)</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11,936,525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(3,188,245)</w:t>
            </w: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(13,184,202)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(249,549)</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(355,573)</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(1,888,502)</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(443,549)</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6,544,816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4,518,816</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4,968,387</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4,042,286</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22,476,929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(33,150,123)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(32,524,643)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20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(1,012,044)</w:t>
            </w: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88,019,756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(6,531,225)</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(6,081,654)</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(29,107,837)</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77,972,042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513,264,956</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541,959,970</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506,733,731</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535,878,316</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506,733,731</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535,878,316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issued from public offering</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6,292,000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4,042,286</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22,476,929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13,184,202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249,549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443,549</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(6,544,816)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16,391,726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3,113,542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(1,000,912)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(1,160,019)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(499,505,698)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(480,647,540)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(1,512,612)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(536,132)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400,143,184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283,586,945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(552,360)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(325,844)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receivable for investments sold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(2,977,500)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14,185,850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714,146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524,785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(23,107,222)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(17,300,500)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interest payable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(861,738)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459,212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144,445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395,452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(948,135)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(1,984,158)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(647,005)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471,688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(96,049,644)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(183,035,057)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(1,012,044)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(33,150,123)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(31,926,903)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2023 Notes issuance (See Notes 5 and 10)</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143,985,010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(202,120,020)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(142,095,000)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48,429,857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196,562,721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(47,619,787)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13,527,664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759,638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(1,260,350)</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72,224,183</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25,364,034</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31,178,070</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17,146,578</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9,525,005</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276,657</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377,706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33,587,726</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53,200,000</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Par /</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20" w:type="dxa"/>
            <w:vAlign w:val="bottom"/>
          </w:tcPr>
          <w:p>
            <w:pPr>
              <w:jc w:val="center"/>
              <w:ind w:right="14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w w:val="91"/>
              </w:rPr>
              <w:t xml:space="preserve">Investments in Non-Controlled, Non-Affiliated Portfolio Companies—174.5% </w:t>
            </w:r>
            <w:r>
              <w:rPr>
                <w:rFonts w:ascii="Arial" w:cs="Arial" w:eastAsia="Arial" w:hAnsi="Arial"/>
                <w:sz w:val="9"/>
                <w:szCs w:val="9"/>
                <w:b w:val="1"/>
                <w:bCs w:val="1"/>
                <w:color w:val="auto"/>
                <w:w w:val="91"/>
              </w:rPr>
              <w:t>(3), (4)</w:t>
            </w:r>
          </w:p>
        </w:tc>
        <w:tc>
          <w:tcPr>
            <w:tcW w:w="2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Debt—161.1%</w:t>
            </w:r>
          </w:p>
        </w:tc>
        <w:tc>
          <w:tcPr>
            <w:tcW w:w="1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American Auto Auction Group,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01/02/2024</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Transportation: Consumer</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7.34%</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5,828,129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  5,755,067</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4"/>
              </w:rPr>
              <w:t>$   5,769,853</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12/21/2023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Building Products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14,962,500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14,697,130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14,738,063</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 (8)</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12/21/2023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Building Products</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649,351</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(9,740)</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Scaffold</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8.83%</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3,980,888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3,948,828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3,941,079</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American Teleconferencing Services, Ltd.</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9.06%</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9,672,954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9,584,736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6,190,690</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API Holdings III Corp.</w:t>
            </w:r>
          </w:p>
        </w:tc>
        <w:tc>
          <w:tcPr>
            <w:tcW w:w="1220" w:type="dxa"/>
            <w:vAlign w:val="bottom"/>
          </w:tcPr>
          <w:p>
            <w:pPr>
              <w:jc w:val="center"/>
              <w:ind w:right="162"/>
              <w:spacing w:after="0"/>
              <w:rPr>
                <w:sz w:val="20"/>
                <w:szCs w:val="20"/>
                <w:color w:val="auto"/>
              </w:rPr>
            </w:pPr>
            <w:r>
              <w:rPr>
                <w:rFonts w:ascii="Arial" w:cs="Arial" w:eastAsia="Arial" w:hAnsi="Arial"/>
                <w:sz w:val="12"/>
                <w:szCs w:val="12"/>
                <w:color w:val="auto"/>
                <w:w w:val="86"/>
              </w:rPr>
              <w:t>05/11/2026</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6.70%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1M L+425</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5,970,000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5,977,500</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BEI Precision Systems &amp; Space Company, Inc.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7.83%</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11,760,000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11,676,792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11,642,400</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8.66%</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1M L+725</w:t>
            </w:r>
          </w:p>
        </w:tc>
        <w:tc>
          <w:tcPr>
            <w:tcW w:w="660" w:type="dxa"/>
            <w:vAlign w:val="bottom"/>
          </w:tcPr>
          <w:p>
            <w:pPr>
              <w:jc w:val="right"/>
              <w:spacing w:after="0"/>
              <w:rPr>
                <w:sz w:val="20"/>
                <w:szCs w:val="20"/>
                <w:color w:val="auto"/>
              </w:rPr>
            </w:pPr>
            <w:r>
              <w:rPr>
                <w:rFonts w:ascii="Arial" w:cs="Arial" w:eastAsia="Arial" w:hAnsi="Arial"/>
                <w:sz w:val="12"/>
                <w:szCs w:val="12"/>
                <w:color w:val="auto"/>
              </w:rPr>
              <w:t>12,285,837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12,028,858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12,285,837</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8.67%</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L+725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481,119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481,119</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481,119</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1,932,115</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Cadence Aerospace, LLC</w:t>
            </w:r>
          </w:p>
        </w:tc>
        <w:tc>
          <w:tcPr>
            <w:tcW w:w="1220" w:type="dxa"/>
            <w:vAlign w:val="bottom"/>
            <w:shd w:val="clear" w:color="auto" w:fill="CFF0FC"/>
          </w:tcPr>
          <w:p>
            <w:pPr>
              <w:jc w:val="center"/>
              <w:ind w:right="16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8.83%</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2,875,404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2,854,471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2,848,858</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Cano Health, LLC </w:t>
            </w:r>
            <w:r>
              <w:rPr>
                <w:rFonts w:ascii="Arial" w:cs="Arial" w:eastAsia="Arial" w:hAnsi="Arial"/>
                <w:sz w:val="9"/>
                <w:szCs w:val="9"/>
                <w:color w:val="auto"/>
              </w:rPr>
              <w:t>(7)</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12/23/2021</w:t>
            </w:r>
          </w:p>
        </w:tc>
        <w:tc>
          <w:tcPr>
            <w:tcW w:w="25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8.68%</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5,866,767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5,813,118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5,866,767</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Cardenas Markets LLC</w:t>
            </w:r>
          </w:p>
        </w:tc>
        <w:tc>
          <w:tcPr>
            <w:tcW w:w="1220" w:type="dxa"/>
            <w:vAlign w:val="bottom"/>
            <w:shd w:val="clear" w:color="auto" w:fill="CFF0FC"/>
          </w:tcPr>
          <w:p>
            <w:pPr>
              <w:jc w:val="center"/>
              <w:ind w:right="16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8.19%</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3,844,742</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3,850,581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3,729,400</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8.48%</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16,037,420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15,778,455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15,970,544</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04/10/2025</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90"/>
              </w:rPr>
              <w:t>Environmental Industries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6.83%</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7,384,821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7,357,941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7,347,897</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04/10/2025</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Environmental Industries</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53,571</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(268)</w:t>
            </w: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08/31/2023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8.18%</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142,289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142,289</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140,866</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Challenger Performance Optimization, Inc.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08/31/2023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569,158</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(5,692)</w:t>
            </w:r>
          </w:p>
        </w:tc>
      </w:tr>
      <w:tr>
        <w:trPr>
          <w:trHeight w:val="148"/>
        </w:trPr>
        <w:tc>
          <w:tcPr>
            <w:tcW w:w="30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2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Confluent Health, LLC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06/24/2026</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Health Providers and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7.40%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3,960,000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3,980,000</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Deva Holdings, Inc.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10/31/2023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8.65%</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947,304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932,690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947,304</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Digital Room Holdings, Inc.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05/22/2026</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9,850,000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9,700,000</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10/19/2022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8.08%</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14,376,838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14,183,241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14,233,069</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Douglas Products and Packaging Company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10/19/2022</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8.17%</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1,317,353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1,317,353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1,304,179</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w:t>
            </w:r>
          </w:p>
        </w:tc>
        <w:tc>
          <w:tcPr>
            <w:tcW w:w="1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Douglas Products and Packaging Company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10/19/2022</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3,073,824</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(30,738)</w:t>
            </w:r>
          </w:p>
        </w:tc>
      </w:tr>
      <w:tr>
        <w:trPr>
          <w:trHeight w:val="148"/>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Douglas Sewer Intermediate, LLC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10/19/2022</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8.08%</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9,841,439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9,776,115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9,743,024</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Hotel, Gaming and Leisure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10.40%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18,787,565</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18,664,364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18,599,689</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(9)</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10/05/2023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Banking, Finance, Insurance &amp; Real Estate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7.47%</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21,626,250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21,626,250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21,626,250</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w w:val="99"/>
              </w:rPr>
              <w:t xml:space="preserve">eCommission Financial Services, Inc. (Revolver) </w:t>
            </w:r>
            <w:r>
              <w:rPr>
                <w:rFonts w:ascii="Arial" w:cs="Arial" w:eastAsia="Arial" w:hAnsi="Arial"/>
                <w:sz w:val="9"/>
                <w:szCs w:val="9"/>
                <w:color w:val="auto"/>
                <w:w w:val="99"/>
              </w:rPr>
              <w:t>(7), (8), (9)</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10/05/2023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Banking, Finance, Insurance &amp; Real Estate</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Education Networks of America, Inc.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10.02%</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10,336,020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10,315,565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10,284,338</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9.82%</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2,176,691</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2,176,691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2,165,807</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91"/>
              </w:rPr>
              <w:t>Media: Diversified and Production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9.08%</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7,312,455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7,279,572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7,275,892</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GCOM Software LLC</w:t>
            </w:r>
          </w:p>
        </w:tc>
        <w:tc>
          <w:tcPr>
            <w:tcW w:w="1220" w:type="dxa"/>
            <w:vAlign w:val="bottom"/>
          </w:tcPr>
          <w:p>
            <w:pPr>
              <w:jc w:val="center"/>
              <w:ind w:right="16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8.66%</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12,317,696</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12,065,638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12,317,696</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w:t>
            </w:r>
          </w:p>
        </w:tc>
        <w:tc>
          <w:tcPr>
            <w:tcW w:w="1220" w:type="dxa"/>
            <w:vAlign w:val="bottom"/>
            <w:shd w:val="clear" w:color="auto" w:fill="CFF0FC"/>
          </w:tcPr>
          <w:p>
            <w:pPr>
              <w:jc w:val="center"/>
              <w:ind w:right="16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9.75%</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P+550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1,413,333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1,413,333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1,413,333</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220" w:type="dxa"/>
            <w:vAlign w:val="bottom"/>
          </w:tcPr>
          <w:p>
            <w:pPr>
              <w:jc w:val="center"/>
              <w:ind w:right="16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1,253,333</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Good2Grow LLC</w:t>
            </w:r>
          </w:p>
        </w:tc>
        <w:tc>
          <w:tcPr>
            <w:tcW w:w="1220" w:type="dxa"/>
            <w:vAlign w:val="bottom"/>
            <w:shd w:val="clear" w:color="auto" w:fill="CFF0FC"/>
          </w:tcPr>
          <w:p>
            <w:pPr>
              <w:jc w:val="center"/>
              <w:ind w:right="162"/>
              <w:spacing w:after="0"/>
              <w:rPr>
                <w:sz w:val="20"/>
                <w:szCs w:val="20"/>
                <w:color w:val="auto"/>
              </w:rPr>
            </w:pPr>
            <w:r>
              <w:rPr>
                <w:rFonts w:ascii="Arial" w:cs="Arial" w:eastAsia="Arial" w:hAnsi="Arial"/>
                <w:sz w:val="12"/>
                <w:szCs w:val="12"/>
                <w:color w:val="auto"/>
                <w:w w:val="86"/>
              </w:rPr>
              <w:t>11/18/2024</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3"/>
              </w:rPr>
              <w:t>Beverages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6.58%</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L+425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7,462,500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7,394,079</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7,387,876</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Good2Grow LLC (Revolver) </w:t>
            </w:r>
            <w:r>
              <w:rPr>
                <w:rFonts w:ascii="Arial" w:cs="Arial" w:eastAsia="Arial" w:hAnsi="Arial"/>
                <w:sz w:val="9"/>
                <w:szCs w:val="9"/>
                <w:color w:val="auto"/>
              </w:rPr>
              <w:t>(7), (8)</w:t>
            </w:r>
          </w:p>
        </w:tc>
        <w:tc>
          <w:tcPr>
            <w:tcW w:w="1220" w:type="dxa"/>
            <w:vAlign w:val="bottom"/>
          </w:tcPr>
          <w:p>
            <w:pPr>
              <w:jc w:val="center"/>
              <w:ind w:right="162"/>
              <w:spacing w:after="0"/>
              <w:rPr>
                <w:sz w:val="20"/>
                <w:szCs w:val="20"/>
                <w:color w:val="auto"/>
              </w:rPr>
            </w:pPr>
            <w:r>
              <w:rPr>
                <w:rFonts w:ascii="Arial" w:cs="Arial" w:eastAsia="Arial" w:hAnsi="Arial"/>
                <w:sz w:val="12"/>
                <w:szCs w:val="12"/>
                <w:color w:val="auto"/>
                <w:w w:val="86"/>
              </w:rPr>
              <w:t>11/16/2023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3"/>
              </w:rPr>
              <w:t>Beverages</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3,137,000</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(31,370)</w:t>
            </w: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06/03/2024</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6.81%</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19,374,185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19,259,472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19,180,443</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06/03/2024</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7.01%</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5,938,737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5,938,737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5,879,349</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06/03/2024</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1,187,747</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(11,877)</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10,952,132</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10,785,997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5,037,981</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Hollander Sleep Products, LLC - DIP</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10/18/2019</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9.33%</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1,343,541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1,343,541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1,330,105</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Hollander Sleep Products, LLC - DIP </w:t>
            </w:r>
            <w:r>
              <w:rPr>
                <w:rFonts w:ascii="Arial" w:cs="Arial" w:eastAsia="Arial" w:hAnsi="Arial"/>
                <w:sz w:val="9"/>
                <w:szCs w:val="9"/>
                <w:color w:val="auto"/>
              </w:rPr>
              <w:t>(8)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10/18/2019</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1,164,402</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(11,644)</w:t>
            </w: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HW Holdco,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12/10/2024</w:t>
            </w:r>
          </w:p>
        </w:tc>
        <w:tc>
          <w:tcPr>
            <w:tcW w:w="254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8.70%</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7,510,645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7,439,661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7,510,645</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HW Holdco, LLC (Revolver) </w:t>
            </w:r>
            <w:r>
              <w:rPr>
                <w:rFonts w:ascii="Arial" w:cs="Arial" w:eastAsia="Arial" w:hAnsi="Arial"/>
                <w:sz w:val="9"/>
                <w:szCs w:val="9"/>
                <w:color w:val="auto"/>
              </w:rPr>
              <w:t>(7)</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12/10/2024</w:t>
            </w:r>
          </w:p>
        </w:tc>
        <w:tc>
          <w:tcPr>
            <w:tcW w:w="2540" w:type="dxa"/>
            <w:vAlign w:val="bottom"/>
            <w:gridSpan w:val="2"/>
          </w:tcPr>
          <w:p>
            <w:pPr>
              <w:jc w:val="center"/>
              <w:ind w:right="3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8.70%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441,290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441,290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441,290</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HW Holdco, LLC (Revolver) </w:t>
            </w:r>
            <w:r>
              <w:rPr>
                <w:rFonts w:ascii="Arial" w:cs="Arial" w:eastAsia="Arial" w:hAnsi="Arial"/>
                <w:sz w:val="9"/>
                <w:szCs w:val="9"/>
                <w:color w:val="auto"/>
              </w:rPr>
              <w:t>(7), (8)</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12/10/2024</w:t>
            </w:r>
          </w:p>
        </w:tc>
        <w:tc>
          <w:tcPr>
            <w:tcW w:w="254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1,010,323</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IMIA Holdings, Inc. (Revolver)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10/28/2024</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06/27/2023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Wholesale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8.93%</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12,841,111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12,772,844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12,712,699</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04/13/2023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8.58%</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3,314,138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3,278,124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3,280,997</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04/13/2023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10.50%</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P+500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194,690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194,690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194,690</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04/13/2023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336,283</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Integrative Nutrition,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09/29/2023</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Consumer Services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7.35%</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35,820,000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35,507,203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35,820,000</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09/29/2023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Consumer Services</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Inventus Power, Inc.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8.90%</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4,154,544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4,147,435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3,739,090</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12/20/2023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1,428,571</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(18,699)</w:t>
            </w: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Kentucky Downs,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03/07/2025</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Hotels, Restaurants and Leisure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11.90%</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5,429,692</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5,325,459</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5,429,692</w:t>
            </w:r>
          </w:p>
        </w:tc>
        <w:tc>
          <w:tcPr>
            <w:tcW w:w="120" w:type="dxa"/>
            <w:vAlign w:val="bottom"/>
            <w:shd w:val="clear" w:color="auto" w:fill="CFF0FC"/>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Kentucky Downs, LLC </w:t>
            </w:r>
            <w:r>
              <w:rPr>
                <w:rFonts w:ascii="Arial" w:cs="Arial" w:eastAsia="Arial" w:hAnsi="Arial"/>
                <w:sz w:val="9"/>
                <w:szCs w:val="9"/>
                <w:color w:val="auto"/>
              </w:rPr>
              <w:t>(7), (8)</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03/07/2025</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Hotels, Restaurants and Leisure</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1,120,690</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KHC Holdings, Inc.</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8.33%</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12,062,500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11,948,652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12,062,500</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Wholesale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6.91%</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L+425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649,194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649,194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649,194</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220" w:type="dxa"/>
            <w:vAlign w:val="bottom"/>
          </w:tcPr>
          <w:p>
            <w:pPr>
              <w:jc w:val="center"/>
              <w:ind w:right="14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Wholesale</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560,484</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FF0FC"/>
          </w:tcPr>
          <w:p>
            <w:pPr>
              <w:spacing w:after="0"/>
              <w:rPr>
                <w:sz w:val="20"/>
                <w:szCs w:val="20"/>
                <w:color w:val="auto"/>
              </w:rPr>
            </w:pPr>
            <w:r>
              <w:rPr>
                <w:rFonts w:ascii="Arial" w:cs="Arial" w:eastAsia="Arial" w:hAnsi="Arial"/>
                <w:sz w:val="12"/>
                <w:szCs w:val="12"/>
                <w:color w:val="auto"/>
              </w:rPr>
              <w:t>Lago Resort &amp; Casino, LLC</w:t>
            </w:r>
          </w:p>
        </w:tc>
        <w:tc>
          <w:tcPr>
            <w:tcW w:w="1220" w:type="dxa"/>
            <w:vAlign w:val="bottom"/>
            <w:shd w:val="clear" w:color="auto" w:fill="CFF0FC"/>
          </w:tcPr>
          <w:p>
            <w:pPr>
              <w:jc w:val="center"/>
              <w:ind w:right="14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Hotel, Gaming and Leisure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11.83%</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L+950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10,021,500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9,914,702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9,904,549</w:t>
            </w:r>
          </w:p>
        </w:tc>
        <w:tc>
          <w:tcPr>
            <w:tcW w:w="120" w:type="dxa"/>
            <w:vAlign w:val="bottom"/>
            <w:shd w:val="clear" w:color="auto" w:fill="CFF0FC"/>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rPr>
              <w:t>Current</w:t>
            </w: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Par /</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40" w:type="dxa"/>
            <w:vAlign w:val="bottom"/>
            <w:tcBorders>
              <w:bottom w:val="single" w:sz="8" w:color="CFF0FC"/>
            </w:tcBorders>
          </w:tcPr>
          <w:p>
            <w:pPr>
              <w:spacing w:after="0"/>
              <w:rPr>
                <w:sz w:val="12"/>
                <w:szCs w:val="12"/>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20" w:type="dxa"/>
            <w:vAlign w:val="bottom"/>
            <w:tcBorders>
              <w:bottom w:val="single" w:sz="8" w:color="CFF0FC"/>
            </w:tcBorders>
          </w:tcPr>
          <w:p>
            <w:pPr>
              <w:spacing w:after="0"/>
              <w:rPr>
                <w:sz w:val="12"/>
                <w:szCs w:val="12"/>
                <w:color w:val="auto"/>
              </w:rPr>
            </w:pPr>
          </w:p>
        </w:tc>
      </w:tr>
      <w:tr>
        <w:trPr>
          <w:trHeight w:val="142"/>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LAV Gear Holdings, Inc. </w:t>
            </w:r>
            <w:r>
              <w:rPr>
                <w:rFonts w:ascii="Arial" w:cs="Arial" w:eastAsia="Arial" w:hAnsi="Arial"/>
                <w:sz w:val="9"/>
                <w:szCs w:val="9"/>
                <w:color w:val="auto"/>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10/31/2024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7.83%</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8,378,175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1"/>
              </w:rPr>
              <w:t>$   8,330,488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   8,345,946</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LAV Gear Holdings, Inc.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10/31/2024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1,587,302</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(6,106)</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11/30/2021</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7"/>
              </w:rPr>
              <w:t>(6)</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4,736,107</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4,599,788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757,778</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Lombart Brothers, Inc.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04/13/2023</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8.58%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12,003,874</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11,869,545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11,883,835</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04/13/2023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10.50%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P+500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546,590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546,590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546,590</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04/13/2023</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692,348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Long Island Vision Management,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09/07/2023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7.22%</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L+475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6,112,329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6,059,288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6,082,258</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09/07/2023</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3,842,276</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(18,903)</w:t>
            </w: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Long’s Drugs Incorporated</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08/19/2022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7.46%</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9,852,702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9,825,750</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08/19/2022</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(60,000)</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LSF9 Atlantis Holdings,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05/01/2023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Retail</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8.42%</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13,775,000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13,675,958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12,873,840</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Manna Pro Products, LLC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12/08/2023</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8.40%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8,411,250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8,346,788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8,161,328</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Marketplace Events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01/27/2023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90"/>
              </w:rPr>
              <w:t>Media: Diversified and Production</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7.58%</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L+525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5,325,563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5,277,964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5,325,563</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Media: Diversified and Production</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7.21%</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1120" w:type="dxa"/>
            <w:vAlign w:val="bottom"/>
            <w:gridSpan w:val="3"/>
          </w:tcPr>
          <w:p>
            <w:pPr>
              <w:ind w:left="120"/>
              <w:spacing w:after="0"/>
              <w:rPr>
                <w:sz w:val="20"/>
                <w:szCs w:val="20"/>
                <w:color w:val="auto"/>
              </w:rPr>
            </w:pPr>
            <w:r>
              <w:rPr>
                <w:rFonts w:ascii="Arial" w:cs="Arial" w:eastAsia="Arial" w:hAnsi="Arial"/>
                <w:sz w:val="12"/>
                <w:szCs w:val="12"/>
                <w:color w:val="auto"/>
              </w:rPr>
              <w:t>C$ 16,343,350</w:t>
            </w:r>
          </w:p>
        </w:tc>
        <w:tc>
          <w:tcPr>
            <w:tcW w:w="660" w:type="dxa"/>
            <w:vAlign w:val="bottom"/>
          </w:tcPr>
          <w:p>
            <w:pPr>
              <w:jc w:val="right"/>
              <w:spacing w:after="0"/>
              <w:rPr>
                <w:sz w:val="20"/>
                <w:szCs w:val="20"/>
                <w:color w:val="auto"/>
              </w:rPr>
            </w:pPr>
            <w:r>
              <w:rPr>
                <w:rFonts w:ascii="Arial" w:cs="Arial" w:eastAsia="Arial" w:hAnsi="Arial"/>
                <w:sz w:val="12"/>
                <w:szCs w:val="12"/>
                <w:color w:val="auto"/>
              </w:rPr>
              <w:t>11,535,462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12,506,863</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01/27/2021</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90"/>
              </w:rPr>
              <w:t>Media: Diversified and Production</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8.25%</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P+275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1,464,720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1,464,720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1,457,396</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Media: Diversified and Production</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238,443</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(1,192)</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MeritDirect,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05/23/2024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91"/>
              </w:rPr>
              <w:t>Media</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8.06%</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3ML+550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35,213,000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34,691,631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34,684,805</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MeritDirect, LLC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05/23/2024</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7.94%</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3ML+550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960,355</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960,355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945,949</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MeritDirect, LLC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05/23/2024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91"/>
              </w:rPr>
              <w:t>Media</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3,521,300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(52,819)</w:t>
            </w: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09/28/2021</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7.48%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1ML+500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154,594</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154,594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154,412</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09/28/2021</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1,170,495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(1,376)</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01/24/2023</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10.77%</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L+825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27,258,881</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27,478,000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22,624,871</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Morphe,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02/10/2023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9.10%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16,863,265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16,610,792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16,778,948</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Nuvei Technologies Corp. </w:t>
            </w:r>
            <w:r>
              <w:rPr>
                <w:rFonts w:ascii="Arial" w:cs="Arial" w:eastAsia="Arial" w:hAnsi="Arial"/>
                <w:sz w:val="9"/>
                <w:szCs w:val="9"/>
                <w:color w:val="auto"/>
              </w:rPr>
              <w:t>(5)</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09/28/2025</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Diversified Financial Services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L+500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20,000,000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19,700,000</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Olde Thompson,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05/14/2024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6.90%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1,672,976</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1,656,246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1,672,976</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05/14/2024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Ox Two,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02/27/2023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8.65%</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L+625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12,844,073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12,767,562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12,844,073</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02/27/2023</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12.75%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P+725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508,444</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508,444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508,444</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02/27/2023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47,111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Peninsula Pacific Entertainment LLC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11/13/2024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9.58%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11,250,000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11,197,476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11,193,750</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11/13/2024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1,250,000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(6,250)</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Perforce Software, Inc.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12/27/2024</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Software</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L+450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26,527,841</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26,398,239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26,411,914</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Perforce Software, Inc. (Revolver) </w:t>
            </w:r>
            <w:r>
              <w:rPr>
                <w:rFonts w:ascii="Arial" w:cs="Arial" w:eastAsia="Arial" w:hAnsi="Arial"/>
                <w:sz w:val="9"/>
                <w:szCs w:val="9"/>
                <w:color w:val="auto"/>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12/27/2024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8"/>
              </w:rPr>
              <w:t>Software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9.00%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P+350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20,250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20,250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20,014</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Perforce Software, Inc.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12/27/2024</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Software</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317,250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(3,690)</w:t>
            </w: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06/01/2023</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7.84%</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L+525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14,925,000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14,800,829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14,822,015</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Plant Health Intermediate, Inc.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10/19/2022</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8.32%</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2,119,028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2,090,838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2,097,838</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PlayPower, Inc.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05/08/2026</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Leisure Products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7.90%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5,600,000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5,544,290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5,607,000</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PRA Events, Inc.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08/08/2022</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9.61%</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L+700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2,598,606</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2,553,784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2,598,606</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Questex,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09/09/2024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90"/>
              </w:rPr>
              <w:t>Media: Diversified and Production</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8.23%</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L+625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7,443,750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7,310,768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7,369,313</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09/09/2024</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Media: Diversified and Production</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1,196,809</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(11,968)</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08/23/2021</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7"/>
              </w:rPr>
              <w:t>(6)</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9,375,000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9,286,696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2,988,281</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06/28/2022</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8.69%</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5,574,578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5,494,328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5,435,213</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06/28/2022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1,702,703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(42,567)</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06/28/2022</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8.69%</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945,946</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945,946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922,297</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Research Now Group, Inc. and Survey Sampling</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12/20/2024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24,625,000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23,600,231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24,514,188</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ind w:left="140"/>
              <w:spacing w:after="0"/>
              <w:rPr>
                <w:sz w:val="20"/>
                <w:szCs w:val="20"/>
                <w:color w:val="auto"/>
              </w:rPr>
            </w:pPr>
            <w:r>
              <w:rPr>
                <w:rFonts w:ascii="Arial" w:cs="Arial" w:eastAsia="Arial" w:hAnsi="Arial"/>
                <w:sz w:val="12"/>
                <w:szCs w:val="12"/>
                <w:color w:val="auto"/>
              </w:rPr>
              <w:t>International LLC</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Riverpoint Medical, LLC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06/20/2025</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Healthcare Equipment and Supplies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7.39%</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4,950,119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4,950,000</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Riverpoint Medical, LLC (Revolver) </w:t>
            </w:r>
            <w:r>
              <w:rPr>
                <w:rFonts w:ascii="Arial" w:cs="Arial" w:eastAsia="Arial" w:hAnsi="Arial"/>
                <w:sz w:val="9"/>
                <w:szCs w:val="9"/>
                <w:color w:val="auto"/>
              </w:rPr>
              <w:t>(7), (8)</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06/20/2025</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Equipment and Supplies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909,091</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Salient CRGT Inc.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02/28/2022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8.40%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L+575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1,784,297</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1,762,845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1,704,003</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09/01/2022</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8.71%</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7,210,345</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7,161,455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7,210,345</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09/01/2022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1,600,829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09/01/2022</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8.67%</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141,667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141,667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141,667</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09/01/2022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358,333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Signature Systems Holding Company</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05/03/2024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Commercial Services &amp; Supplies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9.01%</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L+650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13,000,000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12,808,266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12,805,000</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Signature Systems Holding Company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05/03/2024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Commercial Services &amp; Supplies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1,747,312</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Smile Brands Inc.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10/14/2024</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7.23%</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L+450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1,533,336</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1,533,336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1,518,002</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Smile Brands Inc.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10/14/2024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2,969,763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(29,698)</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Smile Brands Inc.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10/14/2024</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P+350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431,000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431,000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423,156</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Smile Brands Inc.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10/14/2024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1,185,250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(21,572)</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8.44%</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220,000</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07/19/2021</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245,136</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(29,416)</w:t>
            </w: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Solutionreach, Inc.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01/17/2024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Technology</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8.13%</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13,286,700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13,040,514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13,005,663</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Solutionreach, Inc.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01/17/2024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Healthcare Technology</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1,665,000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(35,218)</w:t>
            </w: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07/25/2023</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7.40%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L+500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7,540,000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7,455,244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7,464,600</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Tensar Corporation</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07/09/2021</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7.08%</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L+475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22,620,696</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22,511,377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22,353,259</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12/02/2021</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7.95%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3M L+525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5,717,328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5,687,063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5,660,154</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07/20/2022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7.48%</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7,644,329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7,591,935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7,644,329</w:t>
            </w:r>
          </w:p>
        </w:tc>
        <w:tc>
          <w:tcPr>
            <w:tcW w:w="120" w:type="dxa"/>
            <w:vAlign w:val="bottom"/>
            <w:shd w:val="clear" w:color="auto" w:fill="CFF0FC"/>
          </w:tcPr>
          <w:p>
            <w:pPr>
              <w:spacing w:after="0"/>
              <w:rPr>
                <w:sz w:val="12"/>
                <w:szCs w:val="12"/>
                <w:color w:val="auto"/>
              </w:rPr>
            </w:pP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07/20/2022</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6.98%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2M L+450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5,445,077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5,410,482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5,445,077</w:t>
            </w:r>
          </w:p>
        </w:tc>
        <w:tc>
          <w:tcPr>
            <w:tcW w:w="120" w:type="dxa"/>
            <w:vAlign w:val="bottom"/>
          </w:tcPr>
          <w:p>
            <w:pPr>
              <w:spacing w:after="0"/>
              <w:rPr>
                <w:sz w:val="12"/>
                <w:szCs w:val="12"/>
                <w:color w:val="auto"/>
              </w:rPr>
            </w:pP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07/20/2022</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6.90%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397,176</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397,176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397,176</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07/20/2022</w:t>
            </w:r>
          </w:p>
        </w:tc>
        <w:tc>
          <w:tcPr>
            <w:tcW w:w="140" w:type="dxa"/>
            <w:vAlign w:val="bottom"/>
          </w:tcPr>
          <w:p>
            <w:pPr>
              <w:spacing w:after="0"/>
              <w:rPr>
                <w:sz w:val="12"/>
                <w:szCs w:val="12"/>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1,021,308</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12/28/2020</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13.65%</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L+1,325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7,892,576</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7,836,079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7,813,651</w:t>
            </w:r>
          </w:p>
        </w:tc>
        <w:tc>
          <w:tcPr>
            <w:tcW w:w="120" w:type="dxa"/>
            <w:vAlign w:val="bottom"/>
            <w:shd w:val="clear" w:color="auto" w:fill="CFF0FC"/>
          </w:tcPr>
          <w:p>
            <w:pPr>
              <w:spacing w:after="0"/>
              <w:rPr>
                <w:sz w:val="12"/>
                <w:szCs w:val="12"/>
                <w:color w:val="auto"/>
              </w:rPr>
            </w:pPr>
          </w:p>
        </w:tc>
      </w:tr>
      <w:tr>
        <w:trPr>
          <w:trHeight w:val="149"/>
        </w:trPr>
        <w:tc>
          <w:tcPr>
            <w:tcW w:w="3180" w:type="dxa"/>
            <w:vAlign w:val="bottom"/>
            <w:gridSpan w:val="2"/>
          </w:tcPr>
          <w:p>
            <w:pPr>
              <w:spacing w:after="0"/>
              <w:rPr>
                <w:sz w:val="20"/>
                <w:szCs w:val="20"/>
                <w:color w:val="auto"/>
              </w:rPr>
            </w:pPr>
            <w:r>
              <w:rPr>
                <w:rFonts w:ascii="Arial" w:cs="Arial" w:eastAsia="Arial" w:hAnsi="Arial"/>
                <w:sz w:val="12"/>
                <w:szCs w:val="12"/>
                <w:color w:val="auto"/>
              </w:rPr>
              <w:t>TVC Enterprises, LLC</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01/18/2024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7.94%</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15,983,797</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15,687,716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15,983,797</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TVC Enterprises, LLC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01/18/2024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1,955,719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TVC Enterprises, LLC (Revolver) </w:t>
            </w:r>
            <w:r>
              <w:rPr>
                <w:rFonts w:ascii="Arial" w:cs="Arial" w:eastAsia="Arial" w:hAnsi="Arial"/>
                <w:sz w:val="9"/>
                <w:szCs w:val="9"/>
                <w:color w:val="auto"/>
              </w:rPr>
              <w:t>(7)</w:t>
            </w:r>
          </w:p>
        </w:tc>
        <w:tc>
          <w:tcPr>
            <w:tcW w:w="760" w:type="dxa"/>
            <w:vAlign w:val="bottom"/>
          </w:tcPr>
          <w:p>
            <w:pPr>
              <w:jc w:val="center"/>
              <w:spacing w:after="0"/>
              <w:rPr>
                <w:sz w:val="20"/>
                <w:szCs w:val="20"/>
                <w:color w:val="auto"/>
              </w:rPr>
            </w:pPr>
            <w:r>
              <w:rPr>
                <w:rFonts w:ascii="Arial" w:cs="Arial" w:eastAsia="Arial" w:hAnsi="Arial"/>
                <w:sz w:val="12"/>
                <w:szCs w:val="12"/>
                <w:color w:val="auto"/>
                <w:w w:val="86"/>
              </w:rPr>
              <w:t>01/18/2024</w:t>
            </w:r>
          </w:p>
        </w:tc>
        <w:tc>
          <w:tcPr>
            <w:tcW w:w="14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9.28%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467,022</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467,022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467,022</w:t>
            </w:r>
          </w:p>
        </w:tc>
        <w:tc>
          <w:tcPr>
            <w:tcW w:w="120" w:type="dxa"/>
            <w:vAlign w:val="bottom"/>
          </w:tcPr>
          <w:p>
            <w:pPr>
              <w:spacing w:after="0"/>
              <w:rPr>
                <w:sz w:val="12"/>
                <w:szCs w:val="12"/>
                <w:color w:val="auto"/>
              </w:rPr>
            </w:pPr>
          </w:p>
        </w:tc>
      </w:tr>
      <w:tr>
        <w:trPr>
          <w:trHeight w:val="149"/>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TVC Enterprises, LLC (Revolver) </w:t>
            </w:r>
            <w:r>
              <w:rPr>
                <w:rFonts w:ascii="Arial" w:cs="Arial" w:eastAsia="Arial" w:hAnsi="Arial"/>
                <w:sz w:val="9"/>
                <w:szCs w:val="9"/>
                <w:color w:val="auto"/>
              </w:rPr>
              <w:t>(7), (8)</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01/18/2024</w:t>
            </w:r>
          </w:p>
        </w:tc>
        <w:tc>
          <w:tcPr>
            <w:tcW w:w="140" w:type="dxa"/>
            <w:vAlign w:val="bottom"/>
            <w:shd w:val="clear" w:color="auto" w:fill="CFF0FC"/>
          </w:tcPr>
          <w:p>
            <w:pPr>
              <w:spacing w:after="0"/>
              <w:rPr>
                <w:sz w:val="12"/>
                <w:szCs w:val="12"/>
                <w:color w:val="auto"/>
              </w:rPr>
            </w:pPr>
          </w:p>
        </w:tc>
        <w:tc>
          <w:tcPr>
            <w:tcW w:w="27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836,791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Maturity</w:t>
            </w:r>
          </w:p>
        </w:tc>
        <w:tc>
          <w:tcPr>
            <w:tcW w:w="240" w:type="dxa"/>
            <w:vAlign w:val="bottom"/>
            <w:tcBorders>
              <w:bottom w:val="single" w:sz="8" w:color="CFF0FC"/>
            </w:tcBorders>
          </w:tcPr>
          <w:p>
            <w:pPr>
              <w:spacing w:after="0"/>
              <w:rPr>
                <w:sz w:val="12"/>
                <w:szCs w:val="12"/>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FF0FC"/>
            </w:tcBorders>
          </w:tcPr>
          <w:p>
            <w:pPr>
              <w:spacing w:after="0"/>
              <w:rPr>
                <w:sz w:val="12"/>
                <w:szCs w:val="12"/>
                <w:color w:val="auto"/>
              </w:rPr>
            </w:pPr>
          </w:p>
        </w:tc>
      </w:tr>
      <w:tr>
        <w:trPr>
          <w:trHeight w:val="142"/>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TWS Acquisition Corporation</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06/16/2025</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Diversified Consumer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8.66%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14,150,000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  13,804,140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  13,802,335</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TWS Acquisition Corporation (Revolver) </w:t>
            </w:r>
            <w:r>
              <w:rPr>
                <w:rFonts w:ascii="Arial" w:cs="Arial" w:eastAsia="Arial" w:hAnsi="Arial"/>
                <w:sz w:val="9"/>
                <w:szCs w:val="9"/>
                <w:color w:val="auto"/>
              </w:rPr>
              <w:t>(7)</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06/16/2025</w:t>
            </w:r>
          </w:p>
        </w:tc>
        <w:tc>
          <w:tcPr>
            <w:tcW w:w="24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Diversified 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8.66%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808,571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808,571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808,571</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TWS Acquisition Corporation (Revolver) </w:t>
            </w:r>
            <w:r>
              <w:rPr>
                <w:rFonts w:ascii="Arial" w:cs="Arial" w:eastAsia="Arial" w:hAnsi="Arial"/>
                <w:sz w:val="9"/>
                <w:szCs w:val="9"/>
                <w:color w:val="auto"/>
              </w:rPr>
              <w:t>(7), (8)</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06/16/2025</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Diversified Consumer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1,819,286</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Tyto Athene, LLC</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08/27/2024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18,045,500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17,800,885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17,546,557</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Tyto Athene, LLC (Revolver) </w:t>
            </w:r>
            <w:r>
              <w:rPr>
                <w:rFonts w:ascii="Arial" w:cs="Arial" w:eastAsia="Arial" w:hAnsi="Arial"/>
                <w:sz w:val="9"/>
                <w:szCs w:val="9"/>
                <w:color w:val="auto"/>
              </w:rPr>
              <w:t>(7)</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08/27/2024</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8.16%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4,465,909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4,465,909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4,342,430</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Tyto Athene, LLC (Revolver) </w:t>
            </w:r>
            <w:r>
              <w:rPr>
                <w:rFonts w:ascii="Arial" w:cs="Arial" w:eastAsia="Arial" w:hAnsi="Arial"/>
                <w:sz w:val="9"/>
                <w:szCs w:val="9"/>
                <w:color w:val="auto"/>
              </w:rPr>
              <w:t>(7), (8)</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08/27/2024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2,352,273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(65,035)</w:t>
            </w: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04/03/2024</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6.90%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13,136,279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13,031,507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13,004,916</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 (8)</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04/03/2024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1,099,618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(10,996)</w:t>
            </w: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04/03/2024</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2,933,333</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(38,661)</w:t>
            </w: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08/20/2024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10,421,250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10,227,956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10,317,036</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US Dominion, Inc.</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07/15/2024</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9.16%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965,126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950,366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965,126</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07/15/2024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9.17%</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L+675</w:t>
            </w:r>
          </w:p>
        </w:tc>
        <w:tc>
          <w:tcPr>
            <w:tcW w:w="660" w:type="dxa"/>
            <w:vAlign w:val="bottom"/>
          </w:tcPr>
          <w:p>
            <w:pPr>
              <w:jc w:val="right"/>
              <w:spacing w:after="0"/>
              <w:rPr>
                <w:sz w:val="20"/>
                <w:szCs w:val="20"/>
                <w:color w:val="auto"/>
              </w:rPr>
            </w:pPr>
            <w:r>
              <w:rPr>
                <w:rFonts w:ascii="Arial" w:cs="Arial" w:eastAsia="Arial" w:hAnsi="Arial"/>
                <w:sz w:val="12"/>
                <w:szCs w:val="12"/>
                <w:color w:val="auto"/>
              </w:rPr>
              <w:t>1,750,000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1,750,000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07/15/2024</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08/13/2021</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11.60%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3,003,906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3,003,906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2,973,867</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Vision Purchaser Corporation</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06/10/2025</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Media</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8.66%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3,449,666</w:t>
            </w: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3,380,763</w:t>
            </w: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3,380,673</w:t>
            </w:r>
          </w:p>
        </w:tc>
        <w:tc>
          <w:tcPr>
            <w:tcW w:w="100" w:type="dxa"/>
            <w:vAlign w:val="bottom"/>
            <w:shd w:val="clear" w:color="auto" w:fill="CFF0FC"/>
          </w:tcPr>
          <w:p>
            <w:pPr>
              <w:spacing w:after="0"/>
              <w:rPr>
                <w:sz w:val="12"/>
                <w:szCs w:val="12"/>
                <w:color w:val="auto"/>
              </w:rPr>
            </w:pPr>
          </w:p>
        </w:tc>
      </w:tr>
      <w:tr>
        <w:trPr>
          <w:trHeight w:val="142"/>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839,519,168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816,287,525</w:t>
            </w:r>
          </w:p>
        </w:tc>
        <w:tc>
          <w:tcPr>
            <w:tcW w:w="100" w:type="dxa"/>
            <w:vAlign w:val="bottom"/>
          </w:tcPr>
          <w:p>
            <w:pPr>
              <w:spacing w:after="0"/>
              <w:rPr>
                <w:sz w:val="12"/>
                <w:szCs w:val="12"/>
                <w:color w:val="auto"/>
              </w:rPr>
            </w:pPr>
          </w:p>
        </w:tc>
      </w:tr>
      <w:tr>
        <w:trPr>
          <w:trHeight w:val="142"/>
        </w:trPr>
        <w:tc>
          <w:tcPr>
            <w:tcW w:w="3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Second Lien Secured Debt—5.7%</w:t>
            </w: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04/25/2025</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11.49%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1,655,172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1,627,393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1,655,172</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DBI Holdings, LLC, Term Loan B</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02/01/2026</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10,639,343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10,639,343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10,586,147</w:t>
            </w:r>
          </w:p>
        </w:tc>
        <w:tc>
          <w:tcPr>
            <w:tcW w:w="10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8.00%)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DBI Holdings, LLC, Term Loan C </w:t>
            </w:r>
            <w:r>
              <w:rPr>
                <w:rFonts w:ascii="Arial" w:cs="Arial" w:eastAsia="Arial" w:hAnsi="Arial"/>
                <w:sz w:val="9"/>
                <w:szCs w:val="9"/>
                <w:color w:val="auto"/>
              </w:rPr>
              <w:t>(7)</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03/26/2021</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21,276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21,276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21,276</w:t>
            </w:r>
          </w:p>
        </w:tc>
        <w:tc>
          <w:tcPr>
            <w:tcW w:w="10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8.00%)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Deco Pac, Inc.</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03/31/2025</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10.58%</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9,738,580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9,642,226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9,738,580</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MailSouth, Inc.</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10/23/2024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2,871,025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2,821,295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2,799,249</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660" w:type="dxa"/>
            <w:vAlign w:val="bottom"/>
            <w:shd w:val="clear" w:color="auto" w:fill="CFF0FC"/>
          </w:tcPr>
          <w:p>
            <w:pPr>
              <w:ind w:left="60"/>
              <w:spacing w:after="0"/>
              <w:rPr>
                <w:sz w:val="20"/>
                <w:szCs w:val="20"/>
                <w:color w:val="auto"/>
              </w:rPr>
            </w:pPr>
            <w:r>
              <w:rPr>
                <w:rFonts w:ascii="Arial" w:cs="Arial" w:eastAsia="Arial" w:hAnsi="Arial"/>
                <w:sz w:val="12"/>
                <w:szCs w:val="12"/>
                <w:color w:val="auto"/>
                <w:w w:val="96"/>
              </w:rPr>
              <w:t>09/29/2025</w:t>
            </w: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10.93%</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2,187,500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2,157,565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2,209,375</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660" w:type="dxa"/>
            <w:vAlign w:val="bottom"/>
          </w:tcPr>
          <w:p>
            <w:pPr>
              <w:ind w:left="60"/>
              <w:spacing w:after="0"/>
              <w:rPr>
                <w:sz w:val="20"/>
                <w:szCs w:val="20"/>
                <w:color w:val="auto"/>
              </w:rPr>
            </w:pPr>
            <w:r>
              <w:rPr>
                <w:rFonts w:ascii="Arial" w:cs="Arial" w:eastAsia="Arial" w:hAnsi="Arial"/>
                <w:sz w:val="12"/>
                <w:szCs w:val="12"/>
                <w:color w:val="auto"/>
                <w:w w:val="96"/>
              </w:rPr>
              <w:t>04/12/2023</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12.60%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1,807,373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1,789,299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1,789,299</w:t>
            </w:r>
          </w:p>
        </w:tc>
        <w:tc>
          <w:tcPr>
            <w:tcW w:w="10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(PIK 12.60%)</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28,698,397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28,799,098</w:t>
            </w:r>
          </w:p>
        </w:tc>
        <w:tc>
          <w:tcPr>
            <w:tcW w:w="100" w:type="dxa"/>
            <w:vAlign w:val="bottom"/>
          </w:tcPr>
          <w:p>
            <w:pPr>
              <w:spacing w:after="0"/>
              <w:rPr>
                <w:sz w:val="12"/>
                <w:szCs w:val="12"/>
                <w:color w:val="auto"/>
              </w:rPr>
            </w:pPr>
          </w:p>
        </w:tc>
      </w:tr>
      <w:tr>
        <w:trPr>
          <w:trHeight w:val="142"/>
        </w:trPr>
        <w:tc>
          <w:tcPr>
            <w:tcW w:w="3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 xml:space="preserve">Preferred Equity—2.4% </w:t>
            </w:r>
            <w:r>
              <w:rPr>
                <w:rFonts w:ascii="Arial" w:cs="Arial" w:eastAsia="Arial" w:hAnsi="Arial"/>
                <w:sz w:val="9"/>
                <w:szCs w:val="9"/>
                <w:b w:val="1"/>
                <w:bCs w:val="1"/>
                <w:color w:val="auto"/>
              </w:rPr>
              <w:t>(6)</w:t>
            </w: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CI (PTN) Investment Holdings II, LLC</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1,458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21,870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 (11)</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(7), (9)</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88,000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10,173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10,709</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(7), (9)</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77,827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81,927</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DBI Holding, LLC, Series A-1 </w:t>
            </w:r>
            <w:r>
              <w:rPr>
                <w:rFonts w:ascii="Arial" w:cs="Arial" w:eastAsia="Arial" w:hAnsi="Arial"/>
                <w:sz w:val="9"/>
                <w:szCs w:val="9"/>
                <w:color w:val="auto"/>
              </w:rPr>
              <w:t>(9), (11)</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7,041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7,040,844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7,041,528</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MeritDirect Holdings, LP </w:t>
            </w:r>
            <w:r>
              <w:rPr>
                <w:rFonts w:ascii="Arial" w:cs="Arial" w:eastAsia="Arial" w:hAnsi="Arial"/>
                <w:sz w:val="9"/>
                <w:szCs w:val="9"/>
                <w:color w:val="auto"/>
              </w:rPr>
              <w:t>(7)</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Media</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967,100</w:t>
            </w:r>
          </w:p>
        </w:tc>
        <w:tc>
          <w:tcPr>
            <w:tcW w:w="100" w:type="dxa"/>
            <w:vAlign w:val="bottom"/>
            <w:shd w:val="clear" w:color="auto" w:fill="CFF0FC"/>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NXOF Holdings, Inc. (Tyto Athene, LLC) </w:t>
            </w:r>
            <w:r>
              <w:rPr>
                <w:rFonts w:ascii="Arial" w:cs="Arial" w:eastAsia="Arial" w:hAnsi="Arial"/>
                <w:sz w:val="9"/>
                <w:szCs w:val="9"/>
                <w:color w:val="auto"/>
              </w:rPr>
              <w:t>(7)</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377,706</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PT Network Intermediate Holdings, LLC </w:t>
            </w:r>
            <w:r>
              <w:rPr>
                <w:rFonts w:ascii="Arial" w:cs="Arial" w:eastAsia="Arial" w:hAnsi="Arial"/>
                <w:sz w:val="9"/>
                <w:szCs w:val="9"/>
                <w:color w:val="auto"/>
              </w:rPr>
              <w:t>(7), (11)</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Healthcare and Pharmaceuticals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12.60%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301,830</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Signature CR Intermediate Holdco, Inc. </w:t>
            </w:r>
            <w:r>
              <w:rPr>
                <w:rFonts w:ascii="Arial" w:cs="Arial" w:eastAsia="Arial" w:hAnsi="Arial"/>
                <w:sz w:val="9"/>
                <w:szCs w:val="9"/>
                <w:color w:val="auto"/>
              </w:rPr>
              <w:t>(7)</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Commercial Services &amp; Supplies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1,166,993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1,200,529</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UniTek Global Services, Inc. -</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343,861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343,861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408,335</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Super Senior Preferred Equity </w:t>
            </w:r>
            <w:r>
              <w:rPr>
                <w:rFonts w:ascii="Arial" w:cs="Arial" w:eastAsia="Arial" w:hAnsi="Arial"/>
                <w:sz w:val="9"/>
                <w:szCs w:val="9"/>
                <w:color w:val="auto"/>
              </w:rPr>
              <w:t>(7)</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UniTek Global Services, Inc. -</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448,851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448,851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657,036</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Senior Preferred Equity </w:t>
            </w:r>
            <w:r>
              <w:rPr>
                <w:rFonts w:ascii="Arial" w:cs="Arial" w:eastAsia="Arial" w:hAnsi="Arial"/>
                <w:sz w:val="9"/>
                <w:szCs w:val="9"/>
                <w:color w:val="auto"/>
              </w:rPr>
              <w:t>(7)</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861,919</w:t>
            </w:r>
          </w:p>
        </w:tc>
        <w:tc>
          <w:tcPr>
            <w:tcW w:w="100" w:type="dxa"/>
            <w:vAlign w:val="bottom"/>
            <w:shd w:val="clear" w:color="auto" w:fill="CFF0FC"/>
          </w:tcPr>
          <w:p>
            <w:pPr>
              <w:spacing w:after="0"/>
              <w:rPr>
                <w:sz w:val="12"/>
                <w:szCs w:val="12"/>
                <w:color w:val="auto"/>
              </w:rPr>
            </w:pPr>
          </w:p>
        </w:tc>
      </w:tr>
      <w:tr>
        <w:trPr>
          <w:trHeight w:val="142"/>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11,530,702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11,908,714</w:t>
            </w:r>
          </w:p>
        </w:tc>
        <w:tc>
          <w:tcPr>
            <w:tcW w:w="100" w:type="dxa"/>
            <w:vAlign w:val="bottom"/>
          </w:tcPr>
          <w:p>
            <w:pPr>
              <w:spacing w:after="0"/>
              <w:rPr>
                <w:sz w:val="12"/>
                <w:szCs w:val="12"/>
                <w:color w:val="auto"/>
              </w:rPr>
            </w:pPr>
          </w:p>
        </w:tc>
      </w:tr>
      <w:tr>
        <w:trPr>
          <w:trHeight w:val="142"/>
        </w:trPr>
        <w:tc>
          <w:tcPr>
            <w:tcW w:w="3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 xml:space="preserve">Common Equity/Warrants—5.4% </w:t>
            </w:r>
            <w:r>
              <w:rPr>
                <w:rFonts w:ascii="Arial" w:cs="Arial" w:eastAsia="Arial" w:hAnsi="Arial"/>
                <w:sz w:val="9"/>
                <w:szCs w:val="9"/>
                <w:b w:val="1"/>
                <w:bCs w:val="1"/>
                <w:color w:val="auto"/>
              </w:rPr>
              <w:t>(6)</w:t>
            </w: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Affinion Group Holdings, Inc. (Warrants)</w:t>
            </w:r>
            <w:r>
              <w:rPr>
                <w:rFonts w:ascii="Arial" w:cs="Arial" w:eastAsia="Arial" w:hAnsi="Arial"/>
                <w:sz w:val="9"/>
                <w:szCs w:val="9"/>
                <w:color w:val="auto"/>
              </w:rPr>
              <w:t>(7)</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8,893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244,998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117,665</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(11)</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2"/>
              </w:rPr>
              <w:t>Software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714,652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714,652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714,652</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(8), (11)</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285,348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(7), (11)</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2,190,771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8,236,991</w:t>
            </w:r>
          </w:p>
        </w:tc>
        <w:tc>
          <w:tcPr>
            <w:tcW w:w="100" w:type="dxa"/>
            <w:vAlign w:val="bottom"/>
            <w:shd w:val="clear" w:color="auto" w:fill="CFF0FC"/>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(7), (8), (11)</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CI (Allied) Investment Holdings, LLC</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120,962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1,243,217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1,185,171</w:t>
            </w:r>
          </w:p>
        </w:tc>
        <w:tc>
          <w:tcPr>
            <w:tcW w:w="100" w:type="dxa"/>
            <w:vAlign w:val="bottom"/>
            <w:shd w:val="clear" w:color="auto" w:fill="CFF0FC"/>
          </w:tcPr>
          <w:p>
            <w:pPr>
              <w:spacing w:after="0"/>
              <w:rPr>
                <w:sz w:val="12"/>
                <w:szCs w:val="12"/>
                <w:color w:val="auto"/>
              </w:rPr>
            </w:pPr>
          </w:p>
        </w:tc>
      </w:tr>
      <w:tr>
        <w:trPr>
          <w:trHeight w:val="149"/>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(PRA Events, Inc.) </w:t>
            </w:r>
            <w:r>
              <w:rPr>
                <w:rFonts w:ascii="Arial" w:cs="Arial" w:eastAsia="Arial" w:hAnsi="Arial"/>
                <w:sz w:val="9"/>
                <w:szCs w:val="9"/>
                <w:color w:val="auto"/>
              </w:rPr>
              <w:t>(7), (11)</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CI (PTN) Investment Holdings II, LLC</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Healthcare and Pharmaceuticals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13,333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 (11)</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CI (Summit) Investment Holdings, LLC</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54,907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581,995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722,322</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DBI Holding, LLC, Series B </w:t>
            </w:r>
            <w:r>
              <w:rPr>
                <w:rFonts w:ascii="Arial" w:cs="Arial" w:eastAsia="Arial" w:hAnsi="Arial"/>
                <w:sz w:val="9"/>
                <w:szCs w:val="9"/>
                <w:color w:val="auto"/>
              </w:rPr>
              <w:t>(9), (11)</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1,489,508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330,791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224,063</w:t>
            </w:r>
          </w:p>
        </w:tc>
        <w:tc>
          <w:tcPr>
            <w:tcW w:w="100" w:type="dxa"/>
            <w:vAlign w:val="bottom"/>
            <w:shd w:val="clear" w:color="auto" w:fill="CFF0FC"/>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DecoPac Holdings Inc. </w:t>
            </w:r>
            <w:r>
              <w:rPr>
                <w:rFonts w:ascii="Arial" w:cs="Arial" w:eastAsia="Arial" w:hAnsi="Arial"/>
                <w:sz w:val="9"/>
                <w:szCs w:val="9"/>
                <w:color w:val="auto"/>
              </w:rPr>
              <w:t>(7)</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1,632,744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3,003,509</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(7), (9)</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Banking, Finance, Insurance &amp; Real Estate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251,156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311,047</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Faraday Holdings, LLC </w:t>
            </w:r>
            <w:r>
              <w:rPr>
                <w:rFonts w:ascii="Arial" w:cs="Arial" w:eastAsia="Arial" w:hAnsi="Arial"/>
                <w:sz w:val="9"/>
                <w:szCs w:val="9"/>
                <w:color w:val="auto"/>
              </w:rPr>
              <w:t>(7)</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58,044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330,867</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Gauge InfosoftCoInvest, LLC</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863,679</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(The Infosoft Group, LLC) </w:t>
            </w:r>
            <w:r>
              <w:rPr>
                <w:rFonts w:ascii="Arial" w:cs="Arial" w:eastAsia="Arial" w:hAnsi="Arial"/>
                <w:sz w:val="9"/>
                <w:szCs w:val="9"/>
                <w:color w:val="auto"/>
              </w:rPr>
              <w:t>(7)</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Gauge TVC Coinvest, LLC</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391,144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391,144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440,070</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(TVC Enterprises, LLC) </w:t>
            </w:r>
            <w:r>
              <w:rPr>
                <w:rFonts w:ascii="Arial" w:cs="Arial" w:eastAsia="Arial" w:hAnsi="Arial"/>
                <w:sz w:val="9"/>
                <w:szCs w:val="9"/>
                <w:color w:val="auto"/>
              </w:rPr>
              <w:t>(7)</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(7), (11)</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1,549,209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1,549,209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1,886,596</w:t>
            </w:r>
          </w:p>
        </w:tc>
        <w:tc>
          <w:tcPr>
            <w:tcW w:w="100" w:type="dxa"/>
            <w:vAlign w:val="bottom"/>
            <w:shd w:val="clear" w:color="auto" w:fill="CFF0FC"/>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(7), (8), (11)</w:t>
            </w:r>
          </w:p>
        </w:tc>
        <w:tc>
          <w:tcPr>
            <w:tcW w:w="9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450,791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 Dawgs Capital III, LP</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Building Products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324,675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324,675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340,909</w:t>
            </w:r>
          </w:p>
        </w:tc>
        <w:tc>
          <w:tcPr>
            <w:tcW w:w="100" w:type="dxa"/>
            <w:vAlign w:val="bottom"/>
            <w:shd w:val="clear" w:color="auto" w:fill="CFF0FC"/>
          </w:tcPr>
          <w:p>
            <w:pPr>
              <w:spacing w:after="0"/>
              <w:rPr>
                <w:sz w:val="12"/>
                <w:szCs w:val="12"/>
                <w:color w:val="auto"/>
              </w:rPr>
            </w:pPr>
          </w:p>
        </w:tc>
      </w:tr>
      <w:tr>
        <w:trPr>
          <w:trHeight w:val="148"/>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 (11)</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IIN Group Holdings, LLC</w:t>
            </w:r>
          </w:p>
        </w:tc>
        <w:tc>
          <w:tcPr>
            <w:tcW w:w="9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Consumer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1,000,000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1,555,133</w:t>
            </w:r>
          </w:p>
        </w:tc>
        <w:tc>
          <w:tcPr>
            <w:tcW w:w="100" w:type="dxa"/>
            <w:vAlign w:val="bottom"/>
            <w:shd w:val="clear" w:color="auto" w:fill="CFF0FC"/>
          </w:tcPr>
          <w:p>
            <w:pPr>
              <w:spacing w:after="0"/>
              <w:rPr>
                <w:sz w:val="12"/>
                <w:szCs w:val="12"/>
                <w:color w:val="auto"/>
              </w:rPr>
            </w:pPr>
          </w:p>
        </w:tc>
      </w:tr>
      <w:tr>
        <w:trPr>
          <w:trHeight w:val="155"/>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(7), (11)</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Maturity</w:t>
            </w:r>
          </w:p>
        </w:tc>
        <w:tc>
          <w:tcPr>
            <w:tcW w:w="240" w:type="dxa"/>
            <w:vAlign w:val="bottom"/>
            <w:tcBorders>
              <w:bottom w:val="single" w:sz="8" w:color="CFF0FC"/>
            </w:tcBorders>
          </w:tcPr>
          <w:p>
            <w:pPr>
              <w:spacing w:after="0"/>
              <w:rPr>
                <w:sz w:val="12"/>
                <w:szCs w:val="1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(7), (11)</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382,230</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429,518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(7), (8), (11)</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2,417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JWC/UMA Holdings, L.P. </w:t>
            </w:r>
            <w:r>
              <w:rPr>
                <w:rFonts w:ascii="Arial" w:cs="Arial" w:eastAsia="Arial" w:hAnsi="Arial"/>
                <w:sz w:val="9"/>
                <w:szCs w:val="9"/>
                <w:color w:val="auto"/>
              </w:rPr>
              <w:t>(7)</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1,142,160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JWC-WE Holdings, L.P.</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1,381,741</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2,855,866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Kentucky Racing Holdco, LLC (Warrants) </w:t>
            </w:r>
            <w:r>
              <w:rPr>
                <w:rFonts w:ascii="Arial" w:cs="Arial" w:eastAsia="Arial" w:hAnsi="Arial"/>
                <w:sz w:val="9"/>
                <w:szCs w:val="9"/>
                <w:color w:val="auto"/>
              </w:rPr>
              <w:t>(11)</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Hotels, Restaurants and Leisure</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87,345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MeritDirect Holdings, LP </w:t>
            </w:r>
            <w:r>
              <w:rPr>
                <w:rFonts w:ascii="Arial" w:cs="Arial" w:eastAsia="Arial" w:hAnsi="Arial"/>
                <w:sz w:val="9"/>
                <w:szCs w:val="9"/>
                <w:color w:val="auto"/>
              </w:rPr>
              <w:t>(7)</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91"/>
              </w:rPr>
              <w:t>Media</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NXOF Holdings, Inc. (Tyto Athene, LLC) </w:t>
            </w:r>
            <w:r>
              <w:rPr>
                <w:rFonts w:ascii="Arial" w:cs="Arial" w:eastAsia="Arial" w:hAnsi="Arial"/>
                <w:sz w:val="9"/>
                <w:szCs w:val="9"/>
                <w:color w:val="auto"/>
              </w:rPr>
              <w:t>(7)</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PT Network Intermediate Holdings, LLC </w:t>
            </w:r>
            <w:r>
              <w:rPr>
                <w:rFonts w:ascii="Arial" w:cs="Arial" w:eastAsia="Arial" w:hAnsi="Arial"/>
                <w:sz w:val="9"/>
                <w:szCs w:val="9"/>
                <w:color w:val="auto"/>
              </w:rPr>
              <w:t>(7), (11)</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2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Signature CR Intermediate Holdco, Inc. </w:t>
            </w:r>
            <w:r>
              <w:rPr>
                <w:rFonts w:ascii="Arial" w:cs="Arial" w:eastAsia="Arial" w:hAnsi="Arial"/>
                <w:sz w:val="9"/>
                <w:szCs w:val="9"/>
                <w:color w:val="auto"/>
              </w:rPr>
              <w:t>(7)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Commercial Services &amp; Supplies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61,421</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SSC Dominion Holdings, LLC</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140"/>
              <w:spacing w:after="0"/>
              <w:rPr>
                <w:sz w:val="20"/>
                <w:szCs w:val="20"/>
                <w:color w:val="auto"/>
              </w:rPr>
            </w:pPr>
            <w:r>
              <w:rPr>
                <w:rFonts w:ascii="Arial" w:cs="Arial" w:eastAsia="Arial" w:hAnsi="Arial"/>
                <w:sz w:val="12"/>
                <w:szCs w:val="12"/>
                <w:color w:val="auto"/>
              </w:rPr>
              <w:t xml:space="preserve">Class A (US Dominion, Inc.) </w:t>
            </w:r>
            <w:r>
              <w:rPr>
                <w:rFonts w:ascii="Arial" w:cs="Arial" w:eastAsia="Arial" w:hAnsi="Arial"/>
                <w:sz w:val="9"/>
                <w:szCs w:val="9"/>
                <w:color w:val="auto"/>
              </w:rPr>
              <w:t>(7)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SSC Dominion Holdings, LLC</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140"/>
              <w:spacing w:after="0"/>
              <w:rPr>
                <w:sz w:val="20"/>
                <w:szCs w:val="20"/>
                <w:color w:val="auto"/>
              </w:rPr>
            </w:pPr>
            <w:r>
              <w:rPr>
                <w:rFonts w:ascii="Arial" w:cs="Arial" w:eastAsia="Arial" w:hAnsi="Arial"/>
                <w:sz w:val="12"/>
                <w:szCs w:val="12"/>
                <w:color w:val="auto"/>
              </w:rPr>
              <w:t xml:space="preserve">Class B (US Dominion, Inc.) </w:t>
            </w:r>
            <w:r>
              <w:rPr>
                <w:rFonts w:ascii="Arial" w:cs="Arial" w:eastAsia="Arial" w:hAnsi="Arial"/>
                <w:sz w:val="9"/>
                <w:szCs w:val="9"/>
                <w:color w:val="auto"/>
              </w:rPr>
              <w:t>(7)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(7), (11)</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748,706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754,821</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1,524,384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(7), (8), (11)</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245,179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UniTek Global Services, Inc. (Warrants) </w:t>
            </w:r>
            <w:r>
              <w:rPr>
                <w:rFonts w:ascii="Arial" w:cs="Arial" w:eastAsia="Arial" w:hAnsi="Arial"/>
                <w:sz w:val="9"/>
                <w:szCs w:val="9"/>
                <w:color w:val="auto"/>
              </w:rPr>
              <w:t>(7)</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(7), (11)</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20" w:type="dxa"/>
            <w:vAlign w:val="bottom"/>
            <w:gridSpan w:val="2"/>
            <w:shd w:val="clear" w:color="auto" w:fill="CFF0FC"/>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142,857</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437,143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Common Equity/Warrants</w:t>
            </w:r>
          </w:p>
        </w:tc>
        <w:tc>
          <w:tcPr>
            <w:tcW w:w="6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5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15,646,466</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27,355,420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4"/>
            <w:shd w:val="clear" w:color="auto" w:fill="CFF0FC"/>
          </w:tcPr>
          <w:p>
            <w:pPr>
              <w:spacing w:after="0"/>
              <w:rPr>
                <w:sz w:val="20"/>
                <w:szCs w:val="20"/>
                <w:color w:val="auto"/>
              </w:rPr>
            </w:pPr>
            <w:r>
              <w:rPr>
                <w:rFonts w:ascii="Arial" w:cs="Arial" w:eastAsia="Arial" w:hAnsi="Arial"/>
                <w:sz w:val="12"/>
                <w:szCs w:val="12"/>
                <w:b w:val="1"/>
                <w:bCs w:val="1"/>
                <w:color w:val="auto"/>
                <w:w w:val="93"/>
              </w:rPr>
              <w:t>Total Investments in Non-Controlled, Non-Affiliated Portfolio Companies</w:t>
            </w: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895,394,733</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884,350,757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4"/>
          </w:tcPr>
          <w:p>
            <w:pPr>
              <w:spacing w:after="0"/>
              <w:rPr>
                <w:sz w:val="20"/>
                <w:szCs w:val="20"/>
                <w:color w:val="auto"/>
              </w:rPr>
            </w:pPr>
            <w:r>
              <w:rPr>
                <w:rFonts w:ascii="Arial" w:cs="Arial" w:eastAsia="Arial" w:hAnsi="Arial"/>
                <w:sz w:val="12"/>
                <w:szCs w:val="12"/>
                <w:b w:val="1"/>
                <w:bCs w:val="1"/>
                <w:color w:val="auto"/>
                <w:w w:val="90"/>
              </w:rPr>
              <w:t xml:space="preserve">Investments in Non-Controlled, Affiliated Portfolio Companies—3.2% </w:t>
            </w:r>
            <w:r>
              <w:rPr>
                <w:rFonts w:ascii="Arial" w:cs="Arial" w:eastAsia="Arial" w:hAnsi="Arial"/>
                <w:sz w:val="9"/>
                <w:szCs w:val="9"/>
                <w:b w:val="1"/>
                <w:bCs w:val="1"/>
                <w:color w:val="auto"/>
                <w:w w:val="90"/>
              </w:rPr>
              <w:t>(3), (4)</w:t>
            </w: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First Lien Secured Debt—0.5%</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Country Fresh Holdings,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05/01/23</w:t>
            </w:r>
          </w:p>
        </w:tc>
        <w:tc>
          <w:tcPr>
            <w:tcW w:w="240" w:type="dxa"/>
            <w:vAlign w:val="bottom"/>
          </w:tcPr>
          <w:p>
            <w:pPr>
              <w:spacing w:after="0"/>
              <w:rPr>
                <w:sz w:val="12"/>
                <w:szCs w:val="12"/>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7.33%</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P+400</w:t>
            </w:r>
          </w:p>
        </w:tc>
        <w:tc>
          <w:tcPr>
            <w:tcW w:w="720" w:type="dxa"/>
            <w:vAlign w:val="bottom"/>
          </w:tcPr>
          <w:p>
            <w:pPr>
              <w:jc w:val="right"/>
              <w:spacing w:after="0"/>
              <w:rPr>
                <w:sz w:val="20"/>
                <w:szCs w:val="20"/>
                <w:color w:val="auto"/>
              </w:rPr>
            </w:pPr>
            <w:r>
              <w:rPr>
                <w:rFonts w:ascii="Arial" w:cs="Arial" w:eastAsia="Arial" w:hAnsi="Arial"/>
                <w:sz w:val="12"/>
                <w:szCs w:val="12"/>
                <w:color w:val="auto"/>
              </w:rPr>
              <w:t>1,544,161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1,503,340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1,544,161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Country Fresh Holdings, LLC (Revolver)</w:t>
            </w:r>
          </w:p>
        </w:tc>
        <w:tc>
          <w:tcPr>
            <w:tcW w:w="6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05/01/23</w:t>
            </w:r>
          </w:p>
        </w:tc>
        <w:tc>
          <w:tcPr>
            <w:tcW w:w="240" w:type="dxa"/>
            <w:vAlign w:val="bottom"/>
            <w:shd w:val="clear" w:color="auto" w:fill="CFF0FC"/>
          </w:tcPr>
          <w:p>
            <w:pPr>
              <w:spacing w:after="0"/>
              <w:rPr>
                <w:sz w:val="12"/>
                <w:szCs w:val="12"/>
                <w:color w:val="auto"/>
              </w:rPr>
            </w:pPr>
          </w:p>
        </w:tc>
        <w:tc>
          <w:tcPr>
            <w:tcW w:w="26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7.33%</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L+500</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769,038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769,038</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769,038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 xml:space="preserve">Country Fresh Holdings, LLC - (Revolver) </w:t>
            </w:r>
            <w:r>
              <w:rPr>
                <w:rFonts w:ascii="Arial" w:cs="Arial" w:eastAsia="Arial" w:hAnsi="Arial"/>
                <w:sz w:val="9"/>
                <w:szCs w:val="9"/>
                <w:color w:val="auto"/>
              </w:rPr>
              <w:t>(8)</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05/01/23</w:t>
            </w:r>
          </w:p>
        </w:tc>
        <w:tc>
          <w:tcPr>
            <w:tcW w:w="240" w:type="dxa"/>
            <w:vAlign w:val="bottom"/>
          </w:tcPr>
          <w:p>
            <w:pPr>
              <w:spacing w:after="0"/>
              <w:rPr>
                <w:sz w:val="12"/>
                <w:szCs w:val="12"/>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1,977,526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Total First Lien Secured Debt</w:t>
            </w:r>
          </w:p>
        </w:tc>
        <w:tc>
          <w:tcPr>
            <w:tcW w:w="6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5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2,272,378</w:t>
            </w:r>
          </w:p>
        </w:tc>
        <w:tc>
          <w:tcPr>
            <w:tcW w:w="300" w:type="dxa"/>
            <w:vAlign w:val="bottom"/>
            <w:tcBorders>
              <w:top w:val="single" w:sz="8" w:color="CFF0FC"/>
              <w:right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2,313,199</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Debt—1.0%</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Country Fresh Holdings, LLC</w:t>
            </w:r>
          </w:p>
        </w:tc>
        <w:tc>
          <w:tcPr>
            <w:tcW w:w="6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04/29/2024</w:t>
            </w:r>
          </w:p>
        </w:tc>
        <w:tc>
          <w:tcPr>
            <w:tcW w:w="240" w:type="dxa"/>
            <w:vAlign w:val="bottom"/>
            <w:shd w:val="clear" w:color="auto" w:fill="CFF0FC"/>
          </w:tcPr>
          <w:p>
            <w:pPr>
              <w:spacing w:after="0"/>
              <w:rPr>
                <w:sz w:val="12"/>
                <w:szCs w:val="12"/>
                <w:color w:val="auto"/>
              </w:rPr>
            </w:pPr>
          </w:p>
        </w:tc>
        <w:tc>
          <w:tcPr>
            <w:tcW w:w="26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10.83%</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L+850</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5,167,984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5,167,984</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5,167,984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color w:val="auto"/>
              </w:rPr>
              <w:t>(PIK 10.83%)</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 xml:space="preserve">Common Equity/Warrants—1.7% </w:t>
            </w:r>
            <w:r>
              <w:rPr>
                <w:rFonts w:ascii="Arial" w:cs="Arial" w:eastAsia="Arial" w:hAnsi="Arial"/>
                <w:sz w:val="9"/>
                <w:szCs w:val="9"/>
                <w:b w:val="1"/>
                <w:bCs w:val="1"/>
                <w:color w:val="auto"/>
              </w:rPr>
              <w:t>(6)</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Country Fresh Holding Company Inc.</w:t>
            </w:r>
          </w:p>
        </w:tc>
        <w:tc>
          <w:tcPr>
            <w:tcW w:w="88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tcBorders>
              <w:bottom w:val="single" w:sz="8" w:color="CFF0FC"/>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8,034</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10,453,350</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8,627,022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4"/>
            <w:shd w:val="clear" w:color="auto" w:fill="CFF0FC"/>
          </w:tcPr>
          <w:p>
            <w:pPr>
              <w:spacing w:after="0"/>
              <w:rPr>
                <w:sz w:val="20"/>
                <w:szCs w:val="20"/>
                <w:color w:val="auto"/>
              </w:rPr>
            </w:pPr>
            <w:r>
              <w:rPr>
                <w:rFonts w:ascii="Arial" w:cs="Arial" w:eastAsia="Arial" w:hAnsi="Arial"/>
                <w:sz w:val="12"/>
                <w:szCs w:val="12"/>
                <w:b w:val="1"/>
                <w:bCs w:val="1"/>
                <w:color w:val="auto"/>
                <w:w w:val="99"/>
              </w:rPr>
              <w:t>Total Investments in Non-Controlled, Affiliated Portfolio Companies</w:t>
            </w: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17,893,712</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16,108,205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4"/>
          </w:tcPr>
          <w:p>
            <w:pPr>
              <w:spacing w:after="0"/>
              <w:rPr>
                <w:sz w:val="20"/>
                <w:szCs w:val="20"/>
                <w:color w:val="auto"/>
              </w:rPr>
            </w:pPr>
            <w:r>
              <w:rPr>
                <w:rFonts w:ascii="Arial" w:cs="Arial" w:eastAsia="Arial" w:hAnsi="Arial"/>
                <w:sz w:val="12"/>
                <w:szCs w:val="12"/>
                <w:b w:val="1"/>
                <w:bCs w:val="1"/>
                <w:color w:val="auto"/>
                <w:w w:val="95"/>
              </w:rPr>
              <w:t xml:space="preserve">Investments in Controlled, Affiliated Portfolio Companies—33.9% </w:t>
            </w:r>
            <w:r>
              <w:rPr>
                <w:rFonts w:ascii="Arial" w:cs="Arial" w:eastAsia="Arial" w:hAnsi="Arial"/>
                <w:sz w:val="9"/>
                <w:szCs w:val="9"/>
                <w:b w:val="1"/>
                <w:bCs w:val="1"/>
                <w:color w:val="auto"/>
                <w:w w:val="95"/>
              </w:rPr>
              <w:t>(3), (4)</w:t>
            </w: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First Lien Secured Debt—23.9%</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40" w:type="dxa"/>
            <w:vAlign w:val="bottom"/>
            <w:tcBorders>
              <w:bottom w:val="single" w:sz="8" w:color="CFF0FC"/>
            </w:tcBorders>
          </w:tcPr>
          <w:p>
            <w:pPr>
              <w:jc w:val="center"/>
              <w:spacing w:after="0"/>
              <w:rPr>
                <w:sz w:val="20"/>
                <w:szCs w:val="20"/>
                <w:color w:val="auto"/>
              </w:rPr>
            </w:pPr>
            <w:r>
              <w:rPr>
                <w:rFonts w:ascii="Arial" w:cs="Arial" w:eastAsia="Arial" w:hAnsi="Arial"/>
                <w:sz w:val="12"/>
                <w:szCs w:val="12"/>
                <w:color w:val="auto"/>
                <w:w w:val="89"/>
              </w:rPr>
              <w:t>05/06/2024</w:t>
            </w:r>
          </w:p>
        </w:tc>
        <w:tc>
          <w:tcPr>
            <w:tcW w:w="240" w:type="dxa"/>
            <w:vAlign w:val="bottom"/>
            <w:tcBorders>
              <w:bottom w:val="single" w:sz="8" w:color="CFF0FC"/>
            </w:tcBorders>
          </w:tcPr>
          <w:p>
            <w:pPr>
              <w:spacing w:after="0"/>
              <w:rPr>
                <w:sz w:val="12"/>
                <w:szCs w:val="12"/>
                <w:color w:val="auto"/>
              </w:rPr>
            </w:pPr>
          </w:p>
        </w:tc>
        <w:tc>
          <w:tcPr>
            <w:tcW w:w="262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2"/>
                <w:szCs w:val="12"/>
                <w:color w:val="auto"/>
              </w:rPr>
              <w:t>10.33%</w:t>
            </w:r>
          </w:p>
        </w:tc>
        <w:tc>
          <w:tcPr>
            <w:tcW w:w="9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120,968,750</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120,968,750</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120,968,750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Equity Interests—10.0%</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88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w:t>
            </w:r>
          </w:p>
        </w:tc>
        <w:tc>
          <w:tcPr>
            <w:tcW w:w="262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FF0FC"/>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51,844</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51,843,750</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50,726,054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4"/>
            <w:shd w:val="clear" w:color="auto" w:fill="CFF0FC"/>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172,812,500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171,694,804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Investments—211.6%</w:t>
            </w:r>
          </w:p>
        </w:tc>
        <w:tc>
          <w:tcPr>
            <w:tcW w:w="6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5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1,086,100,945</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1,072,153,766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Equivalents—4.6%</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2"/>
                <w:szCs w:val="12"/>
                <w:color w:val="auto"/>
              </w:rPr>
              <w:t>BlackRock Federal FD Institutional 30</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23,161,669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23,161,669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BNY Mellon Cash</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2,198,516</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2,202,365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6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5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25,360,185</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25,364,034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Investments and Cash Equivalents—216.2%</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8"/>
              </w:rPr>
              <w:t>1,111,461,130</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1"/>
              </w:rPr>
              <w:t>1,097,517,800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Assets—(116.2)%</w:t>
            </w: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(590,784,069)</w:t>
            </w:r>
          </w:p>
        </w:tc>
        <w:tc>
          <w:tcPr>
            <w:tcW w:w="0" w:type="dxa"/>
            <w:vAlign w:val="bottom"/>
          </w:tcPr>
          <w:p>
            <w:pPr>
              <w:spacing w:after="0"/>
              <w:rPr>
                <w:sz w:val="1"/>
                <w:szCs w:val="1"/>
                <w:color w:val="auto"/>
              </w:rPr>
            </w:pPr>
          </w:p>
        </w:tc>
      </w:tr>
      <w:tr>
        <w:trPr>
          <w:trHeight w:val="20"/>
        </w:trPr>
        <w:tc>
          <w:tcPr>
            <w:tcW w:w="29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Assets—100.0%</w:t>
            </w: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gridSpan w:val="2"/>
            <w:vMerge w:val="continue"/>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506,733,731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868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0" w:lineRule="exact"/>
        <w:rPr>
          <w:sz w:val="20"/>
          <w:szCs w:val="20"/>
          <w:color w:val="auto"/>
        </w:rPr>
      </w:pPr>
    </w:p>
    <w:p>
      <w:pPr>
        <w:jc w:val="both"/>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2019, qualifying assets represent 76% of our total assets and non-qualifying assets represent 24%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40" w:type="dxa"/>
            <w:vAlign w:val="bottom"/>
          </w:tcPr>
          <w:p>
            <w:pPr>
              <w:jc w:val="center"/>
              <w:ind w:right="102"/>
              <w:spacing w:after="0"/>
              <w:rPr>
                <w:sz w:val="20"/>
                <w:szCs w:val="20"/>
                <w:color w:val="auto"/>
              </w:rPr>
            </w:pPr>
            <w:r>
              <w:rPr>
                <w:rFonts w:ascii="Arial" w:cs="Arial" w:eastAsia="Arial" w:hAnsi="Arial"/>
                <w:sz w:val="12"/>
                <w:szCs w:val="12"/>
                <w:b w:val="1"/>
                <w:bCs w:val="1"/>
                <w:color w:val="auto"/>
                <w:w w:val="94"/>
              </w:rPr>
              <w:t>Maturity</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w w:val="91"/>
              </w:rPr>
              <w:t xml:space="preserve">Investments in Non-Controlled, Non-Affiliated Portfolio Companies—159.5% </w:t>
            </w:r>
            <w:r>
              <w:rPr>
                <w:rFonts w:ascii="Arial" w:cs="Arial" w:eastAsia="Arial" w:hAnsi="Arial"/>
                <w:sz w:val="9"/>
                <w:szCs w:val="9"/>
                <w:b w:val="1"/>
                <w:bCs w:val="1"/>
                <w:color w:val="auto"/>
                <w:w w:val="91"/>
              </w:rPr>
              <w:t>(3), (4)</w:t>
            </w:r>
          </w:p>
        </w:tc>
        <w:tc>
          <w:tcPr>
            <w:tcW w:w="2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Debt—151.6%</w:t>
            </w:r>
          </w:p>
        </w:tc>
        <w:tc>
          <w:tcPr>
            <w:tcW w:w="1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Alera Group Intermediate Holdings,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08/01/2025</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6.74%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9,950,063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10,099,688</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Allied America, Inc.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08/08/2022</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9.39%</w:t>
            </w:r>
          </w:p>
        </w:tc>
        <w:tc>
          <w:tcPr>
            <w:tcW w:w="660" w:type="dxa"/>
            <w:vAlign w:val="bottom"/>
          </w:tcPr>
          <w:p>
            <w:pPr>
              <w:jc w:val="right"/>
              <w:spacing w:after="0"/>
              <w:rPr>
                <w:sz w:val="20"/>
                <w:szCs w:val="20"/>
                <w:color w:val="auto"/>
              </w:rPr>
            </w:pPr>
            <w:r>
              <w:rPr>
                <w:rFonts w:ascii="Arial" w:cs="Arial" w:eastAsia="Arial" w:hAnsi="Arial"/>
                <w:sz w:val="12"/>
                <w:szCs w:val="12"/>
                <w:color w:val="auto"/>
              </w:rPr>
              <w:t>3M L+700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1,685,452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1,688,823</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American Auto Auction Group,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11/30/2021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7.34%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5,857,878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5,800,066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5,770,010</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American Scaffold</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03/31/2022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8.89%</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4,455,413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4,455,000</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American Teleconferencing Services, Ltd.</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12/08/2021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8.84%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10,107,368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9,986,139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9,715,708</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API Technologies Corp.</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04/22/2024</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4,987,500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4,927,669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4,937,625</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04/22/2024</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(9,843)</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Beauty Industry Group Opco,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04/06/2023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7.00%</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33,047,995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32,717,900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32,882,753</w:t>
            </w:r>
          </w:p>
        </w:tc>
        <w:tc>
          <w:tcPr>
            <w:tcW w:w="120" w:type="dxa"/>
            <w:vAlign w:val="bottom"/>
          </w:tcPr>
          <w:p>
            <w:pPr>
              <w:spacing w:after="0"/>
              <w:rPr>
                <w:sz w:val="12"/>
                <w:szCs w:val="12"/>
                <w:color w:val="auto"/>
              </w:rPr>
            </w:pP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BEI Precision Systems &amp; Space Company,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04/28/2023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7.89%</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11,850,000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11,752,654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11,731,500</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05/16/2022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9.57%</w:t>
            </w:r>
          </w:p>
        </w:tc>
        <w:tc>
          <w:tcPr>
            <w:tcW w:w="660" w:type="dxa"/>
            <w:vAlign w:val="bottom"/>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15,157,019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05/16/2022</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Cadence Aerospace,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11/14/2023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8.82%</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10,917,500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10,824,456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10,937,086</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Camin Cargo Control,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06/30/2021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6.99%</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2,418,750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2,406,335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2,322,000</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Cardenas Markets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11/29/2023</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3,874,317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3,881,627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3,874,317</w:t>
            </w:r>
          </w:p>
        </w:tc>
        <w:tc>
          <w:tcPr>
            <w:tcW w:w="120" w:type="dxa"/>
            <w:vAlign w:val="bottom"/>
          </w:tcPr>
          <w:p>
            <w:pPr>
              <w:spacing w:after="0"/>
              <w:rPr>
                <w:sz w:val="12"/>
                <w:szCs w:val="12"/>
                <w:color w:val="auto"/>
              </w:rPr>
            </w:pP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CD&amp;R TZ Purchaser, Inc. </w:t>
            </w:r>
            <w:r>
              <w:rPr>
                <w:rFonts w:ascii="Arial" w:cs="Arial" w:eastAsia="Arial" w:hAnsi="Arial"/>
                <w:sz w:val="9"/>
                <w:szCs w:val="9"/>
                <w:color w:val="auto"/>
              </w:rPr>
              <w:t>(7)</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07/21/2023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8.39%</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16,161,170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15,861,453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15,837,947</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04/10/2025</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6.89%</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6,145,313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6,115,613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6,176,039</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04/10/2025</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1,339,286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6,696</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08/31/2023</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422,599</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Challenger Performance Optimization,</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08/31/2023</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284,579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(2,846)</w:t>
            </w:r>
          </w:p>
        </w:tc>
      </w:tr>
      <w:tr>
        <w:trPr>
          <w:trHeight w:val="149"/>
        </w:trPr>
        <w:tc>
          <w:tcPr>
            <w:tcW w:w="3020" w:type="dxa"/>
            <w:vAlign w:val="bottom"/>
          </w:tcPr>
          <w:p>
            <w:pPr>
              <w:ind w:left="140"/>
              <w:spacing w:after="0"/>
              <w:rPr>
                <w:sz w:val="20"/>
                <w:szCs w:val="20"/>
                <w:color w:val="auto"/>
              </w:rPr>
            </w:pPr>
            <w:r>
              <w:rPr>
                <w:rFonts w:ascii="Arial" w:cs="Arial" w:eastAsia="Arial" w:hAnsi="Arial"/>
                <w:sz w:val="12"/>
                <w:szCs w:val="12"/>
                <w:color w:val="auto"/>
              </w:rPr>
              <w:t xml:space="preserve">Inc. (Revolver) </w:t>
            </w:r>
            <w:r>
              <w:rPr>
                <w:rFonts w:ascii="Arial" w:cs="Arial" w:eastAsia="Arial" w:hAnsi="Arial"/>
                <w:sz w:val="9"/>
                <w:szCs w:val="9"/>
                <w:color w:val="auto"/>
              </w:rPr>
              <w:t>(7), (8)</w:t>
            </w:r>
          </w:p>
        </w:tc>
        <w:tc>
          <w:tcPr>
            <w:tcW w:w="1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Chicken Soup for the Soul Publishing,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01/08/2019</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8.35%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4,539,286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4,535,666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3,994,572</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03/31/2023</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7.39%</w:t>
            </w:r>
          </w:p>
        </w:tc>
        <w:tc>
          <w:tcPr>
            <w:tcW w:w="66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17,727,205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17,691,760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17,195,389</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Credit Infonet,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03/13/2023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8.52%</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6M L+600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26,713,426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26,527,311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26,713,426</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03/13/2023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DBI Holding,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08/02/2021</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7.51%</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17,395,068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17,297,351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17,395,068</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Deva Holdings, Inc.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10/31/2023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660" w:type="dxa"/>
            <w:vAlign w:val="bottom"/>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7,344,001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7,214,912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7,344,001</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10/31/2022</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12/29/2023</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7.25%</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16,376,250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16,227,058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16,192,017</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Douglas Products and Packaging Company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03/29/2022</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8.14%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14,486,029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14,260,279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14,341,169</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03/29/2022</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2,941,176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(29,412)</w:t>
            </w:r>
          </w:p>
        </w:tc>
      </w:tr>
      <w:tr>
        <w:trPr>
          <w:trHeight w:val="149"/>
        </w:trPr>
        <w:tc>
          <w:tcPr>
            <w:tcW w:w="30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4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09/30/2022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6.92%</w:t>
            </w:r>
          </w:p>
        </w:tc>
        <w:tc>
          <w:tcPr>
            <w:tcW w:w="660" w:type="dxa"/>
            <w:vAlign w:val="bottom"/>
          </w:tcPr>
          <w:p>
            <w:pPr>
              <w:jc w:val="right"/>
              <w:spacing w:after="0"/>
              <w:rPr>
                <w:sz w:val="20"/>
                <w:szCs w:val="20"/>
                <w:color w:val="auto"/>
              </w:rPr>
            </w:pPr>
            <w:r>
              <w:rPr>
                <w:rFonts w:ascii="Arial" w:cs="Arial" w:eastAsia="Arial" w:hAnsi="Arial"/>
                <w:sz w:val="12"/>
                <w:szCs w:val="12"/>
                <w:color w:val="auto"/>
              </w:rPr>
              <w:t>2M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10,085,149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10,062,733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10,085,149</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09/30/2022</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03/07/2022</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60" w:type="dxa"/>
            <w:vAlign w:val="bottom"/>
          </w:tcPr>
          <w:p>
            <w:pPr>
              <w:jc w:val="right"/>
              <w:spacing w:after="0"/>
              <w:rPr>
                <w:sz w:val="20"/>
                <w:szCs w:val="20"/>
                <w:color w:val="auto"/>
              </w:rPr>
            </w:pPr>
            <w:r>
              <w:rPr>
                <w:rFonts w:ascii="Arial" w:cs="Arial" w:eastAsia="Arial" w:hAnsi="Arial"/>
                <w:sz w:val="12"/>
                <w:szCs w:val="12"/>
                <w:color w:val="auto"/>
              </w:rPr>
              <w:t>3M L+800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19,923,750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19,762,133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20,172,797</w:t>
            </w:r>
          </w:p>
        </w:tc>
        <w:tc>
          <w:tcPr>
            <w:tcW w:w="120" w:type="dxa"/>
            <w:vAlign w:val="bottom"/>
          </w:tcPr>
          <w:p>
            <w:pPr>
              <w:spacing w:after="0"/>
              <w:rPr>
                <w:sz w:val="12"/>
                <w:szCs w:val="12"/>
                <w:color w:val="auto"/>
              </w:rPr>
            </w:pP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Education Networks of America,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05/06/2021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L+700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20,742,489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20,646,931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20,742,489</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9.19%</w:t>
            </w:r>
          </w:p>
        </w:tc>
        <w:tc>
          <w:tcPr>
            <w:tcW w:w="660" w:type="dxa"/>
            <w:vAlign w:val="bottom"/>
          </w:tcPr>
          <w:p>
            <w:pPr>
              <w:jc w:val="right"/>
              <w:spacing w:after="0"/>
              <w:rPr>
                <w:sz w:val="20"/>
                <w:szCs w:val="20"/>
                <w:color w:val="auto"/>
              </w:rPr>
            </w:pPr>
            <w:r>
              <w:rPr>
                <w:rFonts w:ascii="Arial" w:cs="Arial" w:eastAsia="Arial" w:hAnsi="Arial"/>
                <w:sz w:val="12"/>
                <w:szCs w:val="12"/>
                <w:color w:val="auto"/>
              </w:rPr>
              <w:t>1M L+700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05/06/2021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869,565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06/15/2022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9,331,620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9,268,771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9,284,961</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ENC Holding Corporation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05/30/2025</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(1,571)</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11/14/2022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06/03/2024</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6.86%</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5,097,491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5,072,239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5,072,003</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06/03/2024</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6.87%</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1,187,750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1,181,811</w:t>
            </w:r>
          </w:p>
        </w:tc>
        <w:tc>
          <w:tcPr>
            <w:tcW w:w="120" w:type="dxa"/>
            <w:vAlign w:val="bottom"/>
          </w:tcPr>
          <w:p>
            <w:pPr>
              <w:spacing w:after="0"/>
              <w:rPr>
                <w:sz w:val="12"/>
                <w:szCs w:val="12"/>
                <w:color w:val="auto"/>
              </w:rPr>
            </w:pP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06/03/2024</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3,563,250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(17,817)</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06/09/2023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60" w:type="dxa"/>
            <w:vAlign w:val="bottom"/>
          </w:tcPr>
          <w:p>
            <w:pPr>
              <w:jc w:val="right"/>
              <w:spacing w:after="0"/>
              <w:rPr>
                <w:sz w:val="20"/>
                <w:szCs w:val="20"/>
                <w:color w:val="auto"/>
              </w:rPr>
            </w:pPr>
            <w:r>
              <w:rPr>
                <w:rFonts w:ascii="Arial" w:cs="Arial" w:eastAsia="Arial" w:hAnsi="Arial"/>
                <w:sz w:val="12"/>
                <w:szCs w:val="12"/>
                <w:color w:val="auto"/>
              </w:rPr>
              <w:t>3M L+800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10,770,250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10,842,611</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05/01/2019</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5,445,988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5,434,106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5,432,373</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06/27/2023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8.64%</w:t>
            </w:r>
          </w:p>
        </w:tc>
        <w:tc>
          <w:tcPr>
            <w:tcW w:w="660" w:type="dxa"/>
            <w:vAlign w:val="bottom"/>
          </w:tcPr>
          <w:p>
            <w:pPr>
              <w:jc w:val="right"/>
              <w:spacing w:after="0"/>
              <w:rPr>
                <w:sz w:val="20"/>
                <w:szCs w:val="20"/>
                <w:color w:val="auto"/>
              </w:rPr>
            </w:pPr>
            <w:r>
              <w:rPr>
                <w:rFonts w:ascii="Arial" w:cs="Arial" w:eastAsia="Arial" w:hAnsi="Arial"/>
                <w:sz w:val="12"/>
                <w:szCs w:val="12"/>
                <w:color w:val="auto"/>
              </w:rPr>
              <w:t>1M L+625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12,482,923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12,364,105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12,420,509</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06/27/2023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12,491,009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(62,455)</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04/13/2022</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3,339,631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3,303,281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3,322,933</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04/13/2022</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P+550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176,991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176,991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176,106</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04/13/2022</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353,982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(1,770)</w:t>
            </w: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Integrative Nutrition,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09/29/2023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7.15%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L+475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36,000,000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35,640,000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35,640,000</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09/29/2023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Intralinks,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11/14/2024</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14,451,316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14,384,410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14,478,484</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Inventus Power, Inc.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04/30/2020</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8.74%</w:t>
            </w:r>
          </w:p>
        </w:tc>
        <w:tc>
          <w:tcPr>
            <w:tcW w:w="660" w:type="dxa"/>
            <w:vAlign w:val="bottom"/>
          </w:tcPr>
          <w:p>
            <w:pPr>
              <w:jc w:val="right"/>
              <w:spacing w:after="0"/>
              <w:rPr>
                <w:sz w:val="20"/>
                <w:szCs w:val="20"/>
                <w:color w:val="auto"/>
              </w:rPr>
            </w:pPr>
            <w:r>
              <w:rPr>
                <w:rFonts w:ascii="Arial" w:cs="Arial" w:eastAsia="Arial" w:hAnsi="Arial"/>
                <w:sz w:val="12"/>
                <w:szCs w:val="12"/>
                <w:color w:val="auto"/>
              </w:rPr>
              <w:t>1M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4,230,023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4,216,353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3,933,921</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(7)</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02/19/2021</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11.24%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3,925,501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3,865,568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3,925,501</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KHC Holdings, Inc.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10/31/2022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8.39%</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12,109,261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11,972,865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12,109,261</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10/30/2020</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6.49%</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262,097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262,097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262,097</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10/30/2020</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947,581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Lago Resort &amp; Casino,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03/07/2022</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11.89%</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L+950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10,098,000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9,966,385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9,694,080</w:t>
            </w:r>
          </w:p>
        </w:tc>
        <w:tc>
          <w:tcPr>
            <w:tcW w:w="120" w:type="dxa"/>
            <w:vAlign w:val="bottom"/>
            <w:shd w:val="clear" w:color="auto" w:fill="CFF0FC"/>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(5), (9), (10)</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09/12/2022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7.73%</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7,688,759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7,181,254</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11/30/2021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10.33%</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L+800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4,596,389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4,528,529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2,987,653</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(PIK 6.00%)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Lombart Brothers, Inc.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04/13/2022</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9,251,830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9,147,743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9,205,570</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04/13/2022</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10.75%</w:t>
            </w:r>
          </w:p>
        </w:tc>
        <w:tc>
          <w:tcPr>
            <w:tcW w:w="660" w:type="dxa"/>
            <w:vAlign w:val="bottom"/>
          </w:tcPr>
          <w:p>
            <w:pPr>
              <w:jc w:val="right"/>
              <w:spacing w:after="0"/>
              <w:rPr>
                <w:sz w:val="20"/>
                <w:szCs w:val="20"/>
                <w:color w:val="auto"/>
              </w:rPr>
            </w:pPr>
            <w:r>
              <w:rPr>
                <w:rFonts w:ascii="Arial" w:cs="Arial" w:eastAsia="Arial" w:hAnsi="Arial"/>
                <w:sz w:val="12"/>
                <w:szCs w:val="12"/>
                <w:color w:val="auto"/>
              </w:rPr>
              <w:t>P+550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616,372</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04/13/2022</w:t>
            </w:r>
          </w:p>
        </w:tc>
        <w:tc>
          <w:tcPr>
            <w:tcW w:w="2560" w:type="dxa"/>
            <w:vAlign w:val="bottom"/>
            <w:gridSpan w:val="2"/>
            <w:shd w:val="clear" w:color="auto" w:fill="CFF0FC"/>
          </w:tcPr>
          <w:p>
            <w:pPr>
              <w:jc w:val="center"/>
              <w:ind w:right="3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(3,098)</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Long Island Vision Management,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09/11/2023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7.14%</w:t>
            </w:r>
          </w:p>
        </w:tc>
        <w:tc>
          <w:tcPr>
            <w:tcW w:w="660" w:type="dxa"/>
            <w:vAlign w:val="bottom"/>
          </w:tcPr>
          <w:p>
            <w:pPr>
              <w:jc w:val="right"/>
              <w:spacing w:after="0"/>
              <w:rPr>
                <w:sz w:val="20"/>
                <w:szCs w:val="20"/>
                <w:color w:val="auto"/>
              </w:rPr>
            </w:pPr>
            <w:r>
              <w:rPr>
                <w:rFonts w:ascii="Arial" w:cs="Arial" w:eastAsia="Arial" w:hAnsi="Arial"/>
                <w:sz w:val="12"/>
                <w:szCs w:val="12"/>
                <w:color w:val="auto"/>
              </w:rPr>
              <w:t>3M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6,052,632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5,992,433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5,976,091</w:t>
            </w:r>
          </w:p>
        </w:tc>
        <w:tc>
          <w:tcPr>
            <w:tcW w:w="120" w:type="dxa"/>
            <w:vAlign w:val="bottom"/>
          </w:tcPr>
          <w:p>
            <w:pPr>
              <w:spacing w:after="0"/>
              <w:rPr>
                <w:sz w:val="12"/>
                <w:szCs w:val="12"/>
                <w:color w:val="auto"/>
              </w:rPr>
            </w:pP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09/11/2023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3,947,368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(49,918)</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08/19/2022</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7.12%</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9,914,849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9,900,000</w:t>
            </w:r>
          </w:p>
        </w:tc>
        <w:tc>
          <w:tcPr>
            <w:tcW w:w="120" w:type="dxa"/>
            <w:vAlign w:val="bottom"/>
          </w:tcPr>
          <w:p>
            <w:pPr>
              <w:spacing w:after="0"/>
              <w:rPr>
                <w:sz w:val="12"/>
                <w:szCs w:val="12"/>
                <w:color w:val="auto"/>
              </w:rPr>
            </w:pP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08/19/2022</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(60,000)</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05/01/2023</w:t>
            </w:r>
          </w:p>
        </w:tc>
        <w:tc>
          <w:tcPr>
            <w:tcW w:w="2560" w:type="dxa"/>
            <w:vAlign w:val="bottom"/>
            <w:gridSpan w:val="2"/>
          </w:tcPr>
          <w:p>
            <w:pPr>
              <w:jc w:val="center"/>
              <w:ind w:right="3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8.12%</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14,046,875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13,932,255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13,537,676</w:t>
            </w:r>
          </w:p>
        </w:tc>
        <w:tc>
          <w:tcPr>
            <w:tcW w:w="120" w:type="dxa"/>
            <w:vAlign w:val="bottom"/>
          </w:tcPr>
          <w:p>
            <w:pPr>
              <w:spacing w:after="0"/>
              <w:rPr>
                <w:sz w:val="12"/>
                <w:szCs w:val="12"/>
                <w:color w:val="auto"/>
              </w:rPr>
            </w:pPr>
          </w:p>
        </w:tc>
      </w:tr>
      <w:tr>
        <w:trPr>
          <w:trHeight w:val="148"/>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12/08/2023</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8.17%</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6,983,750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6,909,661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6,930,659</w:t>
            </w:r>
          </w:p>
        </w:tc>
        <w:tc>
          <w:tcPr>
            <w:tcW w:w="120" w:type="dxa"/>
            <w:vAlign w:val="bottom"/>
            <w:shd w:val="clear" w:color="auto" w:fill="CFF0FC"/>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12/08/2023</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(7,412)</w:t>
            </w:r>
          </w:p>
        </w:tc>
      </w:tr>
      <w:tr>
        <w:trPr>
          <w:trHeight w:val="149"/>
        </w:trPr>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Marketplace Events LLC</w:t>
            </w:r>
          </w:p>
        </w:tc>
        <w:tc>
          <w:tcPr>
            <w:tcW w:w="1240" w:type="dxa"/>
            <w:vAlign w:val="bottom"/>
            <w:shd w:val="clear" w:color="auto" w:fill="CFF0FC"/>
          </w:tcPr>
          <w:p>
            <w:pPr>
              <w:jc w:val="center"/>
              <w:ind w:right="102"/>
              <w:spacing w:after="0"/>
              <w:rPr>
                <w:sz w:val="20"/>
                <w:szCs w:val="20"/>
                <w:color w:val="auto"/>
              </w:rPr>
            </w:pPr>
            <w:r>
              <w:rPr>
                <w:rFonts w:ascii="Arial" w:cs="Arial" w:eastAsia="Arial" w:hAnsi="Arial"/>
                <w:sz w:val="12"/>
                <w:szCs w:val="12"/>
                <w:color w:val="auto"/>
                <w:w w:val="86"/>
              </w:rPr>
              <w:t>01/27/2021</w:t>
            </w:r>
          </w:p>
        </w:tc>
        <w:tc>
          <w:tcPr>
            <w:tcW w:w="2560" w:type="dxa"/>
            <w:vAlign w:val="bottom"/>
            <w:gridSpan w:val="2"/>
            <w:shd w:val="clear" w:color="auto" w:fill="CFF0FC"/>
          </w:tcPr>
          <w:p>
            <w:pPr>
              <w:jc w:val="center"/>
              <w:ind w:right="34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7.64%</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3,343,309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3,313,221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3,343,309</w:t>
            </w:r>
          </w:p>
        </w:tc>
        <w:tc>
          <w:tcPr>
            <w:tcW w:w="120" w:type="dxa"/>
            <w:vAlign w:val="bottom"/>
            <w:shd w:val="clear" w:color="auto" w:fill="CFF0FC"/>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1240" w:type="dxa"/>
            <w:vAlign w:val="bottom"/>
          </w:tcPr>
          <w:p>
            <w:pPr>
              <w:jc w:val="center"/>
              <w:ind w:right="102"/>
              <w:spacing w:after="0"/>
              <w:rPr>
                <w:sz w:val="20"/>
                <w:szCs w:val="20"/>
                <w:color w:val="auto"/>
              </w:rPr>
            </w:pPr>
            <w:r>
              <w:rPr>
                <w:rFonts w:ascii="Arial" w:cs="Arial" w:eastAsia="Arial" w:hAnsi="Arial"/>
                <w:sz w:val="12"/>
                <w:szCs w:val="12"/>
                <w:color w:val="auto"/>
                <w:w w:val="86"/>
              </w:rPr>
              <w:t>01/27/2021</w:t>
            </w:r>
          </w:p>
        </w:tc>
        <w:tc>
          <w:tcPr>
            <w:tcW w:w="256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7.07%</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16,473,429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11,599,021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12,744,421</w:t>
            </w:r>
          </w:p>
        </w:tc>
        <w:tc>
          <w:tcPr>
            <w:tcW w:w="12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Borders>
              <w:bottom w:val="single" w:sz="8" w:color="CFF0FC"/>
            </w:tcBorders>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FF0FC"/>
            </w:tcBorders>
          </w:tcPr>
          <w:p>
            <w:pPr>
              <w:spacing w:after="0"/>
              <w:rPr>
                <w:sz w:val="12"/>
                <w:szCs w:val="12"/>
                <w:color w:val="auto"/>
              </w:rPr>
            </w:pPr>
          </w:p>
        </w:tc>
      </w:tr>
      <w:tr>
        <w:trPr>
          <w:trHeight w:val="142"/>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01/27/2021</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8.00%</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P+275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425,791</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01/27/2021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1,277,372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09/28/2021</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(2,122)</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Montreign Operating Company, LLC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01/24/2023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10.59%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26,163,397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26,518,501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23,350,832</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Morphe,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02/10/2023</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8.40%</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20,644,462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20,276,981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20,541,240</w:t>
            </w:r>
          </w:p>
        </w:tc>
        <w:tc>
          <w:tcPr>
            <w:tcW w:w="100" w:type="dxa"/>
            <w:vAlign w:val="bottom"/>
            <w:shd w:val="clear" w:color="auto" w:fill="CFF0FC"/>
          </w:tcPr>
          <w:p>
            <w:pPr>
              <w:spacing w:after="0"/>
              <w:rPr>
                <w:sz w:val="12"/>
                <w:szCs w:val="12"/>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color w:val="auto"/>
              </w:rPr>
              <w:t>New Trident HoldCorp, Inc.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08/01/2022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7,068,161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6,998,756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5,654,528</w:t>
            </w:r>
          </w:p>
        </w:tc>
        <w:tc>
          <w:tcPr>
            <w:tcW w:w="100" w:type="dxa"/>
            <w:vAlign w:val="bottom"/>
          </w:tcPr>
          <w:p>
            <w:pPr>
              <w:spacing w:after="0"/>
              <w:rPr>
                <w:sz w:val="12"/>
                <w:szCs w:val="12"/>
                <w:color w:val="auto"/>
              </w:rPr>
            </w:pPr>
          </w:p>
        </w:tc>
      </w:tr>
      <w:tr>
        <w:trPr>
          <w:trHeight w:val="148"/>
        </w:trPr>
        <w:tc>
          <w:tcPr>
            <w:tcW w:w="2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(PIK 3.00%)</w:t>
            </w: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NextiraOne Federal, LLC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08/27/2024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8.07%</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18,181,818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17,911,938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17,906,255</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8.07%</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2,607,599</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08/27/2024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4,170,455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(63,207)</w:t>
            </w: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Olde Thompson,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05/14/2024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6.66%</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1,852,500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1,833,975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1,852,500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05/14/2024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Ox Two,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02/27/2023</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8.49%</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13,034,722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12,946,045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13,034,722</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02/27/2023</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7.51%</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14,850,000</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01/31/2023</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7.29%</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2M L+500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10,075,023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9,997,462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10,075,023</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01/31/2022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Questex,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09/09/2024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8.57%</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7,351,373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7,350,000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8.57%</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195,479</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09/09/2024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997,340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(19,947)</w:t>
            </w: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color w:val="auto"/>
              </w:rPr>
              <w:t>Quick Weight Loss Centers, LLC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08/23/2021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9,375,000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9,288,885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7,921,875</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Research Horizons,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8.36%</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5,250,000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5,150,977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5,145,000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(42,568)</w:t>
            </w: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8.36%</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407,892</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529,730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(10,595)</w:t>
            </w: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Research Now Group, Inc. and Survey Sampling</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12/20/2024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7.74%</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24,812,500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23,676,196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24,882,223</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ind w:left="140"/>
              <w:spacing w:after="0"/>
              <w:rPr>
                <w:sz w:val="20"/>
                <w:szCs w:val="20"/>
                <w:color w:val="auto"/>
              </w:rPr>
            </w:pPr>
            <w:r>
              <w:rPr>
                <w:rFonts w:ascii="Arial" w:cs="Arial" w:eastAsia="Arial" w:hAnsi="Arial"/>
                <w:sz w:val="12"/>
                <w:szCs w:val="12"/>
                <w:color w:val="auto"/>
              </w:rPr>
              <w:t>International LLC</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Salient CRGT Inc.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02/28/2022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7.99%</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18,136,905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17,867,722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18,318,274</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5,898,822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09/01/2022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4,125,000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07/19/2021</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8.10%</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418,084</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(24,750)</w:t>
            </w: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02/22/2019</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(667)</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Softvision, LLC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05/21/2021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10,201,863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10,146,148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10,201,863</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TeleGuam Holdings,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07/25/2023</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7.24%</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7,920,000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7,818,453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7,939,800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Tensar Corporation</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07/09/2021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22,620,696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22,474,697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22,281,386</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The Infosoft Group,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12/02/2021</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7.56%</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6,689,308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6,644,404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6,622,415</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7.20%</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60" w:type="dxa"/>
            <w:vAlign w:val="bottom"/>
          </w:tcPr>
          <w:p>
            <w:pPr>
              <w:jc w:val="right"/>
              <w:spacing w:after="0"/>
              <w:rPr>
                <w:sz w:val="20"/>
                <w:szCs w:val="20"/>
                <w:color w:val="auto"/>
              </w:rPr>
            </w:pPr>
            <w:r>
              <w:rPr>
                <w:rFonts w:ascii="Arial" w:cs="Arial" w:eastAsia="Arial" w:hAnsi="Arial"/>
                <w:sz w:val="12"/>
                <w:szCs w:val="12"/>
                <w:color w:val="auto"/>
              </w:rPr>
              <w:t>7,721,739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7,658,431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7,721,739</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6.70%</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2M L+450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5,500,217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5,459,582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5,500,217</w:t>
            </w:r>
          </w:p>
        </w:tc>
        <w:tc>
          <w:tcPr>
            <w:tcW w:w="100" w:type="dxa"/>
            <w:vAlign w:val="bottom"/>
            <w:shd w:val="clear" w:color="auto" w:fill="CFF0FC"/>
          </w:tcPr>
          <w:p>
            <w:pPr>
              <w:spacing w:after="0"/>
              <w:rPr>
                <w:sz w:val="12"/>
                <w:szCs w:val="12"/>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255,327</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1,163,157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Triad Manufacturing, Inc.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12/28/2020</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15.49%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8,470,850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8,383,257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8,216,724</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6.60%</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1,976,435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1,995,000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04/03/2024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6.88%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1,173,333</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1,026,667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08/20/2024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7.89%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8,750,000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8,533,866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8,662,500</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08/20/2024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(17,500)</w:t>
            </w: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color w:val="auto"/>
              </w:rPr>
              <w:t>US Dominion, Inc.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07/15/2024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5,883,015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07/15/2024</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08/13/2021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11.39%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2,875,976</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7.75%</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15,398,203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15,324,732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15,475,194</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07/15/2021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2,094,671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10,473</w:t>
            </w: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Veterinary Specialists of North America, LLC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VIP Cinema Holdings, Inc.</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03/01/2023</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8.25%</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6,937,500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6,910,133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6,954,844</w:t>
            </w:r>
          </w:p>
        </w:tc>
        <w:tc>
          <w:tcPr>
            <w:tcW w:w="100" w:type="dxa"/>
            <w:vAlign w:val="bottom"/>
            <w:shd w:val="clear" w:color="auto" w:fill="CFF0FC"/>
          </w:tcPr>
          <w:p>
            <w:pPr>
              <w:spacing w:after="0"/>
              <w:rPr>
                <w:sz w:val="12"/>
                <w:szCs w:val="12"/>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09/26/2024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16,307,500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15,981,904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15,981,350</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Winchester Electronics Corporation</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06/30/2022</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8.74%</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11,724,183</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11,675,472</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11,724,182</w:t>
            </w:r>
          </w:p>
        </w:tc>
        <w:tc>
          <w:tcPr>
            <w:tcW w:w="100" w:type="dxa"/>
            <w:vAlign w:val="bottom"/>
            <w:shd w:val="clear" w:color="auto" w:fill="CFF0FC"/>
          </w:tcPr>
          <w:p>
            <w:pPr>
              <w:spacing w:after="0"/>
              <w:rPr>
                <w:sz w:val="12"/>
                <w:szCs w:val="12"/>
                <w:color w:val="auto"/>
              </w:rPr>
            </w:pPr>
          </w:p>
        </w:tc>
      </w:tr>
      <w:tr>
        <w:trPr>
          <w:trHeight w:val="142"/>
        </w:trPr>
        <w:tc>
          <w:tcPr>
            <w:tcW w:w="30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5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4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9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817,243,688</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812,235,476</w:t>
            </w:r>
          </w:p>
        </w:tc>
        <w:tc>
          <w:tcPr>
            <w:tcW w:w="100" w:type="dxa"/>
            <w:vAlign w:val="bottom"/>
            <w:tcBorders>
              <w:bottom w:val="single" w:sz="8" w:color="CFF0FC"/>
            </w:tcBorders>
          </w:tcPr>
          <w:p>
            <w:pPr>
              <w:spacing w:after="0"/>
              <w:rPr>
                <w:sz w:val="12"/>
                <w:szCs w:val="12"/>
                <w:color w:val="auto"/>
              </w:rPr>
            </w:pPr>
          </w:p>
        </w:tc>
      </w:tr>
      <w:tr>
        <w:trPr>
          <w:trHeight w:val="142"/>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Second Lien Secured Debt—4.0%</w:t>
            </w: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04/25/2025</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11.09%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1,963,478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03/31/2025</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10.64%</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11,341,463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11,136,261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11,341,463</w:t>
            </w:r>
          </w:p>
        </w:tc>
        <w:tc>
          <w:tcPr>
            <w:tcW w:w="100" w:type="dxa"/>
            <w:vAlign w:val="bottom"/>
            <w:shd w:val="clear" w:color="auto" w:fill="CFF0FC"/>
          </w:tcPr>
          <w:p>
            <w:pPr>
              <w:spacing w:after="0"/>
              <w:rPr>
                <w:sz w:val="12"/>
                <w:szCs w:val="12"/>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color w:val="auto"/>
              </w:rPr>
              <w:t>MailSouth, Inc.</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10/23/2024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3,702,622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3,699,500</w:t>
            </w: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5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09/29/2025</w:t>
            </w:r>
          </w:p>
        </w:tc>
        <w:tc>
          <w:tcPr>
            <w:tcW w:w="2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10.74%</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2,464,229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2,543,750</w:t>
            </w:r>
          </w:p>
        </w:tc>
        <w:tc>
          <w:tcPr>
            <w:tcW w:w="100" w:type="dxa"/>
            <w:vAlign w:val="bottom"/>
            <w:shd w:val="clear" w:color="auto" w:fill="CFF0FC"/>
          </w:tcPr>
          <w:p>
            <w:pPr>
              <w:spacing w:after="0"/>
              <w:rPr>
                <w:sz w:val="12"/>
                <w:szCs w:val="12"/>
                <w:color w:val="auto"/>
              </w:rPr>
            </w:pPr>
          </w:p>
        </w:tc>
      </w:tr>
      <w:tr>
        <w:trPr>
          <w:trHeight w:val="148"/>
        </w:trPr>
        <w:tc>
          <w:tcPr>
            <w:tcW w:w="30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540" w:type="dxa"/>
            <w:vAlign w:val="bottom"/>
            <w:tcBorders>
              <w:bottom w:val="single" w:sz="8" w:color="CFF0FC"/>
            </w:tcBorders>
          </w:tcPr>
          <w:p>
            <w:pPr>
              <w:jc w:val="center"/>
              <w:spacing w:after="0"/>
              <w:rPr>
                <w:sz w:val="20"/>
                <w:szCs w:val="20"/>
                <w:color w:val="auto"/>
              </w:rPr>
            </w:pPr>
            <w:r>
              <w:rPr>
                <w:rFonts w:ascii="Arial" w:cs="Arial" w:eastAsia="Arial" w:hAnsi="Arial"/>
                <w:sz w:val="12"/>
                <w:szCs w:val="12"/>
                <w:color w:val="auto"/>
                <w:w w:val="89"/>
              </w:rPr>
              <w:t>04/12/2023</w:t>
            </w:r>
          </w:p>
        </w:tc>
        <w:tc>
          <w:tcPr>
            <w:tcW w:w="240" w:type="dxa"/>
            <w:vAlign w:val="bottom"/>
            <w:tcBorders>
              <w:bottom w:val="single" w:sz="8" w:color="CFF0FC"/>
            </w:tcBorders>
          </w:tcPr>
          <w:p>
            <w:pPr>
              <w:spacing w:after="0"/>
              <w:rPr>
                <w:sz w:val="12"/>
                <w:szCs w:val="12"/>
                <w:color w:val="auto"/>
              </w:rPr>
            </w:pPr>
          </w:p>
        </w:tc>
        <w:tc>
          <w:tcPr>
            <w:tcW w:w="258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2"/>
                <w:szCs w:val="12"/>
                <w:color w:val="auto"/>
              </w:rPr>
              <w:t>12.34%</w:t>
            </w:r>
          </w:p>
        </w:tc>
        <w:tc>
          <w:tcPr>
            <w:tcW w:w="11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1,666,667</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1,638,368</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1,650,000</w:t>
            </w:r>
          </w:p>
        </w:tc>
        <w:tc>
          <w:tcPr>
            <w:tcW w:w="100" w:type="dxa"/>
            <w:vAlign w:val="bottom"/>
            <w:tcBorders>
              <w:bottom w:val="single" w:sz="8" w:color="CFF0FC"/>
            </w:tcBorders>
          </w:tcPr>
          <w:p>
            <w:pPr>
              <w:spacing w:after="0"/>
              <w:rPr>
                <w:sz w:val="12"/>
                <w:szCs w:val="12"/>
                <w:color w:val="auto"/>
              </w:rPr>
            </w:pPr>
          </w:p>
        </w:tc>
      </w:tr>
      <w:tr>
        <w:trPr>
          <w:trHeight w:val="142"/>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Second Lien Secured Debt</w:t>
            </w: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20,904,958</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21,234,713</w:t>
            </w:r>
          </w:p>
        </w:tc>
        <w:tc>
          <w:tcPr>
            <w:tcW w:w="100" w:type="dxa"/>
            <w:vAlign w:val="bottom"/>
            <w:shd w:val="clear" w:color="auto" w:fill="CFF0FC"/>
          </w:tcPr>
          <w:p>
            <w:pPr>
              <w:spacing w:after="0"/>
              <w:rPr>
                <w:sz w:val="12"/>
                <w:szCs w:val="12"/>
                <w:color w:val="auto"/>
              </w:rPr>
            </w:pPr>
          </w:p>
        </w:tc>
      </w:tr>
      <w:tr>
        <w:trPr>
          <w:trHeight w:val="142"/>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Equity—0.6% </w:t>
            </w:r>
            <w:r>
              <w:rPr>
                <w:rFonts w:ascii="Arial" w:cs="Arial" w:eastAsia="Arial" w:hAnsi="Arial"/>
                <w:sz w:val="9"/>
                <w:szCs w:val="9"/>
                <w:b w:val="1"/>
                <w:bCs w:val="1"/>
                <w:color w:val="auto"/>
              </w:rPr>
              <w:t>(6), (7)</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CI (PTN) Investment Holdings II, LLC</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21,870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22,614</w:t>
            </w:r>
          </w:p>
        </w:tc>
        <w:tc>
          <w:tcPr>
            <w:tcW w:w="100" w:type="dxa"/>
            <w:vAlign w:val="bottom"/>
            <w:shd w:val="clear" w:color="auto" w:fill="CFF0FC"/>
          </w:tcPr>
          <w:p>
            <w:pPr>
              <w:spacing w:after="0"/>
              <w:rPr>
                <w:sz w:val="12"/>
                <w:szCs w:val="12"/>
                <w:color w:val="auto"/>
              </w:rPr>
            </w:pPr>
          </w:p>
        </w:tc>
      </w:tr>
      <w:tr>
        <w:trPr>
          <w:trHeight w:val="149"/>
        </w:trPr>
        <w:tc>
          <w:tcPr>
            <w:tcW w:w="3080" w:type="dxa"/>
            <w:vAlign w:val="bottom"/>
            <w:gridSpan w:val="2"/>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10,173</w:t>
            </w:r>
          </w:p>
        </w:tc>
        <w:tc>
          <w:tcPr>
            <w:tcW w:w="100" w:type="dxa"/>
            <w:vAlign w:val="bottom"/>
            <w:shd w:val="clear" w:color="auto" w:fill="CFF0FC"/>
          </w:tcPr>
          <w:p>
            <w:pPr>
              <w:spacing w:after="0"/>
              <w:rPr>
                <w:sz w:val="12"/>
                <w:szCs w:val="12"/>
                <w:color w:val="auto"/>
              </w:rPr>
            </w:pPr>
          </w:p>
        </w:tc>
      </w:tr>
      <w:tr>
        <w:trPr>
          <w:trHeight w:val="155"/>
        </w:trPr>
        <w:tc>
          <w:tcPr>
            <w:tcW w:w="3080" w:type="dxa"/>
            <w:vAlign w:val="bottom"/>
            <w:gridSpan w:val="2"/>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77,827</w:t>
            </w:r>
          </w:p>
        </w:tc>
        <w:tc>
          <w:tcPr>
            <w:tcW w:w="10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Maturity</w:t>
            </w:r>
          </w:p>
        </w:tc>
        <w:tc>
          <w:tcPr>
            <w:tcW w:w="220" w:type="dxa"/>
            <w:vAlign w:val="bottom"/>
            <w:tcBorders>
              <w:bottom w:val="single" w:sz="8" w:color="CFF0FC"/>
            </w:tcBorders>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FF0FC"/>
            </w:tcBorders>
          </w:tcPr>
          <w:p>
            <w:pPr>
              <w:spacing w:after="0"/>
              <w:rPr>
                <w:sz w:val="12"/>
                <w:szCs w:val="12"/>
                <w:color w:val="auto"/>
              </w:rPr>
            </w:pPr>
          </w:p>
        </w:tc>
      </w:tr>
      <w:tr>
        <w:trPr>
          <w:trHeight w:val="142"/>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NXOF Holdings, Inc. (NextiraOne Federal, LLC)</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490,000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453,077</w:t>
            </w: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UniTek Global Services, Inc. -</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20.00%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343,861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343,861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351,752</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Super Senior Preferred Equity</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UniTek Global Services, Inc. - Senior Preferred Equity</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18.00%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448,851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570,762</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UniTek Global Services, Inc.</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13.50%</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1,047,317</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1,726,920</w:t>
            </w:r>
          </w:p>
        </w:tc>
        <w:tc>
          <w:tcPr>
            <w:tcW w:w="100" w:type="dxa"/>
            <w:vAlign w:val="bottom"/>
            <w:shd w:val="clear" w:color="auto" w:fill="CFF0FC"/>
          </w:tcPr>
          <w:p>
            <w:pPr>
              <w:spacing w:after="0"/>
              <w:rPr>
                <w:sz w:val="12"/>
                <w:szCs w:val="12"/>
                <w:color w:val="auto"/>
              </w:rPr>
            </w:pPr>
          </w:p>
        </w:tc>
      </w:tr>
      <w:tr>
        <w:trPr>
          <w:trHeight w:val="142"/>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6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5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2,062,865</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3,213,125</w:t>
            </w:r>
          </w:p>
        </w:tc>
        <w:tc>
          <w:tcPr>
            <w:tcW w:w="100" w:type="dxa"/>
            <w:vAlign w:val="bottom"/>
            <w:tcBorders>
              <w:bottom w:val="single" w:sz="8" w:color="CFF0FC"/>
            </w:tcBorders>
          </w:tcPr>
          <w:p>
            <w:pPr>
              <w:spacing w:after="0"/>
              <w:rPr>
                <w:sz w:val="12"/>
                <w:szCs w:val="12"/>
                <w:color w:val="auto"/>
              </w:rPr>
            </w:pPr>
          </w:p>
        </w:tc>
      </w:tr>
      <w:tr>
        <w:trPr>
          <w:trHeight w:val="142"/>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 xml:space="preserve">Common Equity/Warrants—3.3% </w:t>
            </w:r>
            <w:r>
              <w:rPr>
                <w:rFonts w:ascii="Arial" w:cs="Arial" w:eastAsia="Arial" w:hAnsi="Arial"/>
                <w:sz w:val="9"/>
                <w:szCs w:val="9"/>
                <w:b w:val="1"/>
                <w:bCs w:val="1"/>
                <w:color w:val="auto"/>
              </w:rPr>
              <w:t>(6), (7)</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Affinion Group Holdings, Inc.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99,029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3,514,571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2,089,710</w:t>
            </w:r>
          </w:p>
        </w:tc>
        <w:tc>
          <w:tcPr>
            <w:tcW w:w="100" w:type="dxa"/>
            <w:vAlign w:val="bottom"/>
          </w:tcPr>
          <w:p>
            <w:pPr>
              <w:spacing w:after="0"/>
              <w:rPr>
                <w:sz w:val="12"/>
                <w:szCs w:val="12"/>
                <w:color w:val="auto"/>
              </w:rPr>
            </w:pPr>
          </w:p>
        </w:tc>
      </w:tr>
      <w:tr>
        <w:trPr>
          <w:trHeight w:val="149"/>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Affinion Group Holdings, Inc., Series C and Series D</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4,298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3,449</w:t>
            </w: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21,908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4,426,169</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5,592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CI (Allied) Investment Holdings,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84,000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(11)</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040" w:type="dxa"/>
            <w:vAlign w:val="bottom"/>
            <w:gridSpan w:val="2"/>
          </w:tcPr>
          <w:p>
            <w:pPr>
              <w:spacing w:after="0"/>
              <w:rPr>
                <w:sz w:val="20"/>
                <w:szCs w:val="20"/>
                <w:color w:val="auto"/>
              </w:rPr>
            </w:pPr>
            <w:r>
              <w:rPr>
                <w:rFonts w:ascii="Arial" w:cs="Arial" w:eastAsia="Arial" w:hAnsi="Arial"/>
                <w:sz w:val="12"/>
                <w:szCs w:val="12"/>
                <w:color w:val="auto"/>
              </w:rPr>
              <w:t>CI (PTN) Investment Holdings II,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CI (Summit) Investment Holdings,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47,893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596,660</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(SFP Holding, Inc.)</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DecoPac Holdings Inc.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1,972,251</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Faraday Holdings, LLC</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305,907</w:t>
            </w:r>
          </w:p>
        </w:tc>
        <w:tc>
          <w:tcPr>
            <w:tcW w:w="100" w:type="dxa"/>
            <w:vAlign w:val="bottom"/>
            <w:shd w:val="clear" w:color="auto" w:fill="CFF0FC"/>
          </w:tcPr>
          <w:p>
            <w:pPr>
              <w:spacing w:after="0"/>
              <w:rPr>
                <w:sz w:val="12"/>
                <w:szCs w:val="12"/>
                <w:color w:val="auto"/>
              </w:rPr>
            </w:pPr>
          </w:p>
        </w:tc>
      </w:tr>
      <w:tr>
        <w:trPr>
          <w:trHeight w:val="149"/>
        </w:trPr>
        <w:tc>
          <w:tcPr>
            <w:tcW w:w="3040" w:type="dxa"/>
            <w:vAlign w:val="bottom"/>
            <w:gridSpan w:val="2"/>
          </w:tcPr>
          <w:p>
            <w:pPr>
              <w:spacing w:after="0"/>
              <w:rPr>
                <w:sz w:val="20"/>
                <w:szCs w:val="20"/>
                <w:color w:val="auto"/>
              </w:rPr>
            </w:pPr>
            <w:r>
              <w:rPr>
                <w:rFonts w:ascii="Arial" w:cs="Arial" w:eastAsia="Arial" w:hAnsi="Arial"/>
                <w:sz w:val="12"/>
                <w:szCs w:val="12"/>
                <w:color w:val="auto"/>
              </w:rPr>
              <w:t>Gauge InfosoftCoInvest,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738,439</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(The Infosoft Group, LLC)</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1,132,039</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(83,773)</w:t>
            </w: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IIN Group Holdings,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2"/>
                <w:szCs w:val="12"/>
                <w:color w:val="auto"/>
              </w:rPr>
            </w:pPr>
          </w:p>
        </w:tc>
      </w:tr>
      <w:tr>
        <w:trPr>
          <w:trHeight w:val="149"/>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(11)</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JWC/UMA Holdings, L.P.</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JWC-WE Holdings, L.P.</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ind w:left="140"/>
              <w:spacing w:after="0"/>
              <w:rPr>
                <w:sz w:val="20"/>
                <w:szCs w:val="20"/>
                <w:color w:val="auto"/>
              </w:rPr>
            </w:pPr>
            <w:r>
              <w:rPr>
                <w:rFonts w:ascii="Arial" w:cs="Arial" w:eastAsia="Arial" w:hAnsi="Arial"/>
                <w:sz w:val="12"/>
                <w:szCs w:val="12"/>
                <w:color w:val="auto"/>
              </w:rPr>
              <w:t>(Walker Edison Furniture Company LLC)</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NXOF Holdings, Inc. (NextiraOne Federal, LLC)</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32,308</w:t>
            </w:r>
          </w:p>
        </w:tc>
        <w:tc>
          <w:tcPr>
            <w:tcW w:w="100" w:type="dxa"/>
            <w:vAlign w:val="bottom"/>
            <w:shd w:val="clear" w:color="auto" w:fill="CFF0FC"/>
          </w:tcPr>
          <w:p>
            <w:pPr>
              <w:spacing w:after="0"/>
              <w:rPr>
                <w:sz w:val="12"/>
                <w:szCs w:val="12"/>
                <w:color w:val="auto"/>
              </w:rPr>
            </w:pPr>
          </w:p>
        </w:tc>
      </w:tr>
      <w:tr>
        <w:trPr>
          <w:trHeight w:val="149"/>
        </w:trPr>
        <w:tc>
          <w:tcPr>
            <w:tcW w:w="3040" w:type="dxa"/>
            <w:vAlign w:val="bottom"/>
            <w:gridSpan w:val="2"/>
          </w:tcPr>
          <w:p>
            <w:pPr>
              <w:spacing w:after="0"/>
              <w:rPr>
                <w:sz w:val="20"/>
                <w:szCs w:val="20"/>
                <w:color w:val="auto"/>
              </w:rPr>
            </w:pPr>
            <w:r>
              <w:rPr>
                <w:rFonts w:ascii="Arial" w:cs="Arial" w:eastAsia="Arial" w:hAnsi="Arial"/>
                <w:sz w:val="12"/>
                <w:szCs w:val="12"/>
                <w:color w:val="auto"/>
              </w:rPr>
              <w:t>SSC Dominion Holdings,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Class A (US Dominion, Inc.)</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SSC Dominion Holdings, LLC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Class B (US Dominion, Inc.)</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742,692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742,692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1,024,002</w:t>
            </w: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257,308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gridSpan w:val="2"/>
          </w:tcPr>
          <w:p>
            <w:pPr>
              <w:spacing w:after="0"/>
              <w:rPr>
                <w:sz w:val="20"/>
                <w:szCs w:val="20"/>
                <w:color w:val="auto"/>
              </w:rPr>
            </w:pPr>
            <w:r>
              <w:rPr>
                <w:rFonts w:ascii="Arial" w:cs="Arial" w:eastAsia="Arial" w:hAnsi="Arial"/>
                <w:sz w:val="12"/>
                <w:szCs w:val="12"/>
                <w:color w:val="auto"/>
              </w:rPr>
              <w:t>UniTek Global Services, Inc.</w:t>
            </w:r>
          </w:p>
        </w:tc>
        <w:tc>
          <w:tcPr>
            <w:tcW w:w="8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524,411</w:t>
            </w:r>
          </w:p>
        </w:tc>
        <w:tc>
          <w:tcPr>
            <w:tcW w:w="100" w:type="dxa"/>
            <w:vAlign w:val="bottom"/>
          </w:tcPr>
          <w:p>
            <w:pPr>
              <w:spacing w:after="0"/>
              <w:rPr>
                <w:sz w:val="12"/>
                <w:szCs w:val="12"/>
                <w:color w:val="auto"/>
              </w:rPr>
            </w:pPr>
          </w:p>
        </w:tc>
      </w:tr>
      <w:tr>
        <w:trPr>
          <w:trHeight w:val="149"/>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UniTek Global Services, Inc. (Warrants)</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88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w:t>
            </w:r>
          </w:p>
        </w:tc>
        <w:tc>
          <w:tcPr>
            <w:tcW w:w="264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2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268,571</w:t>
            </w:r>
          </w:p>
        </w:tc>
        <w:tc>
          <w:tcPr>
            <w:tcW w:w="100" w:type="dxa"/>
            <w:vAlign w:val="bottom"/>
            <w:tcBorders>
              <w:bottom w:val="single" w:sz="8" w:color="CFF0FC"/>
            </w:tcBorders>
          </w:tcPr>
          <w:p>
            <w:pPr>
              <w:spacing w:after="0"/>
              <w:rPr>
                <w:sz w:val="12"/>
                <w:szCs w:val="12"/>
                <w:color w:val="auto"/>
              </w:rPr>
            </w:pPr>
          </w:p>
        </w:tc>
      </w:tr>
      <w:tr>
        <w:trPr>
          <w:trHeight w:val="142"/>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Common Equity/Warrants</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16,681,506</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18,069,750</w:t>
            </w:r>
          </w:p>
        </w:tc>
        <w:tc>
          <w:tcPr>
            <w:tcW w:w="100" w:type="dxa"/>
            <w:vAlign w:val="bottom"/>
            <w:shd w:val="clear" w:color="auto" w:fill="CFF0FC"/>
          </w:tcPr>
          <w:p>
            <w:pPr>
              <w:spacing w:after="0"/>
              <w:rPr>
                <w:sz w:val="12"/>
                <w:szCs w:val="12"/>
                <w:color w:val="auto"/>
              </w:rPr>
            </w:pPr>
          </w:p>
        </w:tc>
      </w:tr>
      <w:tr>
        <w:trPr>
          <w:trHeight w:val="142"/>
        </w:trPr>
        <w:tc>
          <w:tcPr>
            <w:tcW w:w="3920" w:type="dxa"/>
            <w:vAlign w:val="bottom"/>
            <w:tcBorders>
              <w:bottom w:val="single" w:sz="8" w:color="CFF0FC"/>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5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856,893,017</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854,753,064</w:t>
            </w:r>
          </w:p>
        </w:tc>
        <w:tc>
          <w:tcPr>
            <w:tcW w:w="100" w:type="dxa"/>
            <w:vAlign w:val="bottom"/>
            <w:tcBorders>
              <w:bottom w:val="single" w:sz="8" w:color="CFF0FC"/>
            </w:tcBorders>
          </w:tcPr>
          <w:p>
            <w:pPr>
              <w:spacing w:after="0"/>
              <w:rPr>
                <w:sz w:val="12"/>
                <w:szCs w:val="12"/>
                <w:color w:val="auto"/>
              </w:rPr>
            </w:pPr>
          </w:p>
        </w:tc>
      </w:tr>
      <w:tr>
        <w:trPr>
          <w:trHeight w:val="142"/>
        </w:trPr>
        <w:tc>
          <w:tcPr>
            <w:tcW w:w="3920" w:type="dxa"/>
            <w:vAlign w:val="bottom"/>
            <w:gridSpan w:val="4"/>
            <w:shd w:val="clear" w:color="auto" w:fill="CFF0FC"/>
          </w:tcPr>
          <w:p>
            <w:pPr>
              <w:spacing w:after="0"/>
              <w:rPr>
                <w:sz w:val="20"/>
                <w:szCs w:val="20"/>
                <w:color w:val="auto"/>
              </w:rPr>
            </w:pPr>
            <w:r>
              <w:rPr>
                <w:rFonts w:ascii="Arial" w:cs="Arial" w:eastAsia="Arial" w:hAnsi="Arial"/>
                <w:sz w:val="12"/>
                <w:szCs w:val="12"/>
                <w:b w:val="1"/>
                <w:bCs w:val="1"/>
                <w:color w:val="auto"/>
                <w:w w:val="96"/>
              </w:rPr>
              <w:t xml:space="preserve">Investments in Controlled, Affiliated Portfolio Companies—27.2% </w:t>
            </w:r>
            <w:r>
              <w:rPr>
                <w:rFonts w:ascii="Arial" w:cs="Arial" w:eastAsia="Arial" w:hAnsi="Arial"/>
                <w:sz w:val="9"/>
                <w:szCs w:val="9"/>
                <w:b w:val="1"/>
                <w:bCs w:val="1"/>
                <w:color w:val="auto"/>
                <w:w w:val="96"/>
              </w:rPr>
              <w:t>(3), (4)</w:t>
            </w: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First Lien Secured Debt—18.9%</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60" w:type="dxa"/>
            <w:vAlign w:val="bottom"/>
            <w:shd w:val="clear" w:color="auto" w:fill="CFF0FC"/>
          </w:tcPr>
          <w:p>
            <w:pPr>
              <w:ind w:left="40"/>
              <w:spacing w:after="0"/>
              <w:rPr>
                <w:sz w:val="20"/>
                <w:szCs w:val="20"/>
                <w:color w:val="auto"/>
              </w:rPr>
            </w:pPr>
            <w:r>
              <w:rPr>
                <w:rFonts w:ascii="Arial" w:cs="Arial" w:eastAsia="Arial" w:hAnsi="Arial"/>
                <w:sz w:val="12"/>
                <w:szCs w:val="12"/>
                <w:color w:val="auto"/>
                <w:w w:val="99"/>
              </w:rPr>
              <w:t>05/06/2024</w:t>
            </w:r>
          </w:p>
        </w:tc>
        <w:tc>
          <w:tcPr>
            <w:tcW w:w="22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10.39%</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101,062,500</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101,062,500</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101,062,500</w:t>
            </w:r>
          </w:p>
        </w:tc>
        <w:tc>
          <w:tcPr>
            <w:tcW w:w="100" w:type="dxa"/>
            <w:vAlign w:val="bottom"/>
            <w:shd w:val="clear" w:color="auto" w:fill="CFF0FC"/>
          </w:tcPr>
          <w:p>
            <w:pPr>
              <w:spacing w:after="0"/>
              <w:rPr>
                <w:sz w:val="12"/>
                <w:szCs w:val="12"/>
                <w:color w:val="auto"/>
              </w:rPr>
            </w:pPr>
          </w:p>
        </w:tc>
      </w:tr>
      <w:tr>
        <w:trPr>
          <w:trHeight w:val="14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Equity Interests—8.3%</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88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43,312,500</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44,797,729</w:t>
            </w:r>
          </w:p>
        </w:tc>
        <w:tc>
          <w:tcPr>
            <w:tcW w:w="100" w:type="dxa"/>
            <w:vAlign w:val="bottom"/>
            <w:shd w:val="clear" w:color="auto" w:fill="CFF0FC"/>
          </w:tcPr>
          <w:p>
            <w:pPr>
              <w:spacing w:after="0"/>
              <w:rPr>
                <w:sz w:val="12"/>
                <w:szCs w:val="12"/>
                <w:color w:val="auto"/>
              </w:rPr>
            </w:pPr>
          </w:p>
        </w:tc>
      </w:tr>
      <w:tr>
        <w:trPr>
          <w:trHeight w:val="142"/>
        </w:trPr>
        <w:tc>
          <w:tcPr>
            <w:tcW w:w="3920" w:type="dxa"/>
            <w:vAlign w:val="bottom"/>
            <w:tcBorders>
              <w:bottom w:val="single" w:sz="8" w:color="CFF0FC"/>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5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144,375,000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145,860,229</w:t>
            </w:r>
          </w:p>
        </w:tc>
        <w:tc>
          <w:tcPr>
            <w:tcW w:w="100" w:type="dxa"/>
            <w:vAlign w:val="bottom"/>
            <w:tcBorders>
              <w:bottom w:val="single" w:sz="8" w:color="CFF0FC"/>
            </w:tcBorders>
          </w:tcPr>
          <w:p>
            <w:pPr>
              <w:spacing w:after="0"/>
              <w:rPr>
                <w:sz w:val="12"/>
                <w:szCs w:val="12"/>
                <w:color w:val="auto"/>
              </w:rPr>
            </w:pPr>
          </w:p>
        </w:tc>
      </w:tr>
      <w:tr>
        <w:trPr>
          <w:trHeight w:val="142"/>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Investments—186.7%</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8"/>
              </w:rPr>
              <w:t>1,001,268,017</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1"/>
              </w:rPr>
              <w:t>1,000,613,293</w:t>
            </w:r>
          </w:p>
        </w:tc>
        <w:tc>
          <w:tcPr>
            <w:tcW w:w="100" w:type="dxa"/>
            <w:vAlign w:val="bottom"/>
            <w:shd w:val="clear" w:color="auto" w:fill="CFF0FC"/>
          </w:tcPr>
          <w:p>
            <w:pPr>
              <w:spacing w:after="0"/>
              <w:rPr>
                <w:sz w:val="12"/>
                <w:szCs w:val="12"/>
                <w:color w:val="auto"/>
              </w:rPr>
            </w:pPr>
          </w:p>
        </w:tc>
      </w:tr>
      <w:tr>
        <w:trPr>
          <w:trHeight w:val="14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Equivalents—13.5%</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BlackRock Federal FD Institutional 30</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69,502,018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69,502,018</w:t>
            </w:r>
          </w:p>
        </w:tc>
        <w:tc>
          <w:tcPr>
            <w:tcW w:w="100" w:type="dxa"/>
            <w:vAlign w:val="bottom"/>
            <w:shd w:val="clear" w:color="auto" w:fill="CFF0FC"/>
          </w:tcPr>
          <w:p>
            <w:pPr>
              <w:spacing w:after="0"/>
              <w:rPr>
                <w:sz w:val="12"/>
                <w:szCs w:val="12"/>
                <w:color w:val="auto"/>
              </w:rPr>
            </w:pPr>
          </w:p>
        </w:tc>
      </w:tr>
      <w:tr>
        <w:trPr>
          <w:trHeight w:val="148"/>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BNY Mellon Cash</w:t>
            </w:r>
          </w:p>
        </w:tc>
        <w:tc>
          <w:tcPr>
            <w:tcW w:w="6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5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2,729,783</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2,722,165</w:t>
            </w:r>
          </w:p>
        </w:tc>
        <w:tc>
          <w:tcPr>
            <w:tcW w:w="100" w:type="dxa"/>
            <w:vAlign w:val="bottom"/>
            <w:tcBorders>
              <w:bottom w:val="single" w:sz="8" w:color="CFF0FC"/>
            </w:tcBorders>
          </w:tcPr>
          <w:p>
            <w:pPr>
              <w:spacing w:after="0"/>
              <w:rPr>
                <w:sz w:val="12"/>
                <w:szCs w:val="12"/>
                <w:color w:val="auto"/>
              </w:rPr>
            </w:pPr>
          </w:p>
        </w:tc>
      </w:tr>
      <w:tr>
        <w:trPr>
          <w:trHeight w:val="142"/>
        </w:trPr>
        <w:tc>
          <w:tcPr>
            <w:tcW w:w="30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Cash and Cash Equivalents</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72,231,801</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72,224,183</w:t>
            </w:r>
          </w:p>
        </w:tc>
        <w:tc>
          <w:tcPr>
            <w:tcW w:w="100" w:type="dxa"/>
            <w:vAlign w:val="bottom"/>
            <w:shd w:val="clear" w:color="auto" w:fill="CFF0FC"/>
          </w:tcPr>
          <w:p>
            <w:pPr>
              <w:spacing w:after="0"/>
              <w:rPr>
                <w:sz w:val="12"/>
                <w:szCs w:val="12"/>
                <w:color w:val="auto"/>
              </w:rPr>
            </w:pPr>
          </w:p>
        </w:tc>
      </w:tr>
      <w:tr>
        <w:trPr>
          <w:trHeight w:val="182"/>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Investments and Cash Equivalents—200.2%</w:t>
            </w: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5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1,073,499,818</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1,072,837,476</w:t>
            </w:r>
          </w:p>
        </w:tc>
        <w:tc>
          <w:tcPr>
            <w:tcW w:w="100" w:type="dxa"/>
            <w:vAlign w:val="bottom"/>
            <w:tcBorders>
              <w:bottom w:val="single" w:sz="8" w:color="CFF0FC"/>
            </w:tcBorders>
          </w:tcPr>
          <w:p>
            <w:pPr>
              <w:spacing w:after="0"/>
              <w:rPr>
                <w:sz w:val="15"/>
                <w:szCs w:val="15"/>
                <w:color w:val="auto"/>
              </w:rPr>
            </w:pPr>
          </w:p>
        </w:tc>
      </w:tr>
      <w:tr>
        <w:trPr>
          <w:trHeight w:val="129"/>
        </w:trPr>
        <w:tc>
          <w:tcPr>
            <w:tcW w:w="304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Liabilities in Excess of Other Assets—(100.2)%</w:t>
            </w: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rPr>
              <w:t>(536,995,908)</w:t>
            </w:r>
          </w:p>
        </w:tc>
      </w:tr>
      <w:tr>
        <w:trPr>
          <w:trHeight w:val="14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Net Assets—100.0%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535,841,568</w:t>
            </w:r>
          </w:p>
        </w:tc>
        <w:tc>
          <w:tcPr>
            <w:tcW w:w="100" w:type="dxa"/>
            <w:vAlign w:val="bottom"/>
          </w:tcPr>
          <w:p>
            <w:pPr>
              <w:spacing w:after="0"/>
              <w:rPr>
                <w:sz w:val="12"/>
                <w:szCs w:val="12"/>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40" w:hanging="372"/>
        <w:spacing w:after="0" w:line="27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at LIBOR plus 200 basis points during the revolving period. The Credit Facility is secured by all of the assets held by Funding I. See Note 10.</w:t>
      </w:r>
    </w:p>
    <w:p>
      <w:pPr>
        <w:spacing w:after="0" w:line="10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40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the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20" w:firstLine="438"/>
        <w:spacing w:after="0" w:line="255"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2019, we had three portfolio companies on non-accrual, representing 2.3% and 0.8% of our overall portfolio on a cost and fair value basis, respectively.</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both the three and nine months ended June 30, 2019, we did not record a provision for taxes. For the three and nine months ended June 30, 2018, we recorded a provision for taxes of $0.2 million and $0.6 million, respectively, pertaining to U.S. federal excise tax.</w:t>
      </w:r>
    </w:p>
    <w:p>
      <w:pPr>
        <w:spacing w:after="0" w:line="117"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June 30, 2019,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64" w:lineRule="auto"/>
        <w:rPr>
          <w:sz w:val="20"/>
          <w:szCs w:val="20"/>
          <w:color w:val="auto"/>
        </w:rPr>
      </w:pPr>
      <w:r>
        <w:rPr>
          <w:rFonts w:ascii="Arial" w:cs="Arial" w:eastAsia="Arial" w:hAnsi="Arial"/>
          <w:sz w:val="13"/>
          <w:szCs w:val="13"/>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in our Consolidated Financial Statements. We do not consolidate our investment in PSSL. See further description of our investment in PSSL in Note 4.</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our creditors or any of our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6"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117"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 xml:space="preserve">In March 2019, the SEC issued the Final Rule Release No. 33-10618, </w:t>
      </w:r>
      <w:r>
        <w:rPr>
          <w:rFonts w:ascii="Arial" w:cs="Arial" w:eastAsia="Arial" w:hAnsi="Arial"/>
          <w:sz w:val="13"/>
          <w:szCs w:val="13"/>
          <w:i w:val="1"/>
          <w:iCs w:val="1"/>
          <w:color w:val="auto"/>
        </w:rPr>
        <w:t>FAST Act Modernization and Simplification of Regulation S-K</w:t>
      </w:r>
      <w:r>
        <w:rPr>
          <w:rFonts w:ascii="Arial" w:cs="Arial" w:eastAsia="Arial" w:hAnsi="Arial"/>
          <w:sz w:val="13"/>
          <w:szCs w:val="13"/>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The Company adopted the requisite amendments effective May 2, 2019. As it pertains to the Company for this Form 10-Q, there were no significant changes to the Company’s consolidated financial position or disclosures. The Company is still evaluating the impact these amendments will have on its other future periodic filings and registration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2019, the Investment Adviser earned a base management fee of $2.6 million and $7.5 million, respectively, from us. For the three and nine months ended June 30, 2018, the Investment Adviser earned a base management fee of $2.2 million and $5.9 million, respectively, from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w:t>
      </w:r>
    </w:p>
    <w:p>
      <w:pPr>
        <w:spacing w:after="0" w:line="1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w:t>
      </w:r>
    </w:p>
    <w:p>
      <w:pPr>
        <w:spacing w:after="0" w:line="102"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2019, the Investment Adviser earned $2.4 million and $5.1 million, respectively, in incentive fees on net investment income from us. For the three and nine months ended June 30, 2018, the Investment Adviser earned $1.3 million and $1.6 million, respectively, in incentive fees on net investment income from 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termination date) and equals 20% of our realized capital gains, if any, on a cumulative basis from inception through the end of each calendar year, computed net of all realized capital losses and</w:t>
      </w:r>
    </w:p>
    <w:p>
      <w:pPr>
        <w:spacing w:after="0"/>
        <w:rPr>
          <w:sz w:val="20"/>
          <w:szCs w:val="20"/>
          <w:color w:val="auto"/>
        </w:rPr>
      </w:pPr>
      <w:r>
        <w:rPr>
          <w:rFonts w:ascii="Arial" w:cs="Arial" w:eastAsia="Arial" w:hAnsi="Arial"/>
          <w:sz w:val="13"/>
          <w:szCs w:val="13"/>
          <w:color w:val="auto"/>
        </w:rPr>
        <w:t>unrealized capital depreciation on a cumulative basis, less the aggregate amount of any previously paid capital gain incentive fees. For both the three and nine months ended June 30, 2019, the</w:t>
      </w:r>
    </w:p>
    <w:p>
      <w:pPr>
        <w:spacing w:after="0"/>
        <w:rPr>
          <w:sz w:val="20"/>
          <w:szCs w:val="20"/>
          <w:color w:val="auto"/>
        </w:rPr>
      </w:pPr>
      <w:r>
        <w:rPr>
          <w:rFonts w:ascii="Arial" w:cs="Arial" w:eastAsia="Arial" w:hAnsi="Arial"/>
          <w:sz w:val="13"/>
          <w:szCs w:val="13"/>
          <w:color w:val="auto"/>
        </w:rPr>
        <w:t>Investment Adviser did not accrue an incentive fee on capital gains, as calculated under the Investment Management Agreement (as described above). For the three and nine months ended</w:t>
      </w:r>
    </w:p>
    <w:p>
      <w:pPr>
        <w:spacing w:after="0"/>
        <w:rPr>
          <w:sz w:val="20"/>
          <w:szCs w:val="20"/>
          <w:color w:val="auto"/>
        </w:rPr>
      </w:pPr>
      <w:r>
        <w:rPr>
          <w:rFonts w:ascii="Arial" w:cs="Arial" w:eastAsia="Arial" w:hAnsi="Arial"/>
          <w:sz w:val="13"/>
          <w:szCs w:val="13"/>
          <w:color w:val="auto"/>
        </w:rPr>
        <w:t>June 30, 2018, the Investment Adviser accrued an incentive fee on capital gains of zero and $(0.1) million, respectively, as calculated under the Investment Management Agreement (as described</w:t>
      </w:r>
    </w:p>
    <w:p>
      <w:pPr>
        <w:spacing w:after="0"/>
        <w:rPr>
          <w:sz w:val="20"/>
          <w:szCs w:val="20"/>
          <w:color w:val="auto"/>
        </w:rPr>
      </w:pPr>
      <w:r>
        <w:rPr>
          <w:rFonts w:ascii="Arial" w:cs="Arial" w:eastAsia="Arial" w:hAnsi="Arial"/>
          <w:sz w:val="14"/>
          <w:szCs w:val="14"/>
          <w:color w:val="auto"/>
        </w:rPr>
        <w:t>above)..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the end of each period. In calculating the capital gains incentive fee accrual, we considered the cumulative aggregate unrealized capital appreciation in the calculation, as a capital gains incentive</w:t>
      </w:r>
    </w:p>
    <w:p>
      <w:pPr>
        <w:spacing w:after="0"/>
        <w:rPr>
          <w:sz w:val="20"/>
          <w:szCs w:val="20"/>
          <w:color w:val="auto"/>
        </w:rPr>
      </w:pPr>
      <w:r>
        <w:rPr>
          <w:rFonts w:ascii="Arial" w:cs="Arial" w:eastAsia="Arial" w:hAnsi="Arial"/>
          <w:sz w:val="13"/>
          <w:szCs w:val="13"/>
          <w:color w:val="auto"/>
        </w:rPr>
        <w:t>fee would be payable if such unrealized capital appreciation were realized, even though such unrealized capital appreciation is not permitted to be considered in calculating the fee actually</w:t>
      </w:r>
    </w:p>
    <w:p>
      <w:pPr>
        <w:spacing w:after="0"/>
        <w:rPr>
          <w:sz w:val="20"/>
          <w:szCs w:val="20"/>
          <w:color w:val="auto"/>
        </w:rPr>
      </w:pPr>
      <w:r>
        <w:rPr>
          <w:rFonts w:ascii="Arial" w:cs="Arial" w:eastAsia="Arial" w:hAnsi="Arial"/>
          <w:sz w:val="13"/>
          <w:szCs w:val="13"/>
          <w:color w:val="auto"/>
        </w:rPr>
        <w:t>payable under the Investment Management Agreement. This accrual is calculated using the aggregate cumulative realized capital gains and losses and cumulative unrealized capital appreciation</w:t>
      </w:r>
    </w:p>
    <w:p>
      <w:pPr>
        <w:spacing w:after="0"/>
        <w:rPr>
          <w:sz w:val="20"/>
          <w:szCs w:val="20"/>
          <w:color w:val="auto"/>
        </w:rPr>
      </w:pPr>
      <w:r>
        <w:rPr>
          <w:rFonts w:ascii="Arial" w:cs="Arial" w:eastAsia="Arial" w:hAnsi="Arial"/>
          <w:sz w:val="13"/>
          <w:szCs w:val="13"/>
          <w:color w:val="auto"/>
        </w:rPr>
        <w:t>or depreciation. If such amount is positive at the end of a period, then we record a capital gains incentive fee equal to 20% of such amount, less the aggregate amount of actual capital gains</w:t>
      </w:r>
    </w:p>
    <w:p>
      <w:pPr>
        <w:spacing w:after="0"/>
        <w:rPr>
          <w:sz w:val="20"/>
          <w:szCs w:val="20"/>
          <w:color w:val="auto"/>
        </w:rPr>
      </w:pPr>
      <w:r>
        <w:rPr>
          <w:rFonts w:ascii="Arial" w:cs="Arial" w:eastAsia="Arial" w:hAnsi="Arial"/>
          <w:sz w:val="13"/>
          <w:szCs w:val="13"/>
          <w:color w:val="auto"/>
        </w:rPr>
        <w:t>related to incentive fees paid in all prior years. If such amount is negative, then there is no accrual for such year. There can be no assurance that such unrealized capital appreciation will be</w:t>
      </w:r>
    </w:p>
    <w:p>
      <w:pPr>
        <w:spacing w:after="0"/>
        <w:rPr>
          <w:sz w:val="20"/>
          <w:szCs w:val="20"/>
          <w:color w:val="auto"/>
        </w:rPr>
      </w:pPr>
      <w:r>
        <w:rPr>
          <w:rFonts w:ascii="Arial" w:cs="Arial" w:eastAsia="Arial" w:hAnsi="Arial"/>
          <w:sz w:val="13"/>
          <w:szCs w:val="13"/>
          <w:color w:val="auto"/>
        </w:rPr>
        <w:t>realized in the future. The incentive fee accrued for, but not payable, under GAAP on our unrealized and realized capital gains for the three and nine months ended June 30, 2019 was zero and</w:t>
      </w:r>
    </w:p>
    <w:p>
      <w:pPr>
        <w:spacing w:after="0"/>
        <w:rPr>
          <w:sz w:val="20"/>
          <w:szCs w:val="20"/>
          <w:color w:val="auto"/>
        </w:rPr>
      </w:pPr>
      <w:r>
        <w:rPr>
          <w:rFonts w:ascii="Arial" w:cs="Arial" w:eastAsia="Arial" w:hAnsi="Arial"/>
          <w:sz w:val="13"/>
          <w:szCs w:val="13"/>
          <w:color w:val="auto"/>
        </w:rPr>
        <w:t>$(1.4) million, respectively. The incentive fee accrued for under GAAP on our unrealized and realized capital gains for the three and nine months ended June 30, 2018 was $(1.0) million and</w:t>
      </w:r>
    </w:p>
    <w:p>
      <w:pPr>
        <w:spacing w:after="0"/>
        <w:rPr>
          <w:sz w:val="20"/>
          <w:szCs w:val="20"/>
          <w:color w:val="auto"/>
        </w:rPr>
      </w:pPr>
      <w:r>
        <w:rPr>
          <w:rFonts w:ascii="Arial" w:cs="Arial" w:eastAsia="Arial" w:hAnsi="Arial"/>
          <w:sz w:val="14"/>
          <w:szCs w:val="14"/>
          <w:color w:val="auto"/>
        </w:rPr>
        <w:t>$(0.6) million, respectively.</w:t>
      </w:r>
    </w:p>
    <w:p>
      <w:pPr>
        <w:spacing w:after="0" w:line="124"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2019.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2019, we reimbursed the Investment Adviser approximately $0.4 million and $1.5 million, respectively, including expenses the Investment Adviser incurred on behalf of the Administrator, for services described above. For the three and nine months ended June 30, 2018, we reimbursed the Investment Adviser approximately $0.4 million and $1.2 million, respectively, including expenses the Investment Adviser incurred on behalf of the Administrator, for services described above.</w:t>
      </w:r>
    </w:p>
    <w:p>
      <w:pPr>
        <w:spacing w:after="0" w:line="121"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There were no transactions subject to Rule 17a-7 under the 1940 Act during both the three and nine months ended June 30, 2019. During both the three and nine months ended June 30, 2018, the Company purchased $3.9 million in total investments from an affiliated fund managed by our Investment Adviser in accordance with, and pursuant to procedures adopted under, Rule 17a-7 under the 1940 Act.</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For the three and nine months ended June 30, 2019, we sold zero and $57.7 million in investments, respectively, to PSSL at fair value and recognized zero and $0.2 million of net realized gains, respectively. For the three and nine months ended June 30, 2018, we sold $27.1 million and $60.6 million in investments, respectively, to PSSL at fair value and recognized less than $0.1 million of net realized gains for both periods.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2019 totaled $183.7 million and $501.0 million, respectively. For the same periods in the prior year, purchases of investments, including PIK interest, totaled $165.5 million and $481.2 million, respectively. Sales and repayments of investments for the three and nine months ended June 30, 2019 totaled $66.6 million and $400.1 million, respectively. For the same periods in the prior year, sales and repayments of investments totaled $87.9 million and $283.6 million,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8"/>
              </w:rPr>
              <w:t>Investments,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841,791,546</w:t>
            </w:r>
          </w:p>
        </w:tc>
        <w:tc>
          <w:tcPr>
            <w:tcW w:w="2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818,600,724</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817,243,688</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812,235,476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120,968,750</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120,968,750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33,866,381</w:t>
            </w:r>
          </w:p>
        </w:tc>
        <w:tc>
          <w:tcPr>
            <w:tcW w:w="62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33,967,082</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20,904,958</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21,234,713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37,630,518</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47,891,156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18,744,371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21,282,875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 PSSL</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51,843,750</w:t>
            </w:r>
          </w:p>
        </w:tc>
        <w:tc>
          <w:tcPr>
            <w:tcW w:w="62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50,726,054</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43,312,500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1,086,100,945</w:t>
            </w:r>
          </w:p>
        </w:tc>
        <w:tc>
          <w:tcPr>
            <w:tcW w:w="28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1,072,153,766</w:t>
            </w:r>
          </w:p>
        </w:tc>
        <w:tc>
          <w:tcPr>
            <w:tcW w:w="280" w:type="dxa"/>
            <w:vAlign w:val="bottom"/>
            <w:tcBorders>
              <w:bottom w:val="single" w:sz="8" w:color="CCEC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1,001,268,017</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25,360,185</w:t>
            </w:r>
          </w:p>
        </w:tc>
        <w:tc>
          <w:tcPr>
            <w:tcW w:w="28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25,364,034</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72,231,801</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1,111,461,130</w:t>
            </w:r>
          </w:p>
        </w:tc>
        <w:tc>
          <w:tcPr>
            <w:tcW w:w="2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1,097,517,800</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1,073,499,818</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FF0FC"/>
            </w:tcBorders>
          </w:tcPr>
          <w:p>
            <w:pPr>
              <w:spacing w:after="0"/>
              <w:rPr>
                <w:sz w:val="14"/>
                <w:szCs w:val="14"/>
                <w:color w:val="auto"/>
              </w:rPr>
            </w:pP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June 30, 2019 </w:t>
            </w:r>
            <w:r>
              <w:rPr>
                <w:rFonts w:ascii="Arial" w:cs="Arial" w:eastAsia="Arial" w:hAnsi="Arial"/>
                <w:sz w:val="12"/>
                <w:szCs w:val="12"/>
                <w:b w:val="1"/>
                <w:bCs w:val="1"/>
                <w:color w:val="auto"/>
              </w:rPr>
              <w:t>(1)</w:t>
            </w:r>
          </w:p>
        </w:tc>
        <w:tc>
          <w:tcPr>
            <w:tcW w:w="320" w:type="dxa"/>
            <w:vAlign w:val="bottom"/>
            <w:tcBorders>
              <w:bottom w:val="single" w:sz="8" w:color="CFF0FC"/>
            </w:tcBorders>
          </w:tcPr>
          <w:p>
            <w:pPr>
              <w:spacing w:after="0"/>
              <w:rPr>
                <w:sz w:val="14"/>
                <w:szCs w:val="14"/>
                <w:color w:val="auto"/>
              </w:rPr>
            </w:pP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September 30, 2018 </w:t>
            </w:r>
            <w:r>
              <w:rPr>
                <w:rFonts w:ascii="Arial" w:cs="Arial" w:eastAsia="Arial" w:hAnsi="Arial"/>
                <w:sz w:val="12"/>
                <w:szCs w:val="12"/>
                <w:b w:val="1"/>
                <w:bCs w:val="1"/>
                <w:color w:val="auto"/>
              </w:rPr>
              <w:t>(1)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8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Hotel, Gaming and Leisure</w:t>
            </w:r>
          </w:p>
        </w:tc>
        <w:tc>
          <w:tcPr>
            <w:tcW w:w="200" w:type="dxa"/>
            <w:vAlign w:val="bottom"/>
            <w:shd w:val="clear" w:color="auto" w:fill="CFF0FC"/>
          </w:tcPr>
          <w:p>
            <w:pPr>
              <w:spacing w:after="0"/>
              <w:rPr>
                <w:sz w:val="13"/>
                <w:szCs w:val="13"/>
                <w:color w:val="auto"/>
              </w:rPr>
            </w:pPr>
          </w:p>
        </w:tc>
        <w:tc>
          <w:tcPr>
            <w:tcW w:w="21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7%</w:t>
            </w:r>
          </w:p>
        </w:tc>
        <w:tc>
          <w:tcPr>
            <w:tcW w:w="1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Beverage, Food and Tobacco</w:t>
            </w: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Capital Equipment</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Media</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Business Services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Consumer Goods: Durable</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High Tech Industries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Aerospace and Defense</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Telecommunications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Consumer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Media: Diversified and Production</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Wholesale</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Software</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Banking, Finance, Insurance &amp; Real Estate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Diversified Financial Services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Media: Advertising, Printing and Publishing</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Professional Services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Building Products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Diversified Consumer Services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Commercial Services &amp; Supplies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Healthcare Technology</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Beverages</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Environmental Industries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8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Media: Broadcasting and Subscription</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color w:val="auto"/>
              </w:rPr>
              <w:t>All Other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CFF0FC"/>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shd w:val="clear" w:color="auto" w:fill="CFF0FC"/>
          </w:tcPr>
          <w:p>
            <w:pPr>
              <w:spacing w:after="0"/>
              <w:rPr>
                <w:sz w:val="13"/>
                <w:szCs w:val="13"/>
                <w:color w:val="auto"/>
              </w:rPr>
            </w:pPr>
          </w:p>
        </w:tc>
        <w:tc>
          <w:tcPr>
            <w:tcW w:w="4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1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4240" w:type="dxa"/>
            <w:vAlign w:val="bottom"/>
            <w:gridSpan w:val="2"/>
            <w:vMerge w:val="restart"/>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424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26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June 30, 2019, PSSL had total assets of $483.3 million. As of the same date, we and Kemper had remaining commitments to fund first lien secured debt and equity interests in PSSL in an aggregate amount of $12.5 million. PSSL invests in portfolio companies in the same industries in which we may directly invest.</w:t>
      </w:r>
    </w:p>
    <w:p>
      <w:pPr>
        <w:spacing w:after="0" w:line="10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2019, we and Kemper owned 87.5% and 12.5%, respectively, of each of the outstanding first lien secured debt and equity interests. As of the same date, our investment in PSSL consisted of first lien secured debt of $121.0 million and equity interests of $51.8 million. As of the same date, we had commitments to fund first lien secured debt to PSSL of $128.6 million, of which $7.6 million was unfunded. As of June 30, 2019, we had commitments to fund equity interests in PSSL of $55.1 million, of which $3.3 million was unfunded.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June 30, 2019 allowed PSSL Subsidiary to borrow up to $420.0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r>
      <w:tr>
        <w:trPr>
          <w:trHeight w:val="155"/>
        </w:trPr>
        <w:tc>
          <w:tcPr>
            <w:tcW w:w="5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1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469,969,339</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r>
      <w:tr>
        <w:trPr>
          <w:trHeight w:val="162"/>
        </w:trPr>
        <w:tc>
          <w:tcPr>
            <w:tcW w:w="50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22,137,382</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r>
      <w:tr>
        <w:trPr>
          <w:trHeight w:val="162"/>
        </w:trPr>
        <w:tc>
          <w:tcPr>
            <w:tcW w:w="50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3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103,217,607</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June 30, 2019: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color w:val="auto"/>
        </w:rPr>
        <w:t>P</w:t>
      </w:r>
      <w:r>
        <w:rPr>
          <w:rFonts w:ascii="Arial" w:cs="Arial" w:eastAsia="Arial" w:hAnsi="Arial"/>
          <w:sz w:val="14"/>
          <w:szCs w:val="14"/>
          <w:b w:val="1"/>
          <w:bCs w:val="1"/>
          <w:color w:val="auto"/>
        </w:rPr>
        <w:t>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4"/>
          </w:tcPr>
          <w:p>
            <w:pPr>
              <w:jc w:val="center"/>
              <w:ind w:right="24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2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20" w:type="dxa"/>
            <w:vAlign w:val="bottom"/>
          </w:tcPr>
          <w:p>
            <w:pPr>
              <w:ind w:left="460"/>
              <w:spacing w:after="0"/>
              <w:rPr>
                <w:sz w:val="20"/>
                <w:szCs w:val="20"/>
                <w:color w:val="auto"/>
              </w:rPr>
            </w:pPr>
            <w:r>
              <w:rPr>
                <w:rFonts w:ascii="Arial" w:cs="Arial" w:eastAsia="Arial" w:hAnsi="Arial"/>
                <w:sz w:val="11"/>
                <w:szCs w:val="11"/>
                <w:b w:val="1"/>
                <w:bCs w:val="1"/>
                <w:color w:val="auto"/>
              </w:rPr>
              <w:t>Maturity</w:t>
            </w:r>
          </w:p>
        </w:tc>
        <w:tc>
          <w:tcPr>
            <w:tcW w:w="2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2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9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w w:val="99"/>
              </w:rPr>
              <w:t>Investments in Non-Controlled, Non-Affiliated Portfolio Companies—810.7%</w:t>
            </w:r>
          </w:p>
        </w:tc>
        <w:tc>
          <w:tcPr>
            <w:tcW w:w="25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b w:val="1"/>
                <w:bCs w:val="1"/>
                <w:color w:val="auto"/>
              </w:rPr>
              <w:t>First Lien Secured Debt—784.7%</w:t>
            </w: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American Auto Auction Group,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01/02/2024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7.34%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L+475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7,788,947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7,713,247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7,711,057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05/16/2022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8.65%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L+725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13,966,474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13,703,235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13,966,474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Cadence Aerospace,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11/14/2023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11,765,000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11,669,308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11,656,385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Cardenas Markets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11/29/2023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8.15%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7,367,758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7,328,804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7,146,725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Challenger Performance Optimization,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08/31/2023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8.18%</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10,192,367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10,101,245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10,090,443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88"/>
              </w:rPr>
              <w:t>05/01/23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Country Fresh Holdings, LLC (Revolver)</w:t>
            </w:r>
          </w:p>
        </w:tc>
        <w:tc>
          <w:tcPr>
            <w:tcW w:w="1220" w:type="dxa"/>
            <w:vAlign w:val="bottom"/>
            <w:shd w:val="clear" w:color="auto" w:fill="CFF0FC"/>
          </w:tcPr>
          <w:p>
            <w:pPr>
              <w:jc w:val="center"/>
              <w:ind w:left="66"/>
              <w:spacing w:after="0"/>
              <w:rPr>
                <w:sz w:val="20"/>
                <w:szCs w:val="20"/>
                <w:color w:val="auto"/>
              </w:rPr>
            </w:pPr>
            <w:r>
              <w:rPr>
                <w:rFonts w:ascii="Arial" w:cs="Arial" w:eastAsia="Arial" w:hAnsi="Arial"/>
                <w:sz w:val="11"/>
                <w:szCs w:val="11"/>
                <w:color w:val="auto"/>
                <w:w w:val="88"/>
              </w:rPr>
              <w:t>05/01/23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7.33%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178,981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88"/>
              </w:rPr>
              <w:t>05/01/23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Deva Holdings,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10/31/2023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8.65%</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19,798,995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19,798,995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19,798,995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10/19/2022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12,343,750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12,177,552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12,220,312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Douglas Sewer Intermediate,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10/19/2022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8.08%</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8,187,165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8,132,821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8,105,293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05/31/2024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rPr>
              <w:t>L+525A $</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7,370,292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6,806,965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GCOM Software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11/14/2022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L+750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17,679,835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17,548,440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17,679,835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Good2Grow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11/18/2024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12,437,500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12,323,465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12,313,126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Good Source Solutions,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06/29/2023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14,486,250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14,362,677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13,982,621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GSM Holdings,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06/03/2024</w:t>
            </w:r>
          </w:p>
        </w:tc>
        <w:tc>
          <w:tcPr>
            <w:tcW w:w="272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19,718,741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19,567,681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19,521,554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IMIA Holdings,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10/28/2024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6.83%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12,437,500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12,380,182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12,375,312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Impact Group,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06/27/2023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L+650</w:t>
            </w:r>
          </w:p>
        </w:tc>
        <w:tc>
          <w:tcPr>
            <w:tcW w:w="560" w:type="dxa"/>
            <w:vAlign w:val="bottom"/>
          </w:tcPr>
          <w:p>
            <w:pPr>
              <w:jc w:val="right"/>
              <w:spacing w:after="0"/>
              <w:rPr>
                <w:sz w:val="20"/>
                <w:szCs w:val="20"/>
                <w:color w:val="auto"/>
              </w:rPr>
            </w:pPr>
            <w:r>
              <w:rPr>
                <w:rFonts w:ascii="Arial" w:cs="Arial" w:eastAsia="Arial" w:hAnsi="Arial"/>
                <w:sz w:val="11"/>
                <w:szCs w:val="11"/>
                <w:color w:val="auto"/>
              </w:rPr>
              <w:t>9,415,185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9,317,781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9,321,033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12/12/2023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6.06%</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L+425A $</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15,000,000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10,966,988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10,401,910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12/20/2023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19,674,203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19,688,865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LAV Gear Holdings,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10/31/2024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7.83%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9,858,961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9,911,725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09/12/2022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rPr>
              <w:t>L+575A $</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14,793,247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10,508,475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10,381,146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Long's Drugs Incorporated</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08/19/2022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17,865,000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17,724,092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17,686,350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05/01/2023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8.42%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tcPr>
          <w:p>
            <w:pPr>
              <w:jc w:val="right"/>
              <w:spacing w:after="0"/>
              <w:rPr>
                <w:sz w:val="20"/>
                <w:szCs w:val="20"/>
                <w:color w:val="auto"/>
              </w:rPr>
            </w:pPr>
            <w:r>
              <w:rPr>
                <w:rFonts w:ascii="Arial" w:cs="Arial" w:eastAsia="Arial" w:hAnsi="Arial"/>
                <w:sz w:val="11"/>
                <w:szCs w:val="11"/>
                <w:color w:val="auto"/>
              </w:rPr>
              <w:t>7,125,000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7,169,234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6,658,883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Manna Pro Products,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12/08/2023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6,895,000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6,811,021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6,690,130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01/27/2021</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7.21%</w:t>
            </w:r>
          </w:p>
        </w:tc>
        <w:tc>
          <w:tcPr>
            <w:tcW w:w="560" w:type="dxa"/>
            <w:vAlign w:val="bottom"/>
          </w:tcPr>
          <w:p>
            <w:pPr>
              <w:spacing w:after="0"/>
              <w:rPr>
                <w:sz w:val="11"/>
                <w:szCs w:val="1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w w:val="97"/>
              </w:rPr>
              <w:t>P+275C $</w:t>
            </w:r>
          </w:p>
        </w:tc>
        <w:tc>
          <w:tcPr>
            <w:tcW w:w="560" w:type="dxa"/>
            <w:vAlign w:val="bottom"/>
          </w:tcPr>
          <w:p>
            <w:pPr>
              <w:jc w:val="right"/>
              <w:spacing w:after="0"/>
              <w:rPr>
                <w:sz w:val="20"/>
                <w:szCs w:val="20"/>
                <w:color w:val="auto"/>
              </w:rPr>
            </w:pPr>
            <w:r>
              <w:rPr>
                <w:rFonts w:ascii="Arial" w:cs="Arial" w:eastAsia="Arial" w:hAnsi="Arial"/>
                <w:sz w:val="11"/>
                <w:szCs w:val="11"/>
                <w:color w:val="auto"/>
              </w:rPr>
              <w:t>5,775,254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4,468,226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4,419,554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Mission Critical Electronics,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09/28/2022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6,025,044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5,990,699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6,017,961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Morphe,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02/10/2023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16,678,402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16,575,814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16,595,010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New Milani Group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06/06/2024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6.69%</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14,887,500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14,760,960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14,738,625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Olde Thompson,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05/14/2024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12,611,667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12,485,550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12,611,667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Output Services Group,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03/27/2024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6.65%</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7,903,419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7,931,431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7,073,560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06/01/2023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9,860,482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9,881,344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PH Beauty Holdings III,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09/29/2025</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10,917,500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10,816,718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10,808,325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10/19/2022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1,762,835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1,739,384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1,745,207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PlayPower,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9"/>
              </w:rPr>
              <w:t>05/8/2026</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4,158,218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4,205,250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Smile Brands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10/14/2024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11,318,125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11,213,908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11,204,944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Snak Club,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07/19/2021</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8.44%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4,124,996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12/01/2022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15,263,579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15,266,582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15,263,579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The Infosoft Group,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12/02/2021</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6M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8,988,029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8,950,390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8,898,149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UBEO,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04/03/2024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22,360,991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22,150,179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22,137,382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Urology Management Associates,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08/30/2024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8,436,250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8,302,714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8,436,250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US Dominion,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07/15/2024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9.16%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L+675</w:t>
            </w:r>
          </w:p>
        </w:tc>
        <w:tc>
          <w:tcPr>
            <w:tcW w:w="560" w:type="dxa"/>
            <w:vAlign w:val="bottom"/>
          </w:tcPr>
          <w:p>
            <w:pPr>
              <w:jc w:val="right"/>
              <w:spacing w:after="0"/>
              <w:rPr>
                <w:sz w:val="20"/>
                <w:szCs w:val="20"/>
                <w:color w:val="auto"/>
              </w:rPr>
            </w:pPr>
            <w:r>
              <w:rPr>
                <w:rFonts w:ascii="Arial" w:cs="Arial" w:eastAsia="Arial" w:hAnsi="Arial"/>
                <w:sz w:val="11"/>
                <w:szCs w:val="11"/>
                <w:color w:val="auto"/>
              </w:rPr>
              <w:t>3,960,000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3,899,682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3,960,000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Walker Edison Furniture Company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09/26/2024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9.10%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16,103,656</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15,813,761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16,200,279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10/18/2022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9.91%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L+900</w:t>
            </w:r>
          </w:p>
        </w:tc>
        <w:tc>
          <w:tcPr>
            <w:tcW w:w="560" w:type="dxa"/>
            <w:vAlign w:val="bottom"/>
          </w:tcPr>
          <w:p>
            <w:pPr>
              <w:jc w:val="right"/>
              <w:spacing w:after="0"/>
              <w:rPr>
                <w:sz w:val="20"/>
                <w:szCs w:val="20"/>
                <w:color w:val="auto"/>
              </w:rPr>
            </w:pPr>
            <w:r>
              <w:rPr>
                <w:rFonts w:ascii="Arial" w:cs="Arial" w:eastAsia="Arial" w:hAnsi="Arial"/>
                <w:sz w:val="11"/>
                <w:szCs w:val="11"/>
                <w:color w:val="auto"/>
              </w:rPr>
              <w:t>5,501,362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5,419,531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5,501,362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Xebec Global Holdings,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02/12/2024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6,698,853</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6,674,853</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6,682,106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2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457,680,287</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454,929,121</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Second Lien Secured Debt—14.5%</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04/29/2024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10.83%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L+850</w:t>
            </w:r>
          </w:p>
        </w:tc>
        <w:tc>
          <w:tcPr>
            <w:tcW w:w="560" w:type="dxa"/>
            <w:vAlign w:val="bottom"/>
          </w:tcPr>
          <w:p>
            <w:pPr>
              <w:jc w:val="right"/>
              <w:spacing w:after="0"/>
              <w:rPr>
                <w:sz w:val="20"/>
                <w:szCs w:val="20"/>
                <w:color w:val="auto"/>
              </w:rPr>
            </w:pPr>
            <w:r>
              <w:rPr>
                <w:rFonts w:ascii="Arial" w:cs="Arial" w:eastAsia="Arial" w:hAnsi="Arial"/>
                <w:sz w:val="11"/>
                <w:szCs w:val="11"/>
                <w:color w:val="auto"/>
              </w:rPr>
              <w:t>846,936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846,936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846,936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10.83%)</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03/26/2021</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DBI Holding, LLC, Term Loan 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02/02/2026</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spacing w:after="0"/>
              <w:rPr>
                <w:sz w:val="11"/>
                <w:szCs w:val="11"/>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2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8,469,434</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8,431,398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Equity Securities—11.4%</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20" w:type="dxa"/>
            <w:vAlign w:val="bottom"/>
          </w:tcPr>
          <w:p>
            <w:pPr>
              <w:ind w:left="680"/>
              <w:spacing w:after="0"/>
              <w:rPr>
                <w:sz w:val="20"/>
                <w:szCs w:val="20"/>
                <w:color w:val="auto"/>
              </w:rPr>
            </w:pPr>
            <w:r>
              <w:rPr>
                <w:rFonts w:ascii="Arial" w:cs="Arial" w:eastAsia="Arial" w:hAnsi="Arial"/>
                <w:sz w:val="11"/>
                <w:szCs w:val="11"/>
                <w:color w:val="auto"/>
              </w:rPr>
              <w:t>—</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DBI Holding, LLC, Series A-1</w:t>
            </w:r>
          </w:p>
        </w:tc>
        <w:tc>
          <w:tcPr>
            <w:tcW w:w="1220" w:type="dxa"/>
            <w:vAlign w:val="bottom"/>
            <w:shd w:val="clear" w:color="auto" w:fill="CFF0FC"/>
          </w:tcPr>
          <w:p>
            <w:pPr>
              <w:ind w:left="680"/>
              <w:spacing w:after="0"/>
              <w:rPr>
                <w:sz w:val="20"/>
                <w:szCs w:val="20"/>
                <w:color w:val="auto"/>
              </w:rPr>
            </w:pPr>
            <w:r>
              <w:rPr>
                <w:rFonts w:ascii="Arial" w:cs="Arial" w:eastAsia="Arial" w:hAnsi="Arial"/>
                <w:sz w:val="11"/>
                <w:szCs w:val="11"/>
                <w:color w:val="auto"/>
              </w:rPr>
              <w:t>—</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5,034,806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DBI Holding, LLC, Series B</w:t>
            </w:r>
          </w:p>
        </w:tc>
        <w:tc>
          <w:tcPr>
            <w:tcW w:w="1220" w:type="dxa"/>
            <w:vAlign w:val="bottom"/>
            <w:tcBorders>
              <w:bottom w:val="single" w:sz="8" w:color="CFF0FC"/>
            </w:tcBorders>
          </w:tcPr>
          <w:p>
            <w:pPr>
              <w:ind w:left="680"/>
              <w:spacing w:after="0"/>
              <w:rPr>
                <w:sz w:val="20"/>
                <w:szCs w:val="20"/>
                <w:color w:val="auto"/>
              </w:rPr>
            </w:pPr>
            <w:r>
              <w:rPr>
                <w:rFonts w:ascii="Arial" w:cs="Arial" w:eastAsia="Arial" w:hAnsi="Arial"/>
                <w:sz w:val="11"/>
                <w:szCs w:val="11"/>
                <w:color w:val="auto"/>
              </w:rPr>
              <w:t>—</w:t>
            </w:r>
          </w:p>
        </w:tc>
        <w:tc>
          <w:tcPr>
            <w:tcW w:w="272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gridSpan w:val="3"/>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160,208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Equity Securities</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6,608,821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1"/>
              </w:rPr>
              <w:t>473,133,658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469,969,339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Equivalents—16.8%</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7,556,272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7,556,272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US Bank Cash</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2,196,606</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2,202,887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2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9,752,878</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9,759,159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Investments and Cash Equivalents—827.5%</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1"/>
              </w:rPr>
              <w:t>482,886,536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479,728,498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Assets—(727.5)%</w:t>
            </w:r>
          </w:p>
        </w:tc>
        <w:tc>
          <w:tcPr>
            <w:tcW w:w="122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(421,755,865)</w:t>
            </w:r>
          </w:p>
        </w:tc>
        <w:tc>
          <w:tcPr>
            <w:tcW w:w="0" w:type="dxa"/>
            <w:vAlign w:val="bottom"/>
          </w:tcPr>
          <w:p>
            <w:pPr>
              <w:spacing w:after="0"/>
              <w:rPr>
                <w:sz w:val="1"/>
                <w:szCs w:val="1"/>
                <w:color w:val="auto"/>
              </w:rPr>
            </w:pPr>
          </w:p>
        </w:tc>
      </w:tr>
      <w:tr>
        <w:trPr>
          <w:trHeight w:val="128"/>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Members' Equity—100.0%</w:t>
            </w:r>
          </w:p>
        </w:tc>
        <w:tc>
          <w:tcPr>
            <w:tcW w:w="1220" w:type="dxa"/>
            <w:vAlign w:val="bottom"/>
            <w:tcBorders>
              <w:top w:val="single" w:sz="8" w:color="CFF0FC"/>
              <w:bottom w:val="single" w:sz="8" w:color="CFF0FC"/>
            </w:tcBorders>
            <w:shd w:val="clear" w:color="auto" w:fill="CFF0FC"/>
          </w:tcPr>
          <w:p>
            <w:pPr>
              <w:spacing w:after="0"/>
              <w:rPr>
                <w:sz w:val="11"/>
                <w:szCs w:val="11"/>
                <w:color w:val="auto"/>
              </w:rPr>
            </w:pPr>
          </w:p>
        </w:tc>
        <w:tc>
          <w:tcPr>
            <w:tcW w:w="25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600" w:type="dxa"/>
            <w:vAlign w:val="bottom"/>
            <w:tcBorders>
              <w:top w:val="single" w:sz="8" w:color="CFF0FC"/>
              <w:bottom w:val="single" w:sz="8" w:color="CFF0FC"/>
            </w:tcBorders>
            <w:shd w:val="clear" w:color="auto" w:fill="CFF0FC"/>
          </w:tcPr>
          <w:p>
            <w:pPr>
              <w:spacing w:after="0"/>
              <w:rPr>
                <w:sz w:val="11"/>
                <w:szCs w:val="11"/>
                <w:color w:val="auto"/>
              </w:rPr>
            </w:pP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CFF0FC"/>
              <w:bottom w:val="single" w:sz="8" w:color="CFF0FC"/>
            </w:tcBorders>
            <w:shd w:val="clear" w:color="auto" w:fill="CFF0FC"/>
          </w:tcPr>
          <w:p>
            <w:pPr>
              <w:spacing w:after="0"/>
              <w:rPr>
                <w:sz w:val="11"/>
                <w:szCs w:val="11"/>
                <w:color w:val="auto"/>
              </w:rPr>
            </w:pPr>
          </w:p>
        </w:tc>
        <w:tc>
          <w:tcPr>
            <w:tcW w:w="3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60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57,972,633</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62"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tbl>
      <w:tblPr>
        <w:tblLayout w:type="fixed"/>
        <w:tblInd w:w="0" w:type="dxa"/>
        <w:tblCellMar>
          <w:top w:w="0" w:type="dxa"/>
          <w:left w:w="0" w:type="dxa"/>
          <w:bottom w:w="0" w:type="dxa"/>
          <w:right w:w="0" w:type="dxa"/>
        </w:tblCellMar>
      </w:tblPr>
      <w:tr>
        <w:trPr>
          <w:trHeight w:val="135"/>
        </w:trPr>
        <w:tc>
          <w:tcPr>
            <w:tcW w:w="2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Arial" w:cs="Arial" w:eastAsia="Arial" w:hAnsi="Arial"/>
                <w:sz w:val="12"/>
                <w:szCs w:val="12"/>
                <w:b w:val="1"/>
                <w:bCs w:val="1"/>
                <w:color w:val="auto"/>
                <w:w w:val="82"/>
              </w:rPr>
              <w:t>Basis Point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w w:val="92"/>
              </w:rPr>
              <w:t>Current</w:t>
            </w:r>
          </w:p>
        </w:tc>
        <w:tc>
          <w:tcPr>
            <w:tcW w:w="1100" w:type="dxa"/>
            <w:vAlign w:val="bottom"/>
            <w:gridSpan w:val="4"/>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left="62"/>
              <w:spacing w:after="0"/>
              <w:rPr>
                <w:sz w:val="20"/>
                <w:szCs w:val="20"/>
                <w:color w:val="auto"/>
              </w:rPr>
            </w:pPr>
            <w:r>
              <w:rPr>
                <w:rFonts w:ascii="Arial" w:cs="Arial" w:eastAsia="Arial" w:hAnsi="Arial"/>
                <w:sz w:val="12"/>
                <w:szCs w:val="12"/>
                <w:b w:val="1"/>
                <w:bCs w:val="1"/>
                <w:color w:val="auto"/>
                <w:w w:val="98"/>
              </w:rPr>
              <w:t>Maturity</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Industry</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Coupon</w:t>
            </w:r>
          </w:p>
        </w:tc>
        <w:tc>
          <w:tcPr>
            <w:tcW w:w="110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Par</w:t>
            </w:r>
          </w:p>
        </w:tc>
        <w:tc>
          <w:tcPr>
            <w:tcW w:w="10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(2)</w:t>
            </w: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3"/>
              </w:rPr>
              <w:t>Investments in Non-Controlled, Non-Affiliated Portfolio Companies—830.9%</w:t>
            </w:r>
          </w:p>
        </w:tc>
        <w:tc>
          <w:tcPr>
            <w:tcW w:w="256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4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3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04/04/2022</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Healthcare and Pharmaceuticals</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6.99%</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L+475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11/30/2021</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Transportation: Consumer</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7.34%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L+525</w:t>
            </w:r>
          </w:p>
        </w:tc>
        <w:tc>
          <w:tcPr>
            <w:tcW w:w="600" w:type="dxa"/>
            <w:vAlign w:val="bottom"/>
          </w:tcPr>
          <w:p>
            <w:pPr>
              <w:jc w:val="right"/>
              <w:spacing w:after="0"/>
              <w:rPr>
                <w:sz w:val="20"/>
                <w:szCs w:val="20"/>
                <w:color w:val="auto"/>
              </w:rPr>
            </w:pPr>
            <w:r>
              <w:rPr>
                <w:rFonts w:ascii="Arial" w:cs="Arial" w:eastAsia="Arial" w:hAnsi="Arial"/>
                <w:sz w:val="12"/>
                <w:szCs w:val="12"/>
                <w:color w:val="auto"/>
              </w:rPr>
              <w:t>4,949,622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4,910,720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08/01/2024</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0"/>
              </w:rPr>
              <w:t>Construction and Building</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6.70%</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L+450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04/22/2024</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Aerospace and Defense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8.25%</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L+600</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04/06/2023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7.00%</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L+475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21,259,078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05/16/2022</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High Tech Industries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9.57%</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L+725</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10,761,235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11/14/2023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Aerospace and Defense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8.83%</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L+650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11,854,375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11/29/2023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7.99%</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L+575</w:t>
            </w:r>
          </w:p>
        </w:tc>
        <w:tc>
          <w:tcPr>
            <w:tcW w:w="600" w:type="dxa"/>
            <w:vAlign w:val="bottom"/>
          </w:tcPr>
          <w:p>
            <w:pPr>
              <w:jc w:val="right"/>
              <w:spacing w:after="0"/>
              <w:rPr>
                <w:sz w:val="20"/>
                <w:szCs w:val="20"/>
                <w:color w:val="auto"/>
              </w:rPr>
            </w:pPr>
            <w:r>
              <w:rPr>
                <w:rFonts w:ascii="Arial" w:cs="Arial" w:eastAsia="Arial" w:hAnsi="Arial"/>
                <w:sz w:val="12"/>
                <w:szCs w:val="12"/>
                <w:color w:val="auto"/>
              </w:rPr>
              <w:t>7,424,433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7,381,442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08/31/2023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7.85%</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L+575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10,387,126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03/31/2023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7.39%</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L+500</w:t>
            </w:r>
          </w:p>
        </w:tc>
        <w:tc>
          <w:tcPr>
            <w:tcW w:w="600" w:type="dxa"/>
            <w:vAlign w:val="bottom"/>
          </w:tcPr>
          <w:p>
            <w:pPr>
              <w:jc w:val="right"/>
              <w:spacing w:after="0"/>
              <w:rPr>
                <w:sz w:val="20"/>
                <w:szCs w:val="20"/>
                <w:color w:val="auto"/>
              </w:rPr>
            </w:pPr>
            <w:r>
              <w:rPr>
                <w:rFonts w:ascii="Arial" w:cs="Arial" w:eastAsia="Arial" w:hAnsi="Arial"/>
                <w:sz w:val="12"/>
                <w:szCs w:val="12"/>
                <w:color w:val="auto"/>
              </w:rPr>
              <w:t>4,348,465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4,348,465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08/02/2021</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7.51%</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L+525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12,437,500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10/31/2023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7.74%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L+550</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19,949,749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12/29/2023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1"/>
              </w:rPr>
              <w:t>Media: Advertising, Printing and Publishing</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7.25%</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L+500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03/29/2022</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Chemicals, Plastics and Rubber</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8.14%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L+575</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12,437,500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09/30/2022</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6.86%</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L+475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05/30/2025</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Transportation: Cargo</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6.64%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L+425</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10,345,500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05/31/2024</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Banking, Finance, Insurance and Real Estate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7.23%</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L+525A $</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11/14/2022</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High Tech Industries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9.67%</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L+750</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14,666,667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06/29/2023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8.39%</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L+600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14,871,563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06/03/2024</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6.87%</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L+450</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15,461,250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06/27/2023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Wholesale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8.64%</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L+625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12/12/2023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Wholesale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6.64%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L+475A $</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08/19/2022</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Healthcare and Pharmaceuticals</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7.12%</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L+500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18,000,000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05/01/2023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Retail</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8.12%</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L+600</w:t>
            </w:r>
          </w:p>
        </w:tc>
        <w:tc>
          <w:tcPr>
            <w:tcW w:w="600" w:type="dxa"/>
            <w:vAlign w:val="bottom"/>
          </w:tcPr>
          <w:p>
            <w:pPr>
              <w:jc w:val="right"/>
              <w:spacing w:after="0"/>
              <w:rPr>
                <w:sz w:val="20"/>
                <w:szCs w:val="20"/>
                <w:color w:val="auto"/>
              </w:rPr>
            </w:pPr>
            <w:r>
              <w:rPr>
                <w:rFonts w:ascii="Arial" w:cs="Arial" w:eastAsia="Arial" w:hAnsi="Arial"/>
                <w:sz w:val="12"/>
                <w:szCs w:val="12"/>
                <w:color w:val="auto"/>
              </w:rPr>
              <w:t>7,265,625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7,319,871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12/08/2023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8.15%</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L+600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01/27/2021</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Media: Diversified and Production</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7.08%</w:t>
            </w:r>
          </w:p>
        </w:tc>
        <w:tc>
          <w:tcPr>
            <w:tcW w:w="540" w:type="dxa"/>
            <w:vAlign w:val="bottom"/>
          </w:tcPr>
          <w:p>
            <w:pPr>
              <w:spacing w:after="0"/>
              <w:rPr>
                <w:sz w:val="12"/>
                <w:szCs w:val="12"/>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color w:val="auto"/>
                <w:w w:val="96"/>
              </w:rPr>
              <w:t>P+275C $</w:t>
            </w:r>
          </w:p>
        </w:tc>
        <w:tc>
          <w:tcPr>
            <w:tcW w:w="600" w:type="dxa"/>
            <w:vAlign w:val="bottom"/>
          </w:tcPr>
          <w:p>
            <w:pPr>
              <w:jc w:val="right"/>
              <w:spacing w:after="0"/>
              <w:rPr>
                <w:sz w:val="20"/>
                <w:szCs w:val="20"/>
                <w:color w:val="auto"/>
              </w:rPr>
            </w:pPr>
            <w:r>
              <w:rPr>
                <w:rFonts w:ascii="Arial" w:cs="Arial" w:eastAsia="Arial" w:hAnsi="Arial"/>
                <w:sz w:val="12"/>
                <w:szCs w:val="12"/>
                <w:color w:val="auto"/>
              </w:rPr>
              <w:t>5,820,254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4,486,587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12/27/2023</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6.71%</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L+450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09/30/2024</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High Tech Industries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6.74%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L+450</w:t>
            </w:r>
          </w:p>
        </w:tc>
        <w:tc>
          <w:tcPr>
            <w:tcW w:w="600" w:type="dxa"/>
            <w:vAlign w:val="bottom"/>
          </w:tcPr>
          <w:p>
            <w:pPr>
              <w:jc w:val="right"/>
              <w:spacing w:after="0"/>
              <w:rPr>
                <w:sz w:val="20"/>
                <w:szCs w:val="20"/>
                <w:color w:val="auto"/>
              </w:rPr>
            </w:pPr>
            <w:r>
              <w:rPr>
                <w:rFonts w:ascii="Arial" w:cs="Arial" w:eastAsia="Arial" w:hAnsi="Arial"/>
                <w:sz w:val="12"/>
                <w:szCs w:val="12"/>
                <w:color w:val="auto"/>
              </w:rPr>
              <w:t>7,425,000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7,359,161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09/28/2022</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7.20%</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L+500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02/10/2023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8.40%</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L+600</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17,355,538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06/06/2024</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6.37%</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L+425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05/14/2024</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6.66%</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L+450</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13,965,000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03/27/2024</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6.49%</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L+425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07/19/2021</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8.10%</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L+600</w:t>
            </w:r>
          </w:p>
        </w:tc>
        <w:tc>
          <w:tcPr>
            <w:tcW w:w="600" w:type="dxa"/>
            <w:vAlign w:val="bottom"/>
          </w:tcPr>
          <w:p>
            <w:pPr>
              <w:jc w:val="right"/>
              <w:spacing w:after="0"/>
              <w:rPr>
                <w:sz w:val="20"/>
                <w:szCs w:val="20"/>
                <w:color w:val="auto"/>
              </w:rPr>
            </w:pPr>
            <w:r>
              <w:rPr>
                <w:rFonts w:ascii="Arial" w:cs="Arial" w:eastAsia="Arial" w:hAnsi="Arial"/>
                <w:sz w:val="12"/>
                <w:szCs w:val="12"/>
                <w:color w:val="auto"/>
              </w:rPr>
              <w:t>4,687,495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4,687,495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12/01/2022</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6.49%</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L+425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15,379,790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12/02/2021</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Media: Broadcasting and Subscription</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7.58%</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L+525</w:t>
            </w: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10,516,049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04/03/2024</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6.60%</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L+450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12,468,750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08/30/2024</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Healthcare and Pharmaceuticals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7.24%</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L+500</w:t>
            </w:r>
          </w:p>
        </w:tc>
        <w:tc>
          <w:tcPr>
            <w:tcW w:w="600" w:type="dxa"/>
            <w:vAlign w:val="bottom"/>
          </w:tcPr>
          <w:p>
            <w:pPr>
              <w:jc w:val="right"/>
              <w:spacing w:after="0"/>
              <w:rPr>
                <w:sz w:val="20"/>
                <w:szCs w:val="20"/>
                <w:color w:val="auto"/>
              </w:rPr>
            </w:pPr>
            <w:r>
              <w:rPr>
                <w:rFonts w:ascii="Arial" w:cs="Arial" w:eastAsia="Arial" w:hAnsi="Arial"/>
                <w:sz w:val="12"/>
                <w:szCs w:val="12"/>
                <w:color w:val="auto"/>
              </w:rPr>
              <w:t>8,500,000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8,352,305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07/15/2024</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9.14%</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L+675</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ind w:left="62"/>
              <w:spacing w:after="0"/>
              <w:rPr>
                <w:sz w:val="20"/>
                <w:szCs w:val="20"/>
                <w:color w:val="auto"/>
              </w:rPr>
            </w:pPr>
            <w:r>
              <w:rPr>
                <w:rFonts w:ascii="Arial" w:cs="Arial" w:eastAsia="Arial" w:hAnsi="Arial"/>
                <w:sz w:val="12"/>
                <w:szCs w:val="12"/>
                <w:color w:val="auto"/>
                <w:w w:val="89"/>
              </w:rPr>
              <w:t>03/01/2023</w:t>
            </w:r>
          </w:p>
        </w:tc>
        <w:tc>
          <w:tcPr>
            <w:tcW w:w="270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8.25%</w:t>
            </w:r>
          </w:p>
        </w:tc>
        <w:tc>
          <w:tcPr>
            <w:tcW w:w="540" w:type="dxa"/>
            <w:vAlign w:val="bottom"/>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L+600</w:t>
            </w:r>
          </w:p>
        </w:tc>
        <w:tc>
          <w:tcPr>
            <w:tcW w:w="600" w:type="dxa"/>
            <w:vAlign w:val="bottom"/>
          </w:tcPr>
          <w:p>
            <w:pPr>
              <w:jc w:val="right"/>
              <w:spacing w:after="0"/>
              <w:rPr>
                <w:sz w:val="20"/>
                <w:szCs w:val="20"/>
                <w:color w:val="auto"/>
              </w:rPr>
            </w:pPr>
            <w:r>
              <w:rPr>
                <w:rFonts w:ascii="Arial" w:cs="Arial" w:eastAsia="Arial" w:hAnsi="Arial"/>
                <w:sz w:val="12"/>
                <w:szCs w:val="12"/>
                <w:color w:val="auto"/>
              </w:rPr>
              <w:t>4,625,000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4,678,730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ind w:left="62"/>
              <w:spacing w:after="0"/>
              <w:rPr>
                <w:sz w:val="20"/>
                <w:szCs w:val="20"/>
                <w:color w:val="auto"/>
              </w:rPr>
            </w:pPr>
            <w:r>
              <w:rPr>
                <w:rFonts w:ascii="Arial" w:cs="Arial" w:eastAsia="Arial" w:hAnsi="Arial"/>
                <w:sz w:val="12"/>
                <w:szCs w:val="12"/>
                <w:color w:val="auto"/>
                <w:w w:val="89"/>
              </w:rPr>
              <w:t>10/18/2022</w:t>
            </w:r>
          </w:p>
        </w:tc>
        <w:tc>
          <w:tcPr>
            <w:tcW w:w="27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Aerospace and Defense</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11.25%</w:t>
            </w:r>
          </w:p>
        </w:tc>
        <w:tc>
          <w:tcPr>
            <w:tcW w:w="54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L+900</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ind w:left="62"/>
              <w:spacing w:after="0"/>
              <w:rPr>
                <w:sz w:val="20"/>
                <w:szCs w:val="20"/>
                <w:color w:val="auto"/>
              </w:rPr>
            </w:pPr>
            <w:r>
              <w:rPr>
                <w:rFonts w:ascii="Arial" w:cs="Arial" w:eastAsia="Arial" w:hAnsi="Arial"/>
                <w:sz w:val="12"/>
                <w:szCs w:val="12"/>
                <w:color w:val="auto"/>
                <w:w w:val="89"/>
              </w:rPr>
              <w:t>02/12/2024</w:t>
            </w:r>
          </w:p>
        </w:tc>
        <w:tc>
          <w:tcPr>
            <w:tcW w:w="2700" w:type="dxa"/>
            <w:vAlign w:val="bottom"/>
            <w:tcBorders>
              <w:bottom w:val="single" w:sz="8" w:color="CCECFF"/>
            </w:tcBorders>
            <w:gridSpan w:val="2"/>
          </w:tcPr>
          <w:p>
            <w:pPr>
              <w:jc w:val="center"/>
              <w:ind w:right="220"/>
              <w:spacing w:after="0"/>
              <w:rPr>
                <w:sz w:val="20"/>
                <w:szCs w:val="20"/>
                <w:color w:val="auto"/>
              </w:rPr>
            </w:pPr>
            <w:r>
              <w:rPr>
                <w:rFonts w:ascii="Arial" w:cs="Arial" w:eastAsia="Arial" w:hAnsi="Arial"/>
                <w:sz w:val="12"/>
                <w:szCs w:val="12"/>
                <w:color w:val="auto"/>
                <w:w w:val="86"/>
              </w:rPr>
              <w:t>Aerospace and Defense</w:t>
            </w:r>
          </w:p>
        </w:tc>
        <w:tc>
          <w:tcPr>
            <w:tcW w:w="70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7.84%</w:t>
            </w:r>
          </w:p>
        </w:tc>
        <w:tc>
          <w:tcPr>
            <w:tcW w:w="5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w w:val="95"/>
              </w:rPr>
              <w:t>3M</w:t>
            </w:r>
          </w:p>
        </w:tc>
        <w:tc>
          <w:tcPr>
            <w:tcW w:w="560" w:type="dxa"/>
            <w:vAlign w:val="bottom"/>
            <w:tcBorders>
              <w:bottom w:val="single" w:sz="8" w:color="CCECFF"/>
            </w:tcBorders>
            <w:gridSpan w:val="3"/>
          </w:tcPr>
          <w:p>
            <w:pPr>
              <w:ind w:left="20"/>
              <w:spacing w:after="0"/>
              <w:rPr>
                <w:sz w:val="20"/>
                <w:szCs w:val="20"/>
                <w:color w:val="auto"/>
              </w:rPr>
            </w:pPr>
            <w:r>
              <w:rPr>
                <w:rFonts w:ascii="Arial" w:cs="Arial" w:eastAsia="Arial" w:hAnsi="Arial"/>
                <w:sz w:val="12"/>
                <w:szCs w:val="12"/>
                <w:color w:val="auto"/>
              </w:rPr>
              <w:t>L+550</w:t>
            </w:r>
          </w:p>
        </w:tc>
        <w:tc>
          <w:tcPr>
            <w:tcW w:w="6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25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4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6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4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6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8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4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top w:val="single" w:sz="8" w:color="CCECFF"/>
              <w:bottom w:val="single" w:sz="8" w:color="CCECFF"/>
            </w:tcBorders>
            <w:shd w:val="clear" w:color="auto" w:fill="CCECFF"/>
          </w:tcPr>
          <w:p>
            <w:pPr>
              <w:spacing w:after="0"/>
              <w:rPr>
                <w:sz w:val="12"/>
                <w:szCs w:val="12"/>
                <w:color w:val="auto"/>
              </w:rPr>
            </w:pPr>
          </w:p>
        </w:tc>
        <w:tc>
          <w:tcPr>
            <w:tcW w:w="256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CCECFF"/>
              <w:bottom w:val="single" w:sz="8" w:color="CCECFF"/>
            </w:tcBorders>
            <w:shd w:val="clear" w:color="auto" w:fill="CCECFF"/>
          </w:tcPr>
          <w:p>
            <w:pPr>
              <w:spacing w:after="0"/>
              <w:rPr>
                <w:sz w:val="12"/>
                <w:szCs w:val="12"/>
                <w:color w:val="auto"/>
              </w:rPr>
            </w:pPr>
          </w:p>
        </w:tc>
        <w:tc>
          <w:tcPr>
            <w:tcW w:w="4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540" w:type="dxa"/>
            <w:vAlign w:val="bottom"/>
            <w:tcBorders>
              <w:top w:val="single" w:sz="8" w:color="CCECFF"/>
              <w:bottom w:val="single" w:sz="8" w:color="CCECFF"/>
            </w:tcBorders>
            <w:shd w:val="clear" w:color="auto" w:fill="CCECFF"/>
          </w:tcPr>
          <w:p>
            <w:pPr>
              <w:spacing w:after="0"/>
              <w:rPr>
                <w:sz w:val="12"/>
                <w:szCs w:val="12"/>
                <w:color w:val="auto"/>
              </w:rPr>
            </w:pPr>
          </w:p>
        </w:tc>
        <w:tc>
          <w:tcPr>
            <w:tcW w:w="34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60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64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76"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6"/>
        </w:trPr>
        <w:tc>
          <w:tcPr>
            <w:tcW w:w="7720" w:type="dxa"/>
            <w:vAlign w:val="bottom"/>
          </w:tcPr>
          <w:p>
            <w:pPr>
              <w:ind w:left="4100"/>
              <w:spacing w:after="0"/>
              <w:rPr>
                <w:sz w:val="20"/>
                <w:szCs w:val="20"/>
                <w:color w:val="auto"/>
              </w:rPr>
            </w:pPr>
            <w:r>
              <w:rPr>
                <w:rFonts w:ascii="Arial" w:cs="Arial" w:eastAsia="Arial" w:hAnsi="Arial"/>
                <w:sz w:val="14"/>
                <w:szCs w:val="14"/>
                <w:b w:val="1"/>
                <w:bCs w:val="1"/>
                <w:color w:val="auto"/>
              </w:rPr>
              <w:t>PennantPark Senior Secured Loan Fund I LLC</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7720" w:type="dxa"/>
            <w:vAlign w:val="bottom"/>
          </w:tcPr>
          <w:p>
            <w:pPr>
              <w:ind w:left="4460"/>
              <w:spacing w:after="0"/>
              <w:rPr>
                <w:sz w:val="20"/>
                <w:szCs w:val="20"/>
                <w:color w:val="auto"/>
              </w:rPr>
            </w:pPr>
            <w:r>
              <w:rPr>
                <w:rFonts w:ascii="Arial" w:cs="Arial" w:eastAsia="Arial" w:hAnsi="Arial"/>
                <w:sz w:val="14"/>
                <w:szCs w:val="14"/>
                <w:b w:val="1"/>
                <w:bCs w:val="1"/>
                <w:color w:val="auto"/>
              </w:rPr>
              <w:t>Statements of Assets and Liabilities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0"/>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(cost—$473,133,658 and $425,336,210, respectively)</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469,969,339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(cost—$9,752,878 and $13,520,127,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9,759,159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2,116,251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1,423,333</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483,268,082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285,450,977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Notes payable to members</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138,250,000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1,113,520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notes to members</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119,009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361,943</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425,295,449</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57,972,633</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483,268,082</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As of June 30, 2019 and September 30, 2018, PSSL had unfunded commitments to fund investments of $0.3 million and zero, respectively.</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56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r>
      <w:tr>
        <w:trPr>
          <w:trHeight w:val="155"/>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9,870,920</w:t>
            </w:r>
          </w:p>
        </w:tc>
        <w:tc>
          <w:tcPr>
            <w:tcW w:w="14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5,281,955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29,791,971</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74"/>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10,379,097</w:t>
            </w: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220,500</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519,443</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tcBorders>
              <w:bottom w:val="single" w:sz="8" w:color="CCECFF"/>
            </w:tcBorders>
          </w:tcPr>
          <w:p>
            <w:pPr>
              <w:spacing w:after="0"/>
              <w:rPr>
                <w:sz w:val="14"/>
                <w:szCs w:val="14"/>
                <w:color w:val="auto"/>
              </w:rPr>
            </w:pPr>
          </w:p>
        </w:tc>
      </w:tr>
      <w:tr>
        <w:trPr>
          <w:trHeight w:val="156"/>
        </w:trPr>
        <w:tc>
          <w:tcPr>
            <w:tcW w:w="56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10,091,420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5,288,174</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30,311,414</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10,397,535</w:t>
            </w:r>
          </w:p>
        </w:tc>
        <w:tc>
          <w:tcPr>
            <w:tcW w:w="100" w:type="dxa"/>
            <w:vAlign w:val="bottom"/>
            <w:shd w:val="clear" w:color="auto" w:fill="CCECFF"/>
          </w:tcPr>
          <w:p>
            <w:pPr>
              <w:spacing w:after="0"/>
              <w:rPr>
                <w:sz w:val="13"/>
                <w:szCs w:val="13"/>
                <w:color w:val="auto"/>
              </w:rPr>
            </w:pPr>
          </w:p>
        </w:tc>
      </w:tr>
      <w:tr>
        <w:trPr>
          <w:trHeight w:val="155"/>
        </w:trPr>
        <w:tc>
          <w:tcPr>
            <w:tcW w:w="56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4,145,313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2,321,809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12,568,962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4,279,645</w:t>
            </w: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3,701,558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1,772,798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10,595,874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3,411,498</w:t>
            </w:r>
          </w:p>
        </w:tc>
        <w:tc>
          <w:tcPr>
            <w:tcW w:w="100" w:type="dxa"/>
            <w:vAlign w:val="bottom"/>
          </w:tcPr>
          <w:p>
            <w:pPr>
              <w:spacing w:after="0"/>
              <w:rPr>
                <w:sz w:val="14"/>
                <w:szCs w:val="14"/>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340,950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579,086</w:t>
            </w:r>
          </w:p>
        </w:tc>
        <w:tc>
          <w:tcPr>
            <w:tcW w:w="100" w:type="dxa"/>
            <w:vAlign w:val="bottom"/>
            <w:tcBorders>
              <w:bottom w:val="single" w:sz="8" w:color="CCECFF"/>
            </w:tcBorders>
          </w:tcPr>
          <w:p>
            <w:pPr>
              <w:spacing w:after="0"/>
              <w:rPr>
                <w:sz w:val="14"/>
                <w:szCs w:val="14"/>
                <w:color w:val="auto"/>
              </w:rPr>
            </w:pPr>
          </w:p>
        </w:tc>
      </w:tr>
      <w:tr>
        <w:trPr>
          <w:trHeight w:val="155"/>
        </w:trPr>
        <w:tc>
          <w:tcPr>
            <w:tcW w:w="56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8,260,521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4,458,257</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24,355,786</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8,670,229</w:t>
            </w:r>
          </w:p>
        </w:tc>
        <w:tc>
          <w:tcPr>
            <w:tcW w:w="100" w:type="dxa"/>
            <w:vAlign w:val="bottom"/>
            <w:shd w:val="clear" w:color="auto" w:fill="CCECFF"/>
          </w:tcPr>
          <w:p>
            <w:pPr>
              <w:spacing w:after="0"/>
              <w:rPr>
                <w:sz w:val="13"/>
                <w:szCs w:val="13"/>
                <w:color w:val="auto"/>
              </w:rPr>
            </w:pPr>
          </w:p>
        </w:tc>
      </w:tr>
      <w:tr>
        <w:trPr>
          <w:trHeight w:val="155"/>
        </w:trPr>
        <w:tc>
          <w:tcPr>
            <w:tcW w:w="56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1,830,899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829,917</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5,955,628</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1,727,306</w:t>
            </w:r>
          </w:p>
        </w:tc>
        <w:tc>
          <w:tcPr>
            <w:tcW w:w="100" w:type="dxa"/>
            <w:vAlign w:val="bottom"/>
            <w:tcBorders>
              <w:bottom w:val="single" w:sz="8" w:color="CCECFF"/>
            </w:tcBorders>
          </w:tcPr>
          <w:p>
            <w:pPr>
              <w:spacing w:after="0"/>
              <w:rPr>
                <w:sz w:val="13"/>
                <w:szCs w:val="13"/>
                <w:color w:val="auto"/>
              </w:rPr>
            </w:pPr>
          </w:p>
        </w:tc>
      </w:tr>
      <w:tr>
        <w:trPr>
          <w:trHeight w:val="133"/>
        </w:trPr>
        <w:tc>
          <w:tcPr>
            <w:tcW w:w="5680" w:type="dxa"/>
            <w:vAlign w:val="bottom"/>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2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71"/>
        </w:trPr>
        <w:tc>
          <w:tcPr>
            <w:tcW w:w="568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(1,604,539)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63,395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(1,025,488)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79,341</w:t>
            </w:r>
          </w:p>
        </w:tc>
        <w:tc>
          <w:tcPr>
            <w:tcW w:w="100" w:type="dxa"/>
            <w:vAlign w:val="bottom"/>
          </w:tcPr>
          <w:p>
            <w:pPr>
              <w:spacing w:after="0"/>
              <w:rPr>
                <w:sz w:val="14"/>
                <w:szCs w:val="14"/>
                <w:color w:val="auto"/>
              </w:rPr>
            </w:pPr>
          </w:p>
        </w:tc>
      </w:tr>
      <w:tr>
        <w:trPr>
          <w:trHeight w:val="162"/>
        </w:trPr>
        <w:tc>
          <w:tcPr>
            <w:tcW w:w="568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404,262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(1,072,357)</w:t>
            </w: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(3,243,343)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(72,655)</w:t>
            </w: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depreciation of foreign currency translations</w:t>
            </w: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241,025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1,187,765</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738,432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936,097</w:t>
            </w:r>
          </w:p>
        </w:tc>
        <w:tc>
          <w:tcPr>
            <w:tcW w:w="100" w:type="dxa"/>
            <w:vAlign w:val="bottom"/>
            <w:shd w:val="clear" w:color="auto" w:fill="CCECFF"/>
          </w:tcPr>
          <w:p>
            <w:pPr>
              <w:spacing w:after="0"/>
              <w:rPr>
                <w:sz w:val="14"/>
                <w:szCs w:val="14"/>
                <w:color w:val="auto"/>
              </w:rPr>
            </w:pPr>
          </w:p>
        </w:tc>
      </w:tr>
      <w:tr>
        <w:trPr>
          <w:trHeight w:val="133"/>
        </w:trPr>
        <w:tc>
          <w:tcPr>
            <w:tcW w:w="568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Net change in unrealized appreciation (depreciation) on investments and</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680" w:type="dxa"/>
            <w:vAlign w:val="bottom"/>
          </w:tcPr>
          <w:p>
            <w:pPr>
              <w:ind w:left="360"/>
              <w:spacing w:after="0"/>
              <w:rPr>
                <w:sz w:val="20"/>
                <w:szCs w:val="20"/>
                <w:color w:val="auto"/>
              </w:rPr>
            </w:pPr>
            <w:r>
              <w:rPr>
                <w:rFonts w:ascii="Arial" w:cs="Arial" w:eastAsia="Arial" w:hAnsi="Arial"/>
                <w:sz w:val="14"/>
                <w:szCs w:val="14"/>
                <w:b w:val="1"/>
                <w:bCs w:val="1"/>
                <w:color w:val="auto"/>
              </w:rPr>
              <w:t>credit facility foreign currency translations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115,408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(2,504,911)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863,442</w:t>
            </w:r>
          </w:p>
        </w:tc>
        <w:tc>
          <w:tcPr>
            <w:tcW w:w="100" w:type="dxa"/>
            <w:vAlign w:val="bottom"/>
          </w:tcPr>
          <w:p>
            <w:pPr>
              <w:spacing w:after="0"/>
              <w:rPr>
                <w:sz w:val="14"/>
                <w:szCs w:val="14"/>
                <w:color w:val="auto"/>
              </w:rPr>
            </w:pPr>
          </w:p>
        </w:tc>
      </w:tr>
      <w:tr>
        <w:trPr>
          <w:trHeight w:val="133"/>
        </w:trPr>
        <w:tc>
          <w:tcPr>
            <w:tcW w:w="568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w:t>
            </w:r>
          </w:p>
        </w:tc>
        <w:tc>
          <w:tcPr>
            <w:tcW w:w="2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568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foreign currency translations</w:t>
            </w:r>
          </w:p>
        </w:tc>
        <w:tc>
          <w:tcPr>
            <w:tcW w:w="2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(959,252)</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178,803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(3,530,399)</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942,783</w:t>
            </w:r>
          </w:p>
        </w:tc>
        <w:tc>
          <w:tcPr>
            <w:tcW w:w="100" w:type="dxa"/>
            <w:vAlign w:val="bottom"/>
            <w:shd w:val="clear" w:color="auto" w:fill="CCECFF"/>
          </w:tcPr>
          <w:p>
            <w:pPr>
              <w:spacing w:after="0"/>
              <w:rPr>
                <w:sz w:val="14"/>
                <w:szCs w:val="14"/>
                <w:color w:val="auto"/>
              </w:rPr>
            </w:pPr>
          </w:p>
        </w:tc>
      </w:tr>
      <w:tr>
        <w:trPr>
          <w:trHeight w:val="155"/>
        </w:trPr>
        <w:tc>
          <w:tcPr>
            <w:tcW w:w="568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871,647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1,008,720</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2,425,229</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2,670,089</w:t>
            </w:r>
          </w:p>
        </w:tc>
        <w:tc>
          <w:tcPr>
            <w:tcW w:w="100" w:type="dxa"/>
            <w:vAlign w:val="bottom"/>
          </w:tcPr>
          <w:p>
            <w:pPr>
              <w:spacing w:after="0"/>
              <w:rPr>
                <w:sz w:val="13"/>
                <w:szCs w:val="13"/>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9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5560" w:right="1980" w:hanging="5552"/>
        <w:spacing w:after="0" w:line="595"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No management or incentive fees are payable by PSSL. If any fees were to be charged, they would be separately disclosed in the Statement of Operations.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nine months ended June 30, 2019 and 2018, our ability to observe valuation inputs resulted in no reclassifications.</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8"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7"/>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270,056,726</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2,209,375</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655,213,099</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6.5% – 26.3% (8.3%)</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26,589,723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10.0% – 14.0% (10.7%)</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14,299,648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00"/>
              <w:spacing w:after="0"/>
              <w:rPr>
                <w:sz w:val="20"/>
                <w:szCs w:val="20"/>
                <w:color w:val="auto"/>
              </w:rPr>
            </w:pPr>
            <w:r>
              <w:rPr>
                <w:rFonts w:ascii="Arial" w:cs="Arial" w:eastAsia="Arial" w:hAnsi="Arial"/>
                <w:sz w:val="14"/>
                <w:szCs w:val="14"/>
                <w:color w:val="auto"/>
                <w:w w:val="94"/>
              </w:rPr>
              <w:t>4.5x – 10.3x (6.4x)</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5,167,984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10.3x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47,891,157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6.5x – 38.8x (14.3x)</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1,021,427,712</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7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412,129,078</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7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4.6%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2018</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303,786,401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center"/>
              <w:ind w:right="488"/>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2,543,750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609,511,575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w:t>
            </w:r>
          </w:p>
        </w:tc>
        <w:tc>
          <w:tcPr>
            <w:tcW w:w="12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 17.5% (9.7%)</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18,690,963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tcPr>
          <w:p>
            <w:pPr>
              <w:jc w:val="right"/>
              <w:spacing w:after="0"/>
              <w:rPr>
                <w:sz w:val="20"/>
                <w:szCs w:val="20"/>
                <w:color w:val="auto"/>
              </w:rPr>
            </w:pPr>
            <w:r>
              <w:rPr>
                <w:rFonts w:ascii="Arial" w:cs="Arial" w:eastAsia="Arial" w:hAnsi="Arial"/>
                <w:sz w:val="14"/>
                <w:szCs w:val="14"/>
                <w:color w:val="auto"/>
              </w:rPr>
              <w:t>10.7%</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 14.1% (11.7%)</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3"/>
            <w:shd w:val="clear" w:color="auto" w:fill="CCECFF"/>
          </w:tcPr>
          <w:p>
            <w:pPr>
              <w:jc w:val="center"/>
              <w:ind w:right="100"/>
              <w:spacing w:after="0"/>
              <w:rPr>
                <w:sz w:val="20"/>
                <w:szCs w:val="20"/>
                <w:color w:val="auto"/>
              </w:rPr>
            </w:pPr>
            <w:r>
              <w:rPr>
                <w:rFonts w:ascii="Arial" w:cs="Arial" w:eastAsia="Arial" w:hAnsi="Arial"/>
                <w:sz w:val="14"/>
                <w:szCs w:val="14"/>
                <w:color w:val="auto"/>
                <w:w w:val="94"/>
              </w:rPr>
              <w:t>6.2x – 12.0x (9.2x)</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540" w:type="dxa"/>
            <w:vAlign w:val="bottom"/>
            <w:tcBorders>
              <w:bottom w:val="single" w:sz="8" w:color="CCECFF"/>
            </w:tcBorders>
          </w:tcPr>
          <w:p>
            <w:pPr>
              <w:spacing w:after="0"/>
              <w:rPr>
                <w:sz w:val="17"/>
                <w:szCs w:val="17"/>
                <w:color w:val="auto"/>
              </w:rPr>
            </w:pPr>
          </w:p>
        </w:tc>
        <w:tc>
          <w:tcPr>
            <w:tcW w:w="11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54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CCECFF"/>
            </w:tcBorders>
            <w:shd w:val="clear" w:color="auto" w:fill="CCECFF"/>
          </w:tcPr>
          <w:p>
            <w:pPr>
              <w:jc w:val="right"/>
              <w:ind w:right="628"/>
              <w:spacing w:after="0" w:line="143" w:lineRule="exact"/>
              <w:rPr>
                <w:sz w:val="20"/>
                <w:szCs w:val="20"/>
                <w:color w:val="auto"/>
              </w:rPr>
            </w:pPr>
            <w:r>
              <w:rPr>
                <w:rFonts w:ascii="Arial" w:cs="Arial" w:eastAsia="Arial" w:hAnsi="Arial"/>
                <w:sz w:val="14"/>
                <w:szCs w:val="14"/>
                <w:color w:val="auto"/>
              </w:rPr>
              <w:t>5.3%</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2023 Notes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Fair Value at June 30, 2019</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939,569,474</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939,569,474</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33,967,082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33,967,082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98,617,210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47,891,156</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50,726,054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1,072,153,766</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1,021,427,712</w:t>
            </w:r>
          </w:p>
        </w:tc>
        <w:tc>
          <w:tcPr>
            <w:tcW w:w="24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50,726,054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25,364,034</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25,364,034</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78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investments and cash and cash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600"/>
              <w:spacing w:after="0"/>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1,097,517,800</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25,364,034</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1,021,427,712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50,726,054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780" w:type="dxa"/>
            <w:vAlign w:val="bottom"/>
            <w:tcBorders>
              <w:top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412,129,078</w:t>
            </w:r>
          </w:p>
        </w:tc>
        <w:tc>
          <w:tcPr>
            <w:tcW w:w="2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412,129,078</w:t>
            </w: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137,526,651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137,526,651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549,655,729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137,526,651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412,129,078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5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66,080,604</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78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investments and cash and cash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600"/>
              <w:spacing w:after="0"/>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1,072,837,476</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72,224,183</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955,815,564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780" w:type="dxa"/>
            <w:vAlign w:val="bottom"/>
            <w:tcBorders>
              <w:top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467,632,200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135,503,385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5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348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60"/>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6"/>
              </w:rPr>
              <w:t>The tables below show a reconciliation of the beginning and ending balances for fair valued investments measured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2019</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(12,595,096)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(4,448,014)</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(17,043,110)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(18,182,610)</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7,493,080</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(10,689,530)</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467,294,508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26,193,464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493,487,972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(395,335,166)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(4,808,018)</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(400,143,184)</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954,479,612</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66,948,100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1,021,427,712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(20,477,519)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5,444,110</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(15,033,409)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2018</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87,389,065</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(1,047,884)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(1,214,108)</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(2,261,992)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(2,857,546)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2,096,092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(761,454)</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481,100,549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31,905,640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513,006,189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(266,925,169)</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(69,861,776)</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(336,786,945)</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819,938,504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50,314,913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870,253,417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appreciation (depreciation)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(3,161,334)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1,076,376</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(2,084,958)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$333,727,520 and $253,783,301,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(1,579,717)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(2,886,308)</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143,985,010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(202,120,020)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(142,095,000)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$415,307,500 and $255,673,311,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412,129,078</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255,862,159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June 30, 2019, we had outstanding non-U.S. dollar borrowings on the Credit Facility. Net change in fair value from foreign currency translation on outstanding borrowings is listed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3"/>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13,391,998</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July 1,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984,498</w:t>
            </w:r>
          </w:p>
        </w:tc>
        <w:tc>
          <w:tcPr>
            <w:tcW w:w="12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280" w:type="dxa"/>
            <w:vAlign w:val="bottom"/>
            <w:tcBorders>
              <w:top w:val="single" w:sz="8" w:color="CCECFF"/>
            </w:tcBorders>
            <w:shd w:val="clear" w:color="auto" w:fill="CCECFF"/>
          </w:tcPr>
          <w:p>
            <w:pPr>
              <w:ind w:left="160"/>
              <w:spacing w:after="0" w:line="155" w:lineRule="exact"/>
              <w:rPr>
                <w:sz w:val="20"/>
                <w:szCs w:val="20"/>
                <w:color w:val="auto"/>
              </w:rPr>
            </w:pPr>
            <w:r>
              <w:rPr>
                <w:rFonts w:ascii="Arial" w:cs="Arial" w:eastAsia="Arial" w:hAnsi="Arial"/>
                <w:sz w:val="14"/>
                <w:szCs w:val="14"/>
                <w:color w:val="auto"/>
              </w:rPr>
              <w:t>A</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7,720,020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7,163,165</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(556,855)</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5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Canadian Dollar</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C$</w:t>
            </w:r>
          </w:p>
        </w:tc>
        <w:tc>
          <w:tcPr>
            <w:tcW w:w="130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17,500,000</w:t>
            </w:r>
          </w:p>
        </w:tc>
        <w:tc>
          <w:tcPr>
            <w:tcW w:w="26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12,407,500</w:t>
            </w:r>
          </w:p>
        </w:tc>
        <w:tc>
          <w:tcPr>
            <w:tcW w:w="2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13,538,612</w:t>
            </w:r>
          </w:p>
        </w:tc>
        <w:tc>
          <w:tcPr>
            <w:tcW w:w="280" w:type="dxa"/>
            <w:vAlign w:val="bottom"/>
            <w:tcBorders>
              <w:bottom w:val="single" w:sz="8" w:color="CCECFF"/>
            </w:tcBorders>
          </w:tcPr>
          <w:p>
            <w:pPr>
              <w:spacing w:after="0"/>
              <w:rPr>
                <w:sz w:val="14"/>
                <w:szCs w:val="14"/>
                <w:color w:val="auto"/>
              </w:rPr>
            </w:pPr>
          </w:p>
        </w:tc>
        <w:tc>
          <w:tcPr>
            <w:tcW w:w="16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1, 2018</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1,131,112</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5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20,127,520</w:t>
            </w:r>
          </w:p>
        </w:tc>
        <w:tc>
          <w:tcPr>
            <w:tcW w:w="2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20,701,777</w:t>
            </w:r>
          </w:p>
        </w:tc>
        <w:tc>
          <w:tcPr>
            <w:tcW w:w="280" w:type="dxa"/>
            <w:vAlign w:val="bottom"/>
            <w:tcBorders>
              <w:bottom w:val="single" w:sz="8" w:color="CCECFF"/>
            </w:tcBorders>
            <w:shd w:val="clear" w:color="auto" w:fill="CCECFF"/>
          </w:tcPr>
          <w:p>
            <w:pPr>
              <w:spacing w:after="0"/>
              <w:rPr>
                <w:sz w:val="13"/>
                <w:szCs w:val="13"/>
                <w:color w:val="auto"/>
              </w:rPr>
            </w:pPr>
          </w:p>
        </w:tc>
        <w:tc>
          <w:tcPr>
            <w:tcW w:w="15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574,257</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8"/>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256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2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5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5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which provides companies with an option to report selected financial assets and liabilities at fair value, and made an irrevocable election to apply ASC 825-10 to the Credit Facility and the 2023</w:t>
      </w:r>
    </w:p>
    <w:p>
      <w:pPr>
        <w:spacing w:after="0"/>
        <w:rPr>
          <w:sz w:val="20"/>
          <w:szCs w:val="20"/>
          <w:color w:val="auto"/>
        </w:rPr>
      </w:pPr>
      <w:r>
        <w:rPr>
          <w:rFonts w:ascii="Arial" w:cs="Arial" w:eastAsia="Arial" w:hAnsi="Arial"/>
          <w:sz w:val="13"/>
          <w:szCs w:val="13"/>
          <w:color w:val="auto"/>
        </w:rPr>
        <w:t>Notes. We elected to use the fair value option for the Credit Facility and the 2023 Notes to align the measurement attributes of both our assets and liabilities while mitigating volatility in earnings</w:t>
      </w:r>
    </w:p>
    <w:p>
      <w:pPr>
        <w:spacing w:after="0"/>
        <w:rPr>
          <w:sz w:val="20"/>
          <w:szCs w:val="20"/>
          <w:color w:val="auto"/>
        </w:rPr>
      </w:pPr>
      <w:r>
        <w:rPr>
          <w:rFonts w:ascii="Arial" w:cs="Arial" w:eastAsia="Arial" w:hAnsi="Arial"/>
          <w:sz w:val="13"/>
          <w:szCs w:val="13"/>
          <w:color w:val="auto"/>
        </w:rPr>
        <w:t>from using different measurement attributes. Due to that election and in accordance with GAAP, we incurred expenses of zero million and $4.5 million, respectively, relating to amendment costs</w:t>
      </w:r>
    </w:p>
    <w:p>
      <w:pPr>
        <w:spacing w:after="0"/>
        <w:rPr>
          <w:sz w:val="20"/>
          <w:szCs w:val="20"/>
          <w:color w:val="auto"/>
        </w:rPr>
      </w:pPr>
      <w:r>
        <w:rPr>
          <w:rFonts w:ascii="Arial" w:cs="Arial" w:eastAsia="Arial" w:hAnsi="Arial"/>
          <w:sz w:val="13"/>
          <w:szCs w:val="13"/>
          <w:color w:val="auto"/>
        </w:rPr>
        <w:t>on the Credit Facility during the three and nine months ended June 30, 2019. Due to that election and in accordance with GAAP, we incurred expenses of zero and $10.9 million, respectively,</w:t>
      </w:r>
    </w:p>
    <w:p>
      <w:pPr>
        <w:spacing w:after="0"/>
        <w:rPr>
          <w:sz w:val="20"/>
          <w:szCs w:val="20"/>
          <w:color w:val="auto"/>
        </w:rPr>
      </w:pPr>
      <w:r>
        <w:rPr>
          <w:rFonts w:ascii="Arial" w:cs="Arial" w:eastAsia="Arial" w:hAnsi="Arial"/>
          <w:sz w:val="13"/>
          <w:szCs w:val="13"/>
          <w:color w:val="auto"/>
        </w:rPr>
        <w:t>relating to amendment costs on the Credit Facility and debt issuance costs on the 2023 Notes during the three and nine months ended June 30, 2018. ASC 825-10 establishes presentation and</w:t>
      </w:r>
    </w:p>
    <w:p>
      <w:pPr>
        <w:spacing w:after="0"/>
        <w:rPr>
          <w:sz w:val="20"/>
          <w:szCs w:val="20"/>
          <w:color w:val="auto"/>
        </w:rPr>
      </w:pPr>
      <w:r>
        <w:rPr>
          <w:rFonts w:ascii="Arial" w:cs="Arial" w:eastAsia="Arial" w:hAnsi="Arial"/>
          <w:sz w:val="12"/>
          <w:szCs w:val="12"/>
          <w:color w:val="auto"/>
        </w:rPr>
        <w:t>disclosure requirements designed to facilitate comparisons between companies that choose different measurement attributes for similar types of assets and liabilities and to more easily understand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the effect on earnings of a company’s choice to use fair value. ASC 825-10 also requires entities to display the fair value of the selected assets and liabilities on the face of the Consolidated</w:t>
      </w:r>
    </w:p>
    <w:p>
      <w:pPr>
        <w:spacing w:after="0"/>
        <w:rPr>
          <w:sz w:val="20"/>
          <w:szCs w:val="20"/>
          <w:color w:val="auto"/>
        </w:rPr>
      </w:pPr>
      <w:r>
        <w:rPr>
          <w:rFonts w:ascii="Arial" w:cs="Arial" w:eastAsia="Arial" w:hAnsi="Arial"/>
          <w:sz w:val="13"/>
          <w:szCs w:val="13"/>
          <w:color w:val="auto"/>
        </w:rPr>
        <w:t>Statements of Assets and Liabilities and changes in fair value of the Credit Facility and the 2023 Notes are reported in our Consolidated Statements of Operations. We elected not to apply ASC</w:t>
      </w:r>
    </w:p>
    <w:p>
      <w:pPr>
        <w:spacing w:after="0"/>
        <w:rPr>
          <w:sz w:val="20"/>
          <w:szCs w:val="20"/>
          <w:color w:val="auto"/>
        </w:rPr>
      </w:pPr>
      <w:r>
        <w:rPr>
          <w:rFonts w:ascii="Arial" w:cs="Arial" w:eastAsia="Arial" w:hAnsi="Arial"/>
          <w:sz w:val="13"/>
          <w:szCs w:val="13"/>
          <w:color w:val="auto"/>
        </w:rPr>
        <w:t>825-10 to any other financial assets or liabilities. For the three and nine months ended June 30, 2019, the Credit Facility and the 2023 Notes had a net change in unrealized appreciation of $0.4</w:t>
      </w:r>
    </w:p>
    <w:p>
      <w:pPr>
        <w:spacing w:after="0"/>
        <w:rPr>
          <w:sz w:val="20"/>
          <w:szCs w:val="20"/>
          <w:color w:val="auto"/>
        </w:rPr>
      </w:pPr>
      <w:r>
        <w:rPr>
          <w:rFonts w:ascii="Arial" w:cs="Arial" w:eastAsia="Arial" w:hAnsi="Arial"/>
          <w:sz w:val="13"/>
          <w:szCs w:val="13"/>
          <w:color w:val="auto"/>
        </w:rPr>
        <w:t>million and $0.4 million, respectively. For the three and nine months ended June 30, 2018, the Credit Facility and the 2023 Notes had a net change in unrealized (appreciation) depreciation of</w:t>
      </w:r>
    </w:p>
    <w:p>
      <w:pPr>
        <w:spacing w:after="0"/>
        <w:rPr>
          <w:sz w:val="20"/>
          <w:szCs w:val="20"/>
          <w:color w:val="auto"/>
        </w:rPr>
      </w:pPr>
      <w:r>
        <w:rPr>
          <w:rFonts w:ascii="Arial" w:cs="Arial" w:eastAsia="Arial" w:hAnsi="Arial"/>
          <w:sz w:val="13"/>
          <w:szCs w:val="13"/>
          <w:color w:val="auto"/>
        </w:rPr>
        <w:t>$(1.9) million and $6.5 million, respectively. As of June 30, 2019 and September 30, 2018, the net unrealized depreciation on the Credit Facility and the 2023 Notes totaled $4.2 million and $4.7</w:t>
      </w:r>
    </w:p>
    <w:p>
      <w:pPr>
        <w:spacing w:after="0"/>
        <w:rPr>
          <w:sz w:val="20"/>
          <w:szCs w:val="20"/>
          <w:color w:val="auto"/>
        </w:rPr>
      </w:pPr>
      <w:r>
        <w:rPr>
          <w:rFonts w:ascii="Arial" w:cs="Arial" w:eastAsia="Arial" w:hAnsi="Arial"/>
          <w:sz w:val="13"/>
          <w:szCs w:val="13"/>
          <w:color w:val="auto"/>
        </w:rPr>
        <w:t>million, respectively. We use a nationally recognized independent valuation service to measure the fair value of the Credit Facility in a manner consistent with the valuation process that the board</w:t>
      </w:r>
    </w:p>
    <w:p>
      <w:pPr>
        <w:spacing w:after="0"/>
        <w:rPr>
          <w:sz w:val="20"/>
          <w:szCs w:val="20"/>
          <w:color w:val="auto"/>
        </w:rPr>
      </w:pPr>
      <w:r>
        <w:rPr>
          <w:rFonts w:ascii="Arial" w:cs="Arial" w:eastAsia="Arial" w:hAnsi="Arial"/>
          <w:sz w:val="14"/>
          <w:szCs w:val="14"/>
          <w:color w:val="auto"/>
        </w:rPr>
        <w:t>of directors uses to value our investments. Our 2023 Notes trade on the TASE and we use the closing price on the exchange to determine the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8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7"/>
              </w:rPr>
              <w:t>Purchases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Sale of /</w:t>
            </w: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3"/>
              </w:rPr>
              <w:t>Net Change in</w:t>
            </w:r>
          </w:p>
        </w:tc>
        <w:tc>
          <w:tcPr>
            <w:tcW w:w="100" w:type="dxa"/>
            <w:vAlign w:val="bottom"/>
          </w:tcPr>
          <w:p>
            <w:pPr>
              <w:spacing w:after="0"/>
              <w:rPr>
                <w:sz w:val="14"/>
                <w:szCs w:val="14"/>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 Value at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Value at</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Dividend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 Advances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from</w:t>
            </w:r>
          </w:p>
        </w:tc>
        <w:tc>
          <w:tcPr>
            <w:tcW w:w="1060" w:type="dxa"/>
            <w:vAlign w:val="bottom"/>
            <w:gridSpan w:val="3"/>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to Affiliates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5"/>
        </w:trPr>
        <w:tc>
          <w:tcPr>
            <w:tcW w:w="20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00" w:type="dxa"/>
            <w:vAlign w:val="bottom"/>
          </w:tcPr>
          <w:p>
            <w:pPr>
              <w:spacing w:after="0" w:line="143" w:lineRule="exact"/>
              <w:rPr>
                <w:sz w:val="20"/>
                <w:szCs w:val="20"/>
                <w:color w:val="auto"/>
              </w:rPr>
            </w:pPr>
            <w:r>
              <w:rPr>
                <w:rFonts w:ascii="Arial" w:cs="Arial" w:eastAsia="Arial" w:hAnsi="Arial"/>
                <w:sz w:val="14"/>
                <w:szCs w:val="14"/>
                <w:color w:val="auto"/>
              </w:rPr>
              <w:t>Country Fresh Holding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120"/>
              <w:spacing w:after="0"/>
              <w:rPr>
                <w:sz w:val="20"/>
                <w:szCs w:val="20"/>
                <w:color w:val="auto"/>
              </w:rPr>
            </w:pPr>
            <w:r>
              <w:rPr>
                <w:rFonts w:ascii="Arial" w:cs="Arial" w:eastAsia="Arial" w:hAnsi="Arial"/>
                <w:sz w:val="14"/>
                <w:szCs w:val="14"/>
                <w:color w:val="auto"/>
              </w:rPr>
              <w:t>Company Inc.</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17,195,389</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7,421,182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(7,219,230)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(1,289,136)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16,108,205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1,206,942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(7,164,304)</w:t>
            </w:r>
          </w:p>
        </w:tc>
        <w:tc>
          <w:tcPr>
            <w:tcW w:w="0" w:type="dxa"/>
            <w:vAlign w:val="bottom"/>
          </w:tcPr>
          <w:p>
            <w:pPr>
              <w:spacing w:after="0"/>
              <w:rPr>
                <w:sz w:val="1"/>
                <w:szCs w:val="1"/>
                <w:color w:val="auto"/>
              </w:rPr>
            </w:pPr>
          </w:p>
        </w:tc>
      </w:tr>
      <w:tr>
        <w:trPr>
          <w:trHeight w:val="133"/>
        </w:trPr>
        <w:tc>
          <w:tcPr>
            <w:tcW w:w="200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Non-Controlled</w:t>
            </w:r>
          </w:p>
        </w:tc>
        <w:tc>
          <w:tcPr>
            <w:tcW w:w="1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Affiliates</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17,195,389</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7,421,182</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(7,219,230)</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39"/>
              <w:spacing w:after="0"/>
              <w:rPr>
                <w:sz w:val="20"/>
                <w:szCs w:val="20"/>
                <w:color w:val="auto"/>
              </w:rPr>
            </w:pPr>
            <w:r>
              <w:rPr>
                <w:rFonts w:ascii="Arial" w:cs="Arial" w:eastAsia="Arial" w:hAnsi="Arial"/>
                <w:sz w:val="14"/>
                <w:szCs w:val="14"/>
                <w:color w:val="auto"/>
              </w:rPr>
              <w:t>(1,289,136)</w:t>
            </w: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16,108,205</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1,206,942</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(7,164,304)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Controlled Affiliates</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00" w:type="dxa"/>
            <w:vAlign w:val="bottom"/>
          </w:tcPr>
          <w:p>
            <w:pPr>
              <w:spacing w:after="0" w:line="157" w:lineRule="exact"/>
              <w:rPr>
                <w:sz w:val="20"/>
                <w:szCs w:val="20"/>
                <w:color w:val="auto"/>
              </w:rPr>
            </w:pPr>
            <w:r>
              <w:rPr>
                <w:rFonts w:ascii="Arial" w:cs="Arial" w:eastAsia="Arial" w:hAnsi="Arial"/>
                <w:sz w:val="14"/>
                <w:szCs w:val="14"/>
                <w:color w:val="auto"/>
              </w:rPr>
              <w:t>PennantPark Senior Secured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140"/>
              <w:spacing w:after="0"/>
              <w:rPr>
                <w:sz w:val="20"/>
                <w:szCs w:val="20"/>
                <w:color w:val="auto"/>
              </w:rPr>
            </w:pPr>
            <w:r>
              <w:rPr>
                <w:rFonts w:ascii="Arial" w:cs="Arial" w:eastAsia="Arial" w:hAnsi="Arial"/>
                <w:sz w:val="14"/>
                <w:szCs w:val="14"/>
                <w:color w:val="auto"/>
              </w:rPr>
              <w:t>Loan Fund I LLC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7"/>
              </w:rPr>
              <w:t>145,860,229</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28,437,500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(2,602,925)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7"/>
              </w:rPr>
              <w:t>171,694,804</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9,273,287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4,725,000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7"/>
              </w:rPr>
              <w:t>145,860,229</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28,437,500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(2,602,925</w:t>
            </w:r>
          </w:p>
        </w:tc>
        <w:tc>
          <w:tcPr>
            <w:tcW w:w="120" w:type="dxa"/>
            <w:vAlign w:val="bottom"/>
            <w:tcBorders>
              <w:top w:val="single" w:sz="8" w:color="CCECFF"/>
              <w:bottom w:val="single" w:sz="8" w:color="CCECFF"/>
            </w:tcBorders>
            <w:shd w:val="clear" w:color="auto" w:fill="CCEC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7"/>
              </w:rPr>
              <w:t>171,694,804</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9,273,287</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4,725,000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right="20" w:hanging="372"/>
        <w:spacing w:after="0" w:line="233"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54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4,518,816</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4,968,387</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4,042,286</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22,476,929</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38,139,678</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2019 and September 30, 2018, cash and cash equivalents consisted of money market funds in the amounts of $25.4 million and $72.2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64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13.82</w:t>
            </w:r>
          </w:p>
        </w:tc>
        <w:tc>
          <w:tcPr>
            <w:tcW w:w="26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0.88</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6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0.59</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(Dilutive) effect of common stock issuance</w:t>
            </w:r>
          </w:p>
        </w:tc>
        <w:tc>
          <w:tcPr>
            <w:tcW w:w="36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5"/>
        </w:trPr>
        <w:tc>
          <w:tcPr>
            <w:tcW w:w="76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13.07</w:t>
            </w:r>
          </w:p>
        </w:tc>
        <w:tc>
          <w:tcPr>
            <w:tcW w:w="2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13.82</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11.56</w:t>
            </w:r>
          </w:p>
        </w:tc>
        <w:tc>
          <w:tcPr>
            <w:tcW w:w="2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13.66</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(5.89)%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26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6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460" w:type="dxa"/>
            <w:vAlign w:val="bottom"/>
            <w:gridSpan w:val="2"/>
            <w:shd w:val="clear" w:color="auto" w:fill="CCECFF"/>
          </w:tcPr>
          <w:p>
            <w:pPr>
              <w:jc w:val="right"/>
              <w:ind w:right="140"/>
              <w:spacing w:after="0" w:line="155" w:lineRule="exact"/>
              <w:rPr>
                <w:sz w:val="20"/>
                <w:szCs w:val="20"/>
                <w:color w:val="auto"/>
              </w:rPr>
            </w:pPr>
            <w:r>
              <w:rPr>
                <w:rFonts w:ascii="Arial" w:cs="Arial" w:eastAsia="Arial" w:hAnsi="Arial"/>
                <w:sz w:val="14"/>
                <w:szCs w:val="14"/>
                <w:color w:val="auto"/>
              </w:rPr>
              <w:t>8.66%</w:t>
            </w: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506,733,731</w:t>
            </w:r>
          </w:p>
        </w:tc>
        <w:tc>
          <w:tcPr>
            <w:tcW w:w="26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535,878,316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491,199,285</w:t>
            </w:r>
          </w:p>
        </w:tc>
        <w:tc>
          <w:tcPr>
            <w:tcW w:w="2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332,567,763</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12.67</w:t>
            </w: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8.72</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1,904</w:t>
            </w:r>
          </w:p>
        </w:tc>
        <w:tc>
          <w:tcPr>
            <w:tcW w:w="26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36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54.40%</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240" w:firstLine="8"/>
        <w:spacing w:after="0" w:line="248" w:lineRule="auto"/>
        <w:tabs>
          <w:tab w:leader="none" w:pos="364"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right="36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 which was terminated on November 22, 2017.</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if any, are not annualized.</w:t>
      </w:r>
    </w:p>
    <w:p>
      <w:pPr>
        <w:ind w:left="380" w:right="80" w:hanging="372"/>
        <w:spacing w:after="0" w:line="232"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The annualized weighted average cost of debt for the nine months ended June 30, 2019 and 2018, inclusive of the fee on the undrawn commitment of 0.4% on the Credit Facility, amendment costs and debt issuance costs, was 5.3% and 7.3%, respectively. As of June 30, 2019, in accordance with the 1940 Act, with certain limited exceptions, we are only allowed to borrow amounts such that we are in compliance with a 150% asset coverage ratio requirement after such borrowing.</w:t>
      </w:r>
    </w:p>
    <w:p>
      <w:pPr>
        <w:spacing w:after="0" w:line="115"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2019 and September 30, 2018, our asset coverage ratio, as computed in accordance with the 1940 Act, was 190% and 213%,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affiliates of SunTrust Bank, or the Lenders, was $520 million as of June 30, 2019, subject to satisfaction of certain conditions and regulatory restrictions that the 1940 Act imposes on us as a BDC, has an interest rate spread above LIBOR of 200 basis points, a maturity date of October 2023 and a revolving period that ends in October 2021. As of June 30, 2019 and September 30, 2018, Funding I had $415.3 million and $333.7 million of outstanding borrowings under the Credit Facility, respectively. The Credit Facility had a weighted average interest rate of 4.4% and 4.3%, exclusive of the fee on undrawn commitments as of June 30, 2019 and September 30, 2018, respectively.</w:t>
      </w:r>
    </w:p>
    <w:p>
      <w:pPr>
        <w:spacing w:after="0" w:line="10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2019, we were in compliance with the covenants relating to the Credit Facility.</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jc w:val="both"/>
        <w:ind w:right="240" w:firstLine="438"/>
        <w:spacing w:after="0" w:line="264" w:lineRule="auto"/>
        <w:rPr>
          <w:sz w:val="20"/>
          <w:szCs w:val="20"/>
          <w:color w:val="auto"/>
        </w:rPr>
      </w:pPr>
      <w:r>
        <w:rPr>
          <w:rFonts w:ascii="Arial" w:cs="Arial" w:eastAsia="Arial" w:hAnsi="Arial"/>
          <w:sz w:val="13"/>
          <w:szCs w:val="13"/>
          <w:color w:val="auto"/>
        </w:rPr>
        <w:t>The 2023 Notes pay interest at a rate of 3.8%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18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2019 and September 30, 2018, we had $79.8 million and $79.4 million, respectively, in commitments to fund investments. Additionally, as described in Note 4, the Company had unfunded commitments of up to $10.9 million and $39.4 million, respectively, to PSSL as of June 30, 2019 and September 30, 2018,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June 30, 2019, the related consolidated statements of operations and the related consolidated statements of changes in net assets for the three-month and nine-month periods ended June 30, 2019 and 2018, and cash flows for the nine-month periods ended June 30, 2019 and 2018,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14, 2018, we expressed an unqualified opinion on those financial statements. In our opinion, the information set forth in the accompanying consolidated statement of assets and liabilities as of September 30, 2018,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7, 2019</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1" w:name="page32"/>
    <w:bookmarkEnd w:id="31"/>
    <w:p>
      <w:pPr>
        <w:ind w:right="18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800" w:right="220" w:hanging="360"/>
        <w:spacing w:after="0" w:line="253"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00" w:firstLine="438"/>
        <w:spacing w:after="0" w:line="248" w:lineRule="auto"/>
        <w:rPr>
          <w:sz w:val="20"/>
          <w:szCs w:val="20"/>
          <w:color w:val="auto"/>
        </w:rPr>
      </w:pPr>
      <w:r>
        <w:rPr>
          <w:rFonts w:ascii="Arial" w:cs="Arial" w:eastAsia="Arial" w:hAnsi="Arial"/>
          <w:sz w:val="13"/>
          <w:szCs w:val="13"/>
          <w:color w:val="auto"/>
        </w:rPr>
        <w:t>As of June 30, 2019, our portfolio totaled $1,072.2 million and consisted of $939.6 million of first lien secured debt (including $121.0 million in PSSL), $34.0 million of second lien secured debt and $98.6 million of preferred and common equity (including $50.7 million in PSSL). Our debt portfolio consisted of 99% variable-rate investments and 1% fixed-rate investments. As of June 30, 2019, we had three portfolio companies on non-accrual, representing 2.3% and 0.8% of our overall portfolio on a cost and fair value basis, respectively. Overall, the portfolio had net unrealized depreciation of $13.9 million. Our overall portfolio consisted of 93 companies with an average investment size of $11.5 million, had a weighted average yield on debt investments of 8.9%, and was invested 88% in first lien secured debt (including 11% in PSSL), 3% in second lien secured debt and 9% in preferred and common equity (including 5% in PSSL). As of June 30, 2019, 99% of the investments held by PSSL were first and second lien secured debt and 1% was in common equity.</w:t>
      </w:r>
    </w:p>
    <w:p>
      <w:pPr>
        <w:spacing w:after="0" w:line="99"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of September 30, 2018, our portfolio totaled $1,000.6 million and consisted of $913.3 million of first lien secured debt (including $101.1 million in PSSL), $21.2 million of second lien secured debt and $66.1 million of preferred and common equity (including $44.8 million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 PSSL), 2% in second lien secured debt and 7% in preferred and common equity (including 4% in PSSL). As of September 30, 2018, all of the investments held by PSSL were first lien secured debt.</w:t>
      </w:r>
    </w:p>
    <w:p>
      <w:pPr>
        <w:spacing w:after="0" w:line="109"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For the three months ended June 30, 2019, we invested $182.7 million in eight new and 14 existing portfolio companies with a weighted average yield on debt investments of 9.3%. Sales and repayments of investments for the three months ended June 30, 2019 totaled $66.6 million. For the nine months ended June 30, 2019, we invested $499.5 million in 22 new and 60 existing portfolio companies with a weighted average yield on debt investments of 8.9%. Sales and repayments of investments for the nine months ended June 30, 2019 totaled $400.1 million.</w:t>
      </w:r>
    </w:p>
    <w:p>
      <w:pPr>
        <w:spacing w:after="0" w:line="101"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For the three months ended June 30, 2018, we invested $165.3 million in five new and 23 existing portfolio companies with a weighted average yield on debt investments of 8.2%. Sales and repayments of investments for the three months ended June 30, 2018 totaled $87.9 million. For the nine months ended June 30, 2018, we invested $480.6 million in 22 new and 51 existing portfolio companies with a weighted average yield on debt investments of 8.0%. Sales and repayments of investments for the nine months ended June 30, 2018 totaled $283.6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 of June 30, 2019, PSSL’s portfolio totaled $470.0 million, consisted of 42 companies with an average investment size of $11.2 million and had a weighted average yield on debt investments of 7.9%. As of September 30, 2018, PSSL’s portfolio totaled $425.4 million, consisted of 42 companies with an average investment size of $10.1 million and had a weighted average yield on debt investments of 7.8%.</w:t>
      </w:r>
    </w:p>
    <w:p>
      <w:pPr>
        <w:spacing w:after="0" w:line="115" w:lineRule="exact"/>
        <w:rPr>
          <w:sz w:val="20"/>
          <w:szCs w:val="20"/>
          <w:color w:val="auto"/>
        </w:rPr>
      </w:pPr>
    </w:p>
    <w:p>
      <w:pPr>
        <w:jc w:val="both"/>
        <w:ind w:right="100" w:firstLine="438"/>
        <w:spacing w:after="0" w:line="233" w:lineRule="auto"/>
        <w:rPr>
          <w:sz w:val="20"/>
          <w:szCs w:val="20"/>
          <w:color w:val="auto"/>
        </w:rPr>
      </w:pPr>
      <w:r>
        <w:rPr>
          <w:rFonts w:ascii="Arial" w:cs="Arial" w:eastAsia="Arial" w:hAnsi="Arial"/>
          <w:sz w:val="14"/>
          <w:szCs w:val="14"/>
          <w:color w:val="auto"/>
        </w:rPr>
        <w:t>For the three months ended June 30, 2019, we invested $8.4 million in one new and three existing portfolio companies with a weighted average yield on debt investments of 9.0%. Sales and repayments of investments for the three months ended June 30, 2019 totaled $39.7 million. For the nine months ended June 30, 2019, we invested $176.0 (including $57.7 million purchased from the Company) million in 11 new and 13 existing portfolio companies with a weighted average yield on debt investments of 8.1%. Sales and repayments of investments for the nine months ended June 30, 2019 totaled $128.2 million.</w:t>
      </w:r>
    </w:p>
    <w:p>
      <w:pPr>
        <w:spacing w:after="0" w:line="117"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For the three months ended June 30, 2018, PSSL invested $142.7 million (of which $27.1 million was purchased from the Company) in 10 new and three existing portfolio companies with a weighted average yield on debt investments of 7.4%. PSSL’s sales and repayments of investments for the three months ended June 30, 2018 totaled $16.1 million. For the nine months ended June 30, 2018, PSSL invested $270.4 million in 23 new and six existing portfolio companies with a weighted average yield on debt investments of 7.4%. PSSL’s sales and repayments of investments for the nine months ended June 30, 2018 totaled $23.8 million.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jc w:val="both"/>
        <w:ind w:left="800" w:right="180" w:hanging="360"/>
        <w:spacing w:after="0" w:line="264" w:lineRule="auto"/>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zero and $4.5 million, respectively, relating to amendment costs on the Credit Facility during the three and nine months ended June 30, 2019. Due to that election and in accordance with GAAP, we incurred expenses of zero and $10.9 million, respectively, relating to amendment costs on the Credit Facility and debt issuance costs on the 2023 Notes during the three and nine months ended June 30, 2018.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nine months ended June 30, 2019, the Credit Facility and the 2023 Notes had a net change in unrealized depreciation of $0.4 million and $0.4 million, respectively. For the three and nine months ended June 30, 2018, our Credit Facility and the 2023 Notes had a net change in unrealized (appreciation) depreciation of $(1.9) million and $6.5 million, respectively. As of June 30, 2019 and September 30, 2018, the net unrealized depreciation on the Credit Facility and the 2023 Notes totaled $4.2 million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Investment income for the three and nine months ended June 30, 2019 was $22.9 million and $69.1 million, respectively, and was attributable to $19.9 million and $62.0 million from first lien secured debt and $3.0 million and $7.0 million from second lien secured debt and preferred equity, respectively. This compares to investment income for the three and nine months ended June 30, 2018, which was $19.5 million and $50.9 million, respectively, and was attributable to $19.2 million and $46.0 million from first lien secured debt and $0.3 million and $4.9 million from second lien secured debt, subordinated debt and preferred and common equity, respectively. The increase in investment income compared to the same periods in the prior year was primarily due to the growth of our portfolio and an increase in dividend income from one of our portfolio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66" w:lineRule="auto"/>
        <w:rPr>
          <w:sz w:val="20"/>
          <w:szCs w:val="20"/>
          <w:color w:val="auto"/>
        </w:rPr>
      </w:pPr>
      <w:r>
        <w:rPr>
          <w:rFonts w:ascii="Arial" w:cs="Arial" w:eastAsia="Arial" w:hAnsi="Arial"/>
          <w:sz w:val="12"/>
          <w:szCs w:val="12"/>
          <w:color w:val="auto"/>
        </w:rPr>
        <w:t>Expenses for the three and nine months ended June 30, 2019 totaled $11.5 million and $35.0 million, respectively. Base management fee for the same periods totaled $2.6 million and $7.5 million, incentive fee totaled $2.4 million (including $2.4 million on net investment income and zero accrued but not payable on realized gains) and $3.7 million (including $5.1 million on net investment income and $(1.4) million accrued but not payable on realized gains), debt related interest and expenses totaled $5.7 million and $20.8 million (including $4.5 million in Credit Facility amendment costs) and general and administrative expenses totaled $1.0 million and $3.0 million, respectively. This compares to expenses for the three and nine months ended June 30, 2018 totaled $7.7 million and $31.6 million, respectively. Base management fee for the same periods totaled $2.2 million and $5.9 million, incentive fee totaled $0.3 million (including $(1.0) million on unrealized gains accrued but not payable) and $0.9 million (including $(0.1) million on realized gains and $(0.6) million on unrealized gains accrued but not payable), debt related interest and expenses totaled $3.9 million and $20.8 million (including $10.9 million in Credit Facility amendment and debt issuance costs on the 2023 Notes), general and administrative expenses totaled $1.1 million and $3.4 million and provision for taxes totaled $0.2 million and $0.6 million, respectively. The increase in expenses for the three months ended June 30, 2019 compared to the same period in the prior year was primarily due to increase in management and incentive fees and debt related interest and expenses due to the growth of our portfolio in the current period. The increase in expenses for the nine months ended June 30, 2019 compared to the same period in the prior year was primarily due to the expenses incurred in connection with the amendment of the credit facility as well as higher interest expense.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180" w:firstLine="438"/>
        <w:spacing w:after="0" w:line="238" w:lineRule="auto"/>
        <w:rPr>
          <w:sz w:val="20"/>
          <w:szCs w:val="20"/>
          <w:color w:val="auto"/>
        </w:rPr>
      </w:pPr>
      <w:r>
        <w:rPr>
          <w:rFonts w:ascii="Arial" w:cs="Arial" w:eastAsia="Arial" w:hAnsi="Arial"/>
          <w:sz w:val="14"/>
          <w:szCs w:val="14"/>
          <w:color w:val="auto"/>
        </w:rPr>
        <w:t>Net investment income totaled $11.3 million and $34.1 million, or $0.29 and $0.88 per share, for the three and nine months ended June 30, 2019, respectively. Net investment income totaled $11.8 million and $19.3 million, or $0.31 and $0.51 per share, for the three and nine months ended June 30, 2018, respectively. The change in net investment income compared to the same periods in the prior year was primarily due to the growth of our portfolio as well higher leverage cost.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firstLine="438"/>
        <w:spacing w:after="0" w:line="296" w:lineRule="auto"/>
        <w:rPr>
          <w:sz w:val="20"/>
          <w:szCs w:val="20"/>
          <w:color w:val="auto"/>
        </w:rPr>
      </w:pPr>
      <w:r>
        <w:rPr>
          <w:rFonts w:ascii="Arial" w:cs="Arial" w:eastAsia="Arial" w:hAnsi="Arial"/>
          <w:sz w:val="12"/>
          <w:szCs w:val="12"/>
          <w:color w:val="auto"/>
        </w:rPr>
        <w:t>Sales and repayments of investments for the three and nine months ended June 30, 2019 totaled $66.6 million and $400.1 million, respectively, and net realized losses totaled $18.4 million and $16.4 million, respectively. Sales and repayments of investments for the three and nine months ended June 30, 2018 totaled $87.9 million and $283.6 million, respectively, and net realized losses totaled $1.8 million and $3.1 million, respectively. The change in realized gains/losses was primarily due to changes in the market conditions of our investments and the values at which they were realized.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For the three and nine months ended June 30, 2019, we reported net change in unrealized appreciation (depreciation) on investments of $11.9 million and $(13.2) million, respectively. For the three and nine months ended June 30, 2018, we reported net change in unrealized depreciation on investments of $3.2 million and $0.2 million, respectively. As of June 30, 2019 and September 30, 2018, our net unrealized depreciation on investments totaled $13.9 million and $0.9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1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For the three and nine months ended June 30, 2019, the Credit Facility and the 2023 Notes had a net change in unrealized appreciation of $0.4 million and $0.4 million, respectively. For the three and nine months ended June 30, 2018, the Credit Facility and the 2023 Notes had a net change in unrealized (appreciation) depreciation of $(1.9) million and $6.5 million, respectively. As of June 30, 2019 and September 30, 2018, the net unrealized depreciation on the Credit Facility and the 2023 Notes totaled $4.2 million and $4.7 million, respectively. The net change in net unrealized depreciation compared to the same period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220" w:firstLine="438"/>
        <w:spacing w:after="0" w:line="264" w:lineRule="auto"/>
        <w:rPr>
          <w:sz w:val="20"/>
          <w:szCs w:val="20"/>
          <w:color w:val="auto"/>
        </w:rPr>
      </w:pPr>
      <w:r>
        <w:rPr>
          <w:rFonts w:ascii="Arial" w:cs="Arial" w:eastAsia="Arial" w:hAnsi="Arial"/>
          <w:sz w:val="13"/>
          <w:szCs w:val="13"/>
          <w:color w:val="auto"/>
        </w:rPr>
        <w:t>Net change in net assets resulting from operations totaled $4.5 million and $4.0 million, or $0.12 and $0.10 per share, respectively, for the three and nine months ended June 30, 2019. This compares to a net change in net assets resulting from operations of $5.0 million and $22.5 million, or $0.13 and $0.59 per share, respectively, for the three and nine months ended June 30, 2018. The decrease in the net change in net assets from operations compared to the same periods in the prior year was primarily due to depreciation of the portfolio in the current period.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2019, in accordance with the 1940 Act, with certain limited exceptions, we are only allowed to borrow amounts such that we are in compliance with a 150% asset coverage ratio requirement after such borrowing.</w:t>
      </w:r>
    </w:p>
    <w:p>
      <w:pPr>
        <w:spacing w:after="0" w:line="116"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2019 and September 30, 2018, our asset coverage ratio, as computed in accordance with the 1940 Act, was 190% and 213%, respectively.</w:t>
      </w:r>
    </w:p>
    <w:p>
      <w:pPr>
        <w:spacing w:after="0" w:line="107"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$520 million as of June 30, 2019, subject to satisfaction of certain conditions and regulatory restrictions that the 1940 Act imposes on us as a BDC, has an interest rate spread above LIBOR of 200 basis points, a maturity date of October 2023 and a revolving period that ends in October 2021. As of June 30, 2019 and September 30, 2018, Funding I had $415.3 million and $333.7 million of outstanding borrowings under the Credit Facility, respectively. The Credit Facility had a weighted average interest rate of 4.4% and 4.3%, exclusive of the fee on undrawn commitments as of June 30, 2019 and September 30, 2018, respectively.</w:t>
      </w:r>
    </w:p>
    <w:p>
      <w:pPr>
        <w:spacing w:after="0" w:line="11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The annualized weighted average cost of debt for the nine months ended June 30, 2019 and 2018, inclusive of the fee on the undrawn commitment of 0.4% on the Credit Facility, amendment costs and debt issuance costs, was 5.3% and 7.3%, respectively (excluding amendment and debt issuance costs, amounts were 4.4% and 4.0%, respectively). As of June 30, 2019 and September 30, 2018, we had $104.7 million and $71.3 million of unused borrowing capacity under the Credit Facility, respectively, subject to the regulatory restrictions.</w:t>
      </w:r>
    </w:p>
    <w:p>
      <w:pPr>
        <w:spacing w:after="0" w:line="10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2019,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The 2023 Notes pay interest at a rate of 3.8%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nine months ended June 30, 2019 and 2018, we issued zero and 6.3 million shares, respectively. As a result, we raised approximately zero and $88.0 million in net proceeds from our issuances of our equity capital, respectively.</w:t>
      </w:r>
    </w:p>
    <w:p>
      <w:pPr>
        <w:spacing w:after="0" w:line="11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 of June 30, 2019 and September 30, 2018, we had cash equivalents of $25.4 million and $72.2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operating activities used cash of $96.0 million for the nine months ended June 30, 2019, and our financing activities provided cash of $48.4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5"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Our operating activities used cash of $183.0 million for the nine months ended June 30, 2018 and our financing activities provided cash of $196.6 million for the same period. Our operating activities used cash primarily for our investment activities and our financing activities provided cash primarily from a follow-on equity offering and the issuance of the 2023 Notes.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28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June 30, 2019, PSSL had total assets of $483.3 million. As of the same date, we and Kemper had remaining commitments to fund first lien secured debt and equity interests in PSSL in an aggregate amount of $12.5 million. PSSL invests in portfolio companies in the same industries in which we may directly invest.</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2019, we and Kemper owned 87.5% and 12.5%, respectively, of each of the outstanding first lien secured debt and equity interests. As of the same date, our investment in PSSL consisted of first lien secured debt of $121.0 million and equity interests of $51.8 million. As of the same date, we had commitments to fund first lien secured debt to PSSL of $128.6 million, of which $7.6 million was unfunded. As of June 30, 2019, we had commitments to fund equity interests in PSSL of $55.1 million, of which $3.3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June 30, 2019 allowed PSSL Subsidiary to borrow up to $420.0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c>
          <w:tcPr>
            <w:tcW w:w="20" w:type="dxa"/>
            <w:vAlign w:val="bottom"/>
          </w:tcPr>
          <w:p>
            <w:pPr>
              <w:spacing w:after="0"/>
              <w:rPr>
                <w:sz w:val="14"/>
                <w:szCs w:val="14"/>
                <w:color w:val="auto"/>
              </w:rPr>
            </w:pPr>
          </w:p>
        </w:tc>
      </w:tr>
      <w:tr>
        <w:trPr>
          <w:trHeight w:val="155"/>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469,969,339</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22,137,382</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103,217,607</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260" w:type="dxa"/>
            <w:vAlign w:val="bottom"/>
          </w:tcPr>
          <w:p>
            <w:pPr>
              <w:spacing w:after="0"/>
              <w:rPr>
                <w:sz w:val="24"/>
                <w:szCs w:val="24"/>
                <w:color w:val="auto"/>
              </w:rPr>
            </w:pPr>
          </w:p>
        </w:tc>
        <w:tc>
          <w:tcPr>
            <w:tcW w:w="2920" w:type="dxa"/>
            <w:vAlign w:val="bottom"/>
          </w:tcPr>
          <w:p>
            <w:pPr>
              <w:jc w:val="right"/>
              <w:ind w:right="1408"/>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260" w:type="dxa"/>
            <w:vAlign w:val="bottom"/>
            <w:tcBorders>
              <w:bottom w:val="single" w:sz="8" w:color="9A9A9A"/>
            </w:tcBorders>
          </w:tcPr>
          <w:p>
            <w:pPr>
              <w:spacing w:after="0"/>
              <w:rPr>
                <w:sz w:val="21"/>
                <w:szCs w:val="21"/>
                <w:color w:val="auto"/>
              </w:rPr>
            </w:pPr>
          </w:p>
        </w:tc>
        <w:tc>
          <w:tcPr>
            <w:tcW w:w="292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5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6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37" w:name="page38"/>
    <w:bookmarkEnd w:id="37"/>
    <w:p>
      <w:pPr>
        <w:ind w:left="440"/>
        <w:spacing w:after="0"/>
        <w:rPr>
          <w:sz w:val="20"/>
          <w:szCs w:val="20"/>
          <w:color w:val="auto"/>
        </w:rPr>
      </w:pPr>
      <w:r>
        <w:rPr>
          <w:rFonts w:ascii="Arial" w:cs="Arial" w:eastAsia="Arial" w:hAnsi="Arial"/>
          <w:sz w:val="14"/>
          <w:szCs w:val="14"/>
          <w:color w:val="auto"/>
        </w:rPr>
        <w:t>Below is a listing of PSSL’s individual investments as of June 30, 2019:</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4"/>
          </w:tcPr>
          <w:p>
            <w:pPr>
              <w:jc w:val="center"/>
              <w:ind w:right="24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2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20" w:type="dxa"/>
            <w:vAlign w:val="bottom"/>
          </w:tcPr>
          <w:p>
            <w:pPr>
              <w:ind w:left="460"/>
              <w:spacing w:after="0"/>
              <w:rPr>
                <w:sz w:val="20"/>
                <w:szCs w:val="20"/>
                <w:color w:val="auto"/>
              </w:rPr>
            </w:pPr>
            <w:r>
              <w:rPr>
                <w:rFonts w:ascii="Arial" w:cs="Arial" w:eastAsia="Arial" w:hAnsi="Arial"/>
                <w:sz w:val="11"/>
                <w:szCs w:val="11"/>
                <w:b w:val="1"/>
                <w:bCs w:val="1"/>
                <w:color w:val="auto"/>
              </w:rPr>
              <w:t>Maturity</w:t>
            </w:r>
          </w:p>
        </w:tc>
        <w:tc>
          <w:tcPr>
            <w:tcW w:w="2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2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9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w w:val="99"/>
              </w:rPr>
              <w:t>Investments in Non-Controlled, Non-Affiliated Portfolio Companies—810.7%</w:t>
            </w:r>
          </w:p>
        </w:tc>
        <w:tc>
          <w:tcPr>
            <w:tcW w:w="25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b w:val="1"/>
                <w:bCs w:val="1"/>
                <w:color w:val="auto"/>
              </w:rPr>
              <w:t>First Lien Secured Debt—784.7%</w:t>
            </w: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American Auto Auction Group,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01/02/2024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7.34%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L+475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7,788,947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7,713,247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7,711,057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05/16/2022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8.65%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L+725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13,966,474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13,703,235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13,966,474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Cadence Aerospace,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11/14/2023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11,765,000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11,669,308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11,656,385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Cardenas Markets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11/29/2023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8.15%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7,367,758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7,328,804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7,146,725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Challenger Performance Optimization,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08/31/2023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8.18%</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10,192,367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10,101,245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10,090,443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88"/>
              </w:rPr>
              <w:t>05/01/23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Country Fresh Holdings, LLC (Revolver)</w:t>
            </w:r>
          </w:p>
        </w:tc>
        <w:tc>
          <w:tcPr>
            <w:tcW w:w="1220" w:type="dxa"/>
            <w:vAlign w:val="bottom"/>
            <w:shd w:val="clear" w:color="auto" w:fill="CFF0FC"/>
          </w:tcPr>
          <w:p>
            <w:pPr>
              <w:jc w:val="center"/>
              <w:ind w:left="66"/>
              <w:spacing w:after="0"/>
              <w:rPr>
                <w:sz w:val="20"/>
                <w:szCs w:val="20"/>
                <w:color w:val="auto"/>
              </w:rPr>
            </w:pPr>
            <w:r>
              <w:rPr>
                <w:rFonts w:ascii="Arial" w:cs="Arial" w:eastAsia="Arial" w:hAnsi="Arial"/>
                <w:sz w:val="11"/>
                <w:szCs w:val="11"/>
                <w:color w:val="auto"/>
                <w:w w:val="88"/>
              </w:rPr>
              <w:t>05/01/23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7.33%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178,981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1220" w:type="dxa"/>
            <w:vAlign w:val="bottom"/>
          </w:tcPr>
          <w:p>
            <w:pPr>
              <w:jc w:val="center"/>
              <w:ind w:left="66"/>
              <w:spacing w:after="0"/>
              <w:rPr>
                <w:sz w:val="20"/>
                <w:szCs w:val="20"/>
                <w:color w:val="auto"/>
              </w:rPr>
            </w:pPr>
            <w:r>
              <w:rPr>
                <w:rFonts w:ascii="Arial" w:cs="Arial" w:eastAsia="Arial" w:hAnsi="Arial"/>
                <w:sz w:val="11"/>
                <w:szCs w:val="11"/>
                <w:color w:val="auto"/>
                <w:w w:val="88"/>
              </w:rPr>
              <w:t>05/01/23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Deva Holdings,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10/31/2023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8.65%</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19,798,995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19,798,995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19,798,995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10/19/2022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12,343,750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12,177,552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12,220,312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Douglas Sewer Intermediate,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10/19/2022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8.08%</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8,187,165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8,132,821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8,105,293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05/31/2024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rPr>
              <w:t>L+525A $</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7,370,292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6,806,965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GCOM Software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11/14/2022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L+750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17,679,835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17,548,440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17,679,835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Good2Grow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11/18/2024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12,437,500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12,323,465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12,313,126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Good Source Solutions,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06/29/2023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14,486,250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14,362,677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13,982,621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GSM Holdings,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06/03/2024</w:t>
            </w:r>
          </w:p>
        </w:tc>
        <w:tc>
          <w:tcPr>
            <w:tcW w:w="272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19,718,741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19,567,681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19,521,554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IMIA Holdings,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10/28/2024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6.83%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12,437,500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12,380,182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12,375,312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Impact Group,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06/27/2023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L+650</w:t>
            </w:r>
          </w:p>
        </w:tc>
        <w:tc>
          <w:tcPr>
            <w:tcW w:w="560" w:type="dxa"/>
            <w:vAlign w:val="bottom"/>
          </w:tcPr>
          <w:p>
            <w:pPr>
              <w:jc w:val="right"/>
              <w:spacing w:after="0"/>
              <w:rPr>
                <w:sz w:val="20"/>
                <w:szCs w:val="20"/>
                <w:color w:val="auto"/>
              </w:rPr>
            </w:pPr>
            <w:r>
              <w:rPr>
                <w:rFonts w:ascii="Arial" w:cs="Arial" w:eastAsia="Arial" w:hAnsi="Arial"/>
                <w:sz w:val="11"/>
                <w:szCs w:val="11"/>
                <w:color w:val="auto"/>
              </w:rPr>
              <w:t>9,415,185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9,317,781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9,321,033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12/12/2023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6.06%</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L+425A $</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15,000,000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10,966,988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10,401,910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12/20/2023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19,674,203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19,688,865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LAV Gear Holdings,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10/31/2024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7.83%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9,858,961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9,911,725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09/12/2022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rPr>
              <w:t>L+575A $</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14,793,247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10,508,475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10,381,146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Long's Drugs Incorporated</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08/19/2022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17,865,000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17,724,092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17,686,350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05/01/2023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8.42%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tcPr>
          <w:p>
            <w:pPr>
              <w:jc w:val="right"/>
              <w:spacing w:after="0"/>
              <w:rPr>
                <w:sz w:val="20"/>
                <w:szCs w:val="20"/>
                <w:color w:val="auto"/>
              </w:rPr>
            </w:pPr>
            <w:r>
              <w:rPr>
                <w:rFonts w:ascii="Arial" w:cs="Arial" w:eastAsia="Arial" w:hAnsi="Arial"/>
                <w:sz w:val="11"/>
                <w:szCs w:val="11"/>
                <w:color w:val="auto"/>
              </w:rPr>
              <w:t>7,125,000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7,169,234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6,658,883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Manna Pro Products,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12/08/2023</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6,895,000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6,811,021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6,690,130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01/27/2021</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7.21%</w:t>
            </w:r>
          </w:p>
        </w:tc>
        <w:tc>
          <w:tcPr>
            <w:tcW w:w="560" w:type="dxa"/>
            <w:vAlign w:val="bottom"/>
          </w:tcPr>
          <w:p>
            <w:pPr>
              <w:spacing w:after="0"/>
              <w:rPr>
                <w:sz w:val="11"/>
                <w:szCs w:val="1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w w:val="97"/>
              </w:rPr>
              <w:t>P+275C $</w:t>
            </w:r>
          </w:p>
        </w:tc>
        <w:tc>
          <w:tcPr>
            <w:tcW w:w="560" w:type="dxa"/>
            <w:vAlign w:val="bottom"/>
          </w:tcPr>
          <w:p>
            <w:pPr>
              <w:jc w:val="right"/>
              <w:spacing w:after="0"/>
              <w:rPr>
                <w:sz w:val="20"/>
                <w:szCs w:val="20"/>
                <w:color w:val="auto"/>
              </w:rPr>
            </w:pPr>
            <w:r>
              <w:rPr>
                <w:rFonts w:ascii="Arial" w:cs="Arial" w:eastAsia="Arial" w:hAnsi="Arial"/>
                <w:sz w:val="11"/>
                <w:szCs w:val="11"/>
                <w:color w:val="auto"/>
              </w:rPr>
              <w:t>5,775,254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4,468,226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4,419,554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Mission Critical Electronics,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09/28/2022</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6,025,044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5,990,699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6,017,961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Morphe,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02/10/2023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16,678,402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16,575,814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16,595,010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New Milani Group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06/06/2024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6.69%</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14,887,500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14,760,960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14,738,625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Olde Thompson,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05/14/2024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12,611,667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12,485,550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12,611,667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Output Services Group,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03/27/2024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6.65%</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7,903,419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7,931,431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7,073,560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06/01/2023</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9,860,482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9,881,344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PH Beauty Holdings III,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09/29/2025</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10,917,500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10,816,718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10,808,325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10/19/2022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1,762,835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1,739,384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1,745,207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PlayPower, Inc.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9"/>
              </w:rPr>
              <w:t>05/8/2026</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4,158,218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4,205,250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Smile Brands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10/14/2024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11,318,125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11,213,908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11,204,944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Snak Club,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07/19/2021</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8.44%</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4,124,996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12/01/2022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15,263,579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15,266,582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15,263,579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The Infosoft Group,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12/02/2021</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6M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8,988,029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8,950,390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8,898,149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UBEO,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04/03/2024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22,360,991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22,150,179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22,137,382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Urology Management Associates,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08/30/2024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L+500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8,436,250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8,302,714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8,436,250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US Dominion,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07/15/2024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9.16%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L+675</w:t>
            </w:r>
          </w:p>
        </w:tc>
        <w:tc>
          <w:tcPr>
            <w:tcW w:w="560" w:type="dxa"/>
            <w:vAlign w:val="bottom"/>
          </w:tcPr>
          <w:p>
            <w:pPr>
              <w:jc w:val="right"/>
              <w:spacing w:after="0"/>
              <w:rPr>
                <w:sz w:val="20"/>
                <w:szCs w:val="20"/>
                <w:color w:val="auto"/>
              </w:rPr>
            </w:pPr>
            <w:r>
              <w:rPr>
                <w:rFonts w:ascii="Arial" w:cs="Arial" w:eastAsia="Arial" w:hAnsi="Arial"/>
                <w:sz w:val="11"/>
                <w:szCs w:val="11"/>
                <w:color w:val="auto"/>
              </w:rPr>
              <w:t>3,960,000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3,899,682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3,960,000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Walker Edison Furniture Company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09/26/2024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9.10%</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L+650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16,103,656</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15,813,761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16,200,279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10/18/2022</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9.91%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L+900</w:t>
            </w:r>
          </w:p>
        </w:tc>
        <w:tc>
          <w:tcPr>
            <w:tcW w:w="560" w:type="dxa"/>
            <w:vAlign w:val="bottom"/>
          </w:tcPr>
          <w:p>
            <w:pPr>
              <w:jc w:val="right"/>
              <w:spacing w:after="0"/>
              <w:rPr>
                <w:sz w:val="20"/>
                <w:szCs w:val="20"/>
                <w:color w:val="auto"/>
              </w:rPr>
            </w:pPr>
            <w:r>
              <w:rPr>
                <w:rFonts w:ascii="Arial" w:cs="Arial" w:eastAsia="Arial" w:hAnsi="Arial"/>
                <w:sz w:val="11"/>
                <w:szCs w:val="11"/>
                <w:color w:val="auto"/>
              </w:rPr>
              <w:t>5,501,362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5,419,531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5,501,362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Xebec Global Holdings, LLC</w:t>
            </w:r>
          </w:p>
        </w:tc>
        <w:tc>
          <w:tcPr>
            <w:tcW w:w="1220" w:type="dxa"/>
            <w:vAlign w:val="bottom"/>
            <w:shd w:val="clear" w:color="auto" w:fill="CFF0FC"/>
          </w:tcPr>
          <w:p>
            <w:pPr>
              <w:jc w:val="center"/>
              <w:ind w:left="86"/>
              <w:spacing w:after="0"/>
              <w:rPr>
                <w:sz w:val="20"/>
                <w:szCs w:val="20"/>
                <w:color w:val="auto"/>
              </w:rPr>
            </w:pPr>
            <w:r>
              <w:rPr>
                <w:rFonts w:ascii="Arial" w:cs="Arial" w:eastAsia="Arial" w:hAnsi="Arial"/>
                <w:sz w:val="11"/>
                <w:szCs w:val="11"/>
                <w:color w:val="auto"/>
                <w:w w:val="87"/>
              </w:rPr>
              <w:t>02/12/2024</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7.93%</w:t>
            </w:r>
          </w:p>
        </w:tc>
        <w:tc>
          <w:tcPr>
            <w:tcW w:w="56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w w:val="96"/>
              </w:rPr>
              <w:t>L+550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6,698,853</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6,674,853</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6,682,106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2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457,680,287</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454,929,121</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Second Lien Secured Debt—14.5%</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04/29/2024</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10.83%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L+850</w:t>
            </w:r>
          </w:p>
        </w:tc>
        <w:tc>
          <w:tcPr>
            <w:tcW w:w="560" w:type="dxa"/>
            <w:vAlign w:val="bottom"/>
          </w:tcPr>
          <w:p>
            <w:pPr>
              <w:jc w:val="right"/>
              <w:spacing w:after="0"/>
              <w:rPr>
                <w:sz w:val="20"/>
                <w:szCs w:val="20"/>
                <w:color w:val="auto"/>
              </w:rPr>
            </w:pPr>
            <w:r>
              <w:rPr>
                <w:rFonts w:ascii="Arial" w:cs="Arial" w:eastAsia="Arial" w:hAnsi="Arial"/>
                <w:sz w:val="11"/>
                <w:szCs w:val="11"/>
                <w:color w:val="auto"/>
              </w:rPr>
              <w:t>846,936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846,936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846,936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10.83%)</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03/26/2021</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w w:val="96"/>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DBI Holding, LLC, Term Loan C</w:t>
            </w:r>
          </w:p>
        </w:tc>
        <w:tc>
          <w:tcPr>
            <w:tcW w:w="1220" w:type="dxa"/>
            <w:vAlign w:val="bottom"/>
          </w:tcPr>
          <w:p>
            <w:pPr>
              <w:jc w:val="center"/>
              <w:ind w:left="86"/>
              <w:spacing w:after="0"/>
              <w:rPr>
                <w:sz w:val="20"/>
                <w:szCs w:val="20"/>
                <w:color w:val="auto"/>
              </w:rPr>
            </w:pPr>
            <w:r>
              <w:rPr>
                <w:rFonts w:ascii="Arial" w:cs="Arial" w:eastAsia="Arial" w:hAnsi="Arial"/>
                <w:sz w:val="11"/>
                <w:szCs w:val="11"/>
                <w:color w:val="auto"/>
                <w:w w:val="87"/>
              </w:rPr>
              <w:t>02/02/2026</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spacing w:after="0"/>
              <w:rPr>
                <w:sz w:val="11"/>
                <w:szCs w:val="11"/>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2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8,469,434</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8,431,398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Equity Securities—11.4%</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20" w:type="dxa"/>
            <w:vAlign w:val="bottom"/>
          </w:tcPr>
          <w:p>
            <w:pPr>
              <w:ind w:left="680"/>
              <w:spacing w:after="0"/>
              <w:rPr>
                <w:sz w:val="20"/>
                <w:szCs w:val="20"/>
                <w:color w:val="auto"/>
              </w:rPr>
            </w:pPr>
            <w:r>
              <w:rPr>
                <w:rFonts w:ascii="Arial" w:cs="Arial" w:eastAsia="Arial" w:hAnsi="Arial"/>
                <w:sz w:val="11"/>
                <w:szCs w:val="11"/>
                <w:color w:val="auto"/>
              </w:rPr>
              <w:t>—</w:t>
            </w:r>
          </w:p>
        </w:tc>
        <w:tc>
          <w:tcPr>
            <w:tcW w:w="272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DBI Holding, LLC, Series A-1</w:t>
            </w:r>
          </w:p>
        </w:tc>
        <w:tc>
          <w:tcPr>
            <w:tcW w:w="1220" w:type="dxa"/>
            <w:vAlign w:val="bottom"/>
            <w:shd w:val="clear" w:color="auto" w:fill="CFF0FC"/>
          </w:tcPr>
          <w:p>
            <w:pPr>
              <w:ind w:left="680"/>
              <w:spacing w:after="0"/>
              <w:rPr>
                <w:sz w:val="20"/>
                <w:szCs w:val="20"/>
                <w:color w:val="auto"/>
              </w:rPr>
            </w:pPr>
            <w:r>
              <w:rPr>
                <w:rFonts w:ascii="Arial" w:cs="Arial" w:eastAsia="Arial" w:hAnsi="Arial"/>
                <w:sz w:val="11"/>
                <w:szCs w:val="11"/>
                <w:color w:val="auto"/>
              </w:rPr>
              <w:t>—</w:t>
            </w:r>
          </w:p>
        </w:tc>
        <w:tc>
          <w:tcPr>
            <w:tcW w:w="2720" w:type="dxa"/>
            <w:vAlign w:val="bottom"/>
            <w:gridSpan w:val="2"/>
            <w:shd w:val="clear" w:color="auto" w:fill="CFF0FC"/>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5,034,806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DBI Holding, LLC, Series B</w:t>
            </w:r>
          </w:p>
        </w:tc>
        <w:tc>
          <w:tcPr>
            <w:tcW w:w="1220" w:type="dxa"/>
            <w:vAlign w:val="bottom"/>
            <w:tcBorders>
              <w:bottom w:val="single" w:sz="8" w:color="CFF0FC"/>
            </w:tcBorders>
          </w:tcPr>
          <w:p>
            <w:pPr>
              <w:ind w:left="680"/>
              <w:spacing w:after="0"/>
              <w:rPr>
                <w:sz w:val="20"/>
                <w:szCs w:val="20"/>
                <w:color w:val="auto"/>
              </w:rPr>
            </w:pPr>
            <w:r>
              <w:rPr>
                <w:rFonts w:ascii="Arial" w:cs="Arial" w:eastAsia="Arial" w:hAnsi="Arial"/>
                <w:sz w:val="11"/>
                <w:szCs w:val="11"/>
                <w:color w:val="auto"/>
              </w:rPr>
              <w:t>—</w:t>
            </w:r>
          </w:p>
        </w:tc>
        <w:tc>
          <w:tcPr>
            <w:tcW w:w="272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6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gridSpan w:val="3"/>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160,208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Equity Securities</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6,608,821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1"/>
              </w:rPr>
              <w:t>473,133,658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469,969,339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Equivalents—16.8%</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7,556,272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7,556,272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US Bank Cash</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2,196,606</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2,202,887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2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9,752,878</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9,759,159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Investments and Cash Equivalents—827.5%</w:t>
            </w:r>
          </w:p>
        </w:tc>
        <w:tc>
          <w:tcPr>
            <w:tcW w:w="12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1"/>
              </w:rPr>
              <w:t>482,886,536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479,728,498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Assets—(727.5)%</w:t>
            </w:r>
          </w:p>
        </w:tc>
        <w:tc>
          <w:tcPr>
            <w:tcW w:w="122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(421,755,865)</w:t>
            </w:r>
          </w:p>
        </w:tc>
        <w:tc>
          <w:tcPr>
            <w:tcW w:w="0" w:type="dxa"/>
            <w:vAlign w:val="bottom"/>
          </w:tcPr>
          <w:p>
            <w:pPr>
              <w:spacing w:after="0"/>
              <w:rPr>
                <w:sz w:val="1"/>
                <w:szCs w:val="1"/>
                <w:color w:val="auto"/>
              </w:rPr>
            </w:pPr>
          </w:p>
        </w:tc>
      </w:tr>
      <w:tr>
        <w:trPr>
          <w:trHeight w:val="128"/>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Members' Equity—100.0%</w:t>
            </w:r>
          </w:p>
        </w:tc>
        <w:tc>
          <w:tcPr>
            <w:tcW w:w="1220" w:type="dxa"/>
            <w:vAlign w:val="bottom"/>
            <w:tcBorders>
              <w:top w:val="single" w:sz="8" w:color="CFF0FC"/>
              <w:bottom w:val="single" w:sz="8" w:color="CFF0FC"/>
            </w:tcBorders>
            <w:shd w:val="clear" w:color="auto" w:fill="CFF0FC"/>
          </w:tcPr>
          <w:p>
            <w:pPr>
              <w:spacing w:after="0"/>
              <w:rPr>
                <w:sz w:val="11"/>
                <w:szCs w:val="11"/>
                <w:color w:val="auto"/>
              </w:rPr>
            </w:pPr>
          </w:p>
        </w:tc>
        <w:tc>
          <w:tcPr>
            <w:tcW w:w="25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600" w:type="dxa"/>
            <w:vAlign w:val="bottom"/>
            <w:tcBorders>
              <w:top w:val="single" w:sz="8" w:color="CFF0FC"/>
              <w:bottom w:val="single" w:sz="8" w:color="CFF0FC"/>
            </w:tcBorders>
            <w:shd w:val="clear" w:color="auto" w:fill="CFF0FC"/>
          </w:tcPr>
          <w:p>
            <w:pPr>
              <w:spacing w:after="0"/>
              <w:rPr>
                <w:sz w:val="11"/>
                <w:szCs w:val="11"/>
                <w:color w:val="auto"/>
              </w:rPr>
            </w:pP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CFF0FC"/>
              <w:bottom w:val="single" w:sz="8" w:color="CFF0FC"/>
            </w:tcBorders>
            <w:shd w:val="clear" w:color="auto" w:fill="CFF0FC"/>
          </w:tcPr>
          <w:p>
            <w:pPr>
              <w:spacing w:after="0"/>
              <w:rPr>
                <w:sz w:val="11"/>
                <w:szCs w:val="11"/>
                <w:color w:val="auto"/>
              </w:rPr>
            </w:pPr>
          </w:p>
        </w:tc>
        <w:tc>
          <w:tcPr>
            <w:tcW w:w="3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60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57,972,633</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tbl>
      <w:tblPr>
        <w:tblLayout w:type="fixed"/>
        <w:tblInd w:w="0" w:type="dxa"/>
        <w:tblCellMar>
          <w:top w:w="0" w:type="dxa"/>
          <w:left w:w="0" w:type="dxa"/>
          <w:bottom w:w="0" w:type="dxa"/>
          <w:right w:w="0" w:type="dxa"/>
        </w:tblCellMar>
      </w:tblP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10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left="22"/>
              <w:spacing w:after="0"/>
              <w:rPr>
                <w:sz w:val="20"/>
                <w:szCs w:val="20"/>
                <w:color w:val="auto"/>
              </w:rPr>
            </w:pPr>
            <w:r>
              <w:rPr>
                <w:rFonts w:ascii="Arial" w:cs="Arial" w:eastAsia="Arial" w:hAnsi="Arial"/>
                <w:sz w:val="12"/>
                <w:szCs w:val="12"/>
                <w:b w:val="1"/>
                <w:bCs w:val="1"/>
                <w:color w:val="auto"/>
                <w:w w:val="98"/>
              </w:rPr>
              <w:t>Maturity</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110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560" w:type="dxa"/>
            <w:vAlign w:val="bottom"/>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5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3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04/04/2022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6.99%</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11/30/2021</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Transportation: Consumer</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7.34%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L+525</w:t>
            </w:r>
          </w:p>
        </w:tc>
        <w:tc>
          <w:tcPr>
            <w:tcW w:w="56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4,910,720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4,875,378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08/01/2024</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6.70%</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04/22/2024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8.25%</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L+600</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04/06/2023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7.00%</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05/16/2022</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9.57%</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L+725</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11/14/2023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8.83%</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L+650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11/29/2023</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7.99%</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L+575</w:t>
            </w:r>
          </w:p>
        </w:tc>
        <w:tc>
          <w:tcPr>
            <w:tcW w:w="56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7,381,442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7,424,433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08/31/2023</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7.85%</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03/31/2023</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7.39%</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L+500</w:t>
            </w:r>
          </w:p>
        </w:tc>
        <w:tc>
          <w:tcPr>
            <w:tcW w:w="56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4,348,465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4,218,011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08/02/2021</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7.51%</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10/31/2023</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7.74%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L+550</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12/29/2023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0"/>
              </w:rPr>
              <w:t>Media: Advertising, Printing and Publishing</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7.25%</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03/29/2022</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8.14%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L+575</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09/30/2022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6.86%</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05/30/2025</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Transportation: Cargo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6.64%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L+425</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05/31/2024</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7"/>
              </w:rPr>
              <w:t>Banking, Finance, Insurance and Real Estate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7.23%</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L+525A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11/14/2022</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9.67%</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L+750</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06/29/2023</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8.39%</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06/03/2024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6.87%</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L+450</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06/27/2023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Wholesale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8.64%</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12/12/2023</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Wholesale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6.64%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L+475A $</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08/19/2022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7.12%</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05/01/2023</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Retail</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8.12%</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L+600</w:t>
            </w:r>
          </w:p>
        </w:tc>
        <w:tc>
          <w:tcPr>
            <w:tcW w:w="56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7,319,871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7,002,246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12/08/2023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8.15%</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01/27/2021</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Media: Diversified and Production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7.08%</w:t>
            </w:r>
          </w:p>
        </w:tc>
        <w:tc>
          <w:tcPr>
            <w:tcW w:w="540" w:type="dxa"/>
            <w:vAlign w:val="bottom"/>
          </w:tcPr>
          <w:p>
            <w:pPr>
              <w:spacing w:after="0"/>
              <w:rPr>
                <w:sz w:val="12"/>
                <w:szCs w:val="12"/>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color w:val="auto"/>
                <w:w w:val="96"/>
              </w:rPr>
              <w:t>P+275C $</w:t>
            </w:r>
          </w:p>
        </w:tc>
        <w:tc>
          <w:tcPr>
            <w:tcW w:w="56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4,486,587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4,502,752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12/27/2023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6.71%</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09/30/2024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6.74%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L+450</w:t>
            </w:r>
          </w:p>
        </w:tc>
        <w:tc>
          <w:tcPr>
            <w:tcW w:w="56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7,359,161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7,482,024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09/28/2022</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7.20%</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02/10/2023</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8.40%</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L+600</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06/06/2024</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6.37%</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L+425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05/14/2024</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6.66%</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L+450</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03/27/2024</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6.49%</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L+425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07/19/2021</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8.10%</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L+600</w:t>
            </w:r>
          </w:p>
        </w:tc>
        <w:tc>
          <w:tcPr>
            <w:tcW w:w="56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4,687,495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4,054,683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12/01/2022</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6.49%</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L+425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12/02/2021</w:t>
            </w:r>
          </w:p>
        </w:tc>
        <w:tc>
          <w:tcPr>
            <w:tcW w:w="262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7.58%</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tcPr>
          <w:p>
            <w:pPr>
              <w:spacing w:after="0"/>
              <w:rPr>
                <w:sz w:val="20"/>
                <w:szCs w:val="20"/>
                <w:color w:val="auto"/>
              </w:rPr>
            </w:pPr>
            <w:r>
              <w:rPr>
                <w:rFonts w:ascii="Arial" w:cs="Arial" w:eastAsia="Arial" w:hAnsi="Arial"/>
                <w:sz w:val="12"/>
                <w:szCs w:val="12"/>
                <w:color w:val="auto"/>
              </w:rPr>
              <w:t>L+525</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04/03/2024</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6.60%</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08/30/2024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7.24%</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L+500</w:t>
            </w:r>
          </w:p>
        </w:tc>
        <w:tc>
          <w:tcPr>
            <w:tcW w:w="56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8,352,305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8,351,250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07/15/2024</w:t>
            </w:r>
          </w:p>
        </w:tc>
        <w:tc>
          <w:tcPr>
            <w:tcW w:w="262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9.14%</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L+675</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03/01/2023</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8.25%</w:t>
            </w:r>
          </w:p>
        </w:tc>
        <w:tc>
          <w:tcPr>
            <w:tcW w:w="540" w:type="dxa"/>
            <w:vAlign w:val="bottom"/>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spacing w:after="0"/>
              <w:rPr>
                <w:sz w:val="20"/>
                <w:szCs w:val="20"/>
                <w:color w:val="auto"/>
              </w:rPr>
            </w:pPr>
            <w:r>
              <w:rPr>
                <w:rFonts w:ascii="Arial" w:cs="Arial" w:eastAsia="Arial" w:hAnsi="Arial"/>
                <w:sz w:val="12"/>
                <w:szCs w:val="12"/>
                <w:color w:val="auto"/>
              </w:rPr>
              <w:t>L+600</w:t>
            </w:r>
          </w:p>
        </w:tc>
        <w:tc>
          <w:tcPr>
            <w:tcW w:w="56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4,678,730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4,636,563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10/18/2022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11.25%</w:t>
            </w:r>
          </w:p>
        </w:tc>
        <w:tc>
          <w:tcPr>
            <w:tcW w:w="540" w:type="dxa"/>
            <w:vAlign w:val="bottom"/>
            <w:shd w:val="clear" w:color="auto" w:fill="CCECFF"/>
          </w:tcPr>
          <w:p>
            <w:pPr>
              <w:jc w:val="center"/>
              <w:ind w:left="282"/>
              <w:spacing w:after="0"/>
              <w:rPr>
                <w:sz w:val="20"/>
                <w:szCs w:val="20"/>
                <w:color w:val="auto"/>
              </w:rPr>
            </w:pPr>
            <w:r>
              <w:rPr>
                <w:rFonts w:ascii="Arial" w:cs="Arial" w:eastAsia="Arial" w:hAnsi="Arial"/>
                <w:sz w:val="12"/>
                <w:szCs w:val="12"/>
                <w:color w:val="auto"/>
                <w:w w:val="95"/>
              </w:rPr>
              <w:t>1M</w:t>
            </w:r>
          </w:p>
        </w:tc>
        <w:tc>
          <w:tcPr>
            <w:tcW w:w="5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L+900</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ind w:left="22"/>
              <w:spacing w:after="0"/>
              <w:rPr>
                <w:sz w:val="20"/>
                <w:szCs w:val="20"/>
                <w:color w:val="auto"/>
              </w:rPr>
            </w:pPr>
            <w:r>
              <w:rPr>
                <w:rFonts w:ascii="Arial" w:cs="Arial" w:eastAsia="Arial" w:hAnsi="Arial"/>
                <w:sz w:val="12"/>
                <w:szCs w:val="12"/>
                <w:color w:val="auto"/>
                <w:w w:val="89"/>
              </w:rPr>
              <w:t>02/12/2024</w:t>
            </w:r>
          </w:p>
        </w:tc>
        <w:tc>
          <w:tcPr>
            <w:tcW w:w="262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8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7.84%</w:t>
            </w:r>
          </w:p>
        </w:tc>
        <w:tc>
          <w:tcPr>
            <w:tcW w:w="540" w:type="dxa"/>
            <w:vAlign w:val="bottom"/>
            <w:tcBorders>
              <w:bottom w:val="single" w:sz="8" w:color="CCECFF"/>
            </w:tcBorders>
          </w:tcPr>
          <w:p>
            <w:pPr>
              <w:jc w:val="center"/>
              <w:ind w:left="282"/>
              <w:spacing w:after="0"/>
              <w:rPr>
                <w:sz w:val="20"/>
                <w:szCs w:val="20"/>
                <w:color w:val="auto"/>
              </w:rPr>
            </w:pPr>
            <w:r>
              <w:rPr>
                <w:rFonts w:ascii="Arial" w:cs="Arial" w:eastAsia="Arial" w:hAnsi="Arial"/>
                <w:sz w:val="12"/>
                <w:szCs w:val="12"/>
                <w:color w:val="auto"/>
                <w:w w:val="95"/>
              </w:rPr>
              <w:t>3M</w:t>
            </w:r>
          </w:p>
        </w:tc>
        <w:tc>
          <w:tcPr>
            <w:tcW w:w="560" w:type="dxa"/>
            <w:vAlign w:val="bottom"/>
            <w:tcBorders>
              <w:bottom w:val="single" w:sz="8" w:color="CCECFF"/>
            </w:tcBorders>
            <w:gridSpan w:val="3"/>
          </w:tcPr>
          <w:p>
            <w:pPr>
              <w:spacing w:after="0"/>
              <w:rPr>
                <w:sz w:val="20"/>
                <w:szCs w:val="20"/>
                <w:color w:val="auto"/>
              </w:rPr>
            </w:pPr>
            <w:r>
              <w:rPr>
                <w:rFonts w:ascii="Arial" w:cs="Arial" w:eastAsia="Arial" w:hAnsi="Arial"/>
                <w:sz w:val="12"/>
                <w:szCs w:val="12"/>
                <w:color w:val="auto"/>
              </w:rPr>
              <w:t>L+550</w:t>
            </w: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2"/>
              </w:rPr>
              <w:t>425,420,881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425,420,881</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438,941,641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Borders>
              <w:top w:val="single" w:sz="8" w:color="CCECFF"/>
            </w:tcBorders>
          </w:tcPr>
          <w:p>
            <w:pPr>
              <w:spacing w:after="0" w:line="20" w:lineRule="exact"/>
              <w:rPr>
                <w:sz w:val="1"/>
                <w:szCs w:val="1"/>
                <w:color w:val="auto"/>
              </w:rPr>
            </w:pPr>
          </w:p>
        </w:tc>
        <w:tc>
          <w:tcPr>
            <w:tcW w:w="25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0"/>
              </w:rPr>
              <w:t>(387,744,237)</w:t>
            </w:r>
          </w:p>
        </w:tc>
        <w:tc>
          <w:tcPr>
            <w:tcW w:w="0" w:type="dxa"/>
            <w:vAlign w:val="bottom"/>
          </w:tcPr>
          <w:p>
            <w:pPr>
              <w:spacing w:after="0"/>
              <w:rPr>
                <w:sz w:val="1"/>
                <w:szCs w:val="1"/>
                <w:color w:val="auto"/>
              </w:rPr>
            </w:pPr>
          </w:p>
        </w:tc>
      </w:tr>
      <w:tr>
        <w:trPr>
          <w:trHeight w:val="142"/>
        </w:trPr>
        <w:tc>
          <w:tcPr>
            <w:tcW w:w="28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top w:val="single" w:sz="8" w:color="CCECFF"/>
              <w:bottom w:val="single" w:sz="8" w:color="CCECFF"/>
            </w:tcBorders>
            <w:shd w:val="clear" w:color="auto" w:fill="CCECFF"/>
          </w:tcPr>
          <w:p>
            <w:pPr>
              <w:spacing w:after="0"/>
              <w:rPr>
                <w:sz w:val="12"/>
                <w:szCs w:val="12"/>
                <w:color w:val="auto"/>
              </w:rPr>
            </w:pPr>
          </w:p>
        </w:tc>
        <w:tc>
          <w:tcPr>
            <w:tcW w:w="250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540" w:type="dxa"/>
            <w:vAlign w:val="bottom"/>
            <w:tcBorders>
              <w:top w:val="single" w:sz="8" w:color="CCECFF"/>
              <w:bottom w:val="single" w:sz="8" w:color="CCECFF"/>
            </w:tcBorders>
            <w:shd w:val="clear" w:color="auto" w:fill="CCECFF"/>
          </w:tcPr>
          <w:p>
            <w:pPr>
              <w:spacing w:after="0"/>
              <w:rPr>
                <w:sz w:val="12"/>
                <w:szCs w:val="12"/>
                <w:color w:val="auto"/>
              </w:rPr>
            </w:pPr>
          </w:p>
        </w:tc>
        <w:tc>
          <w:tcPr>
            <w:tcW w:w="34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4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62" w:lineRule="auto"/>
        <w:tabs>
          <w:tab w:leader="none" w:pos="3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2"/>
        </w:trPr>
        <w:tc>
          <w:tcPr>
            <w:tcW w:w="72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86"/>
        </w:trPr>
        <w:tc>
          <w:tcPr>
            <w:tcW w:w="7240" w:type="dxa"/>
            <w:vAlign w:val="bottom"/>
          </w:tcPr>
          <w:p>
            <w:pPr>
              <w:ind w:left="4100"/>
              <w:spacing w:after="0"/>
              <w:rPr>
                <w:sz w:val="20"/>
                <w:szCs w:val="20"/>
                <w:color w:val="auto"/>
              </w:rPr>
            </w:pPr>
            <w:r>
              <w:rPr>
                <w:rFonts w:ascii="Arial" w:cs="Arial" w:eastAsia="Arial" w:hAnsi="Arial"/>
                <w:sz w:val="14"/>
                <w:szCs w:val="14"/>
                <w:b w:val="1"/>
                <w:bCs w:val="1"/>
                <w:color w:val="auto"/>
              </w:rPr>
              <w:t>PennantPark Senior Secured Loan Fund I LLC</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72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0"/>
        </w:trPr>
        <w:tc>
          <w:tcPr>
            <w:tcW w:w="7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r>
      <w:tr>
        <w:trPr>
          <w:trHeight w:val="171"/>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2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5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2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(cost—$473,133,658 and $425,336,210, respectively)</w:t>
            </w:r>
          </w:p>
        </w:tc>
        <w:tc>
          <w:tcPr>
            <w:tcW w:w="4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469,969,339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00" w:type="dxa"/>
            <w:vAlign w:val="bottom"/>
            <w:shd w:val="clear" w:color="auto" w:fill="CCECFF"/>
          </w:tcPr>
          <w:p>
            <w:pPr>
              <w:spacing w:after="0"/>
              <w:rPr>
                <w:sz w:val="14"/>
                <w:szCs w:val="14"/>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4"/>
                <w:szCs w:val="14"/>
                <w:color w:val="auto"/>
              </w:rPr>
              <w:t>Cash and cash equivalents (cost—$9,752,878 and $13,520,127, respectively)</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9,759,159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00" w:type="dxa"/>
            <w:vAlign w:val="bottom"/>
          </w:tcPr>
          <w:p>
            <w:pPr>
              <w:spacing w:after="0"/>
              <w:rPr>
                <w:sz w:val="14"/>
                <w:szCs w:val="14"/>
                <w:color w:val="auto"/>
              </w:rPr>
            </w:pPr>
          </w:p>
        </w:tc>
      </w:tr>
      <w:tr>
        <w:trPr>
          <w:trHeight w:val="162"/>
        </w:trPr>
        <w:tc>
          <w:tcPr>
            <w:tcW w:w="724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2,116,251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00" w:type="dxa"/>
            <w:vAlign w:val="bottom"/>
            <w:shd w:val="clear" w:color="auto" w:fill="CCECFF"/>
          </w:tcPr>
          <w:p>
            <w:pPr>
              <w:spacing w:after="0"/>
              <w:rPr>
                <w:sz w:val="14"/>
                <w:szCs w:val="14"/>
                <w:color w:val="auto"/>
              </w:rPr>
            </w:pPr>
          </w:p>
        </w:tc>
      </w:tr>
      <w:tr>
        <w:trPr>
          <w:trHeight w:val="162"/>
        </w:trPr>
        <w:tc>
          <w:tcPr>
            <w:tcW w:w="72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1,423,333</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100" w:type="dxa"/>
            <w:vAlign w:val="bottom"/>
            <w:tcBorders>
              <w:bottom w:val="single" w:sz="8" w:color="CCECFF"/>
            </w:tcBorders>
          </w:tcPr>
          <w:p>
            <w:pPr>
              <w:spacing w:after="0"/>
              <w:rPr>
                <w:sz w:val="14"/>
                <w:szCs w:val="14"/>
                <w:color w:val="auto"/>
              </w:rPr>
            </w:pPr>
          </w:p>
        </w:tc>
      </w:tr>
      <w:tr>
        <w:trPr>
          <w:trHeight w:val="155"/>
        </w:trPr>
        <w:tc>
          <w:tcPr>
            <w:tcW w:w="72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483,268,082</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00" w:type="dxa"/>
            <w:vAlign w:val="bottom"/>
            <w:shd w:val="clear" w:color="auto" w:fill="CCECFF"/>
          </w:tcPr>
          <w:p>
            <w:pPr>
              <w:spacing w:after="0"/>
              <w:rPr>
                <w:sz w:val="13"/>
                <w:szCs w:val="13"/>
                <w:color w:val="auto"/>
              </w:rPr>
            </w:pPr>
          </w:p>
        </w:tc>
      </w:tr>
      <w:tr>
        <w:trPr>
          <w:trHeight w:val="156"/>
        </w:trPr>
        <w:tc>
          <w:tcPr>
            <w:tcW w:w="724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240" w:type="dxa"/>
            <w:vAlign w:val="bottom"/>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285,450,977</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275,285,900</w:t>
            </w:r>
          </w:p>
        </w:tc>
        <w:tc>
          <w:tcPr>
            <w:tcW w:w="100" w:type="dxa"/>
            <w:vAlign w:val="bottom"/>
            <w:shd w:val="clear" w:color="auto" w:fill="CCECFF"/>
          </w:tcPr>
          <w:p>
            <w:pPr>
              <w:spacing w:after="0"/>
              <w:rPr>
                <w:sz w:val="14"/>
                <w:szCs w:val="14"/>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4"/>
                <w:szCs w:val="14"/>
                <w:color w:val="auto"/>
              </w:rPr>
              <w:t>Notes payable to members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138,250,000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115,500,000</w:t>
            </w:r>
          </w:p>
        </w:tc>
        <w:tc>
          <w:tcPr>
            <w:tcW w:w="100" w:type="dxa"/>
            <w:vAlign w:val="bottom"/>
          </w:tcPr>
          <w:p>
            <w:pPr>
              <w:spacing w:after="0"/>
              <w:rPr>
                <w:sz w:val="14"/>
                <w:szCs w:val="14"/>
                <w:color w:val="auto"/>
              </w:rPr>
            </w:pPr>
          </w:p>
        </w:tc>
      </w:tr>
      <w:tr>
        <w:trPr>
          <w:trHeight w:val="162"/>
        </w:trPr>
        <w:tc>
          <w:tcPr>
            <w:tcW w:w="72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1,113,520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1,065,306</w:t>
            </w:r>
          </w:p>
        </w:tc>
        <w:tc>
          <w:tcPr>
            <w:tcW w:w="100" w:type="dxa"/>
            <w:vAlign w:val="bottom"/>
            <w:shd w:val="clear" w:color="auto" w:fill="CCECFF"/>
          </w:tcPr>
          <w:p>
            <w:pPr>
              <w:spacing w:after="0"/>
              <w:rPr>
                <w:sz w:val="14"/>
                <w:szCs w:val="14"/>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4"/>
                <w:szCs w:val="14"/>
                <w:color w:val="auto"/>
              </w:rPr>
              <w:t>Interest payable on notes to members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119,009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99,966</w:t>
            </w:r>
          </w:p>
        </w:tc>
        <w:tc>
          <w:tcPr>
            <w:tcW w:w="100" w:type="dxa"/>
            <w:vAlign w:val="bottom"/>
          </w:tcPr>
          <w:p>
            <w:pPr>
              <w:spacing w:after="0"/>
              <w:rPr>
                <w:sz w:val="14"/>
                <w:szCs w:val="14"/>
                <w:color w:val="auto"/>
              </w:rPr>
            </w:pPr>
          </w:p>
        </w:tc>
      </w:tr>
      <w:tr>
        <w:trPr>
          <w:trHeight w:val="162"/>
        </w:trPr>
        <w:tc>
          <w:tcPr>
            <w:tcW w:w="724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361,943</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247,595</w:t>
            </w:r>
          </w:p>
        </w:tc>
        <w:tc>
          <w:tcPr>
            <w:tcW w:w="100" w:type="dxa"/>
            <w:vAlign w:val="bottom"/>
            <w:shd w:val="clear" w:color="auto" w:fill="CCECFF"/>
          </w:tcPr>
          <w:p>
            <w:pPr>
              <w:spacing w:after="0"/>
              <w:rPr>
                <w:sz w:val="14"/>
                <w:szCs w:val="14"/>
                <w:color w:val="auto"/>
              </w:rPr>
            </w:pPr>
          </w:p>
        </w:tc>
      </w:tr>
      <w:tr>
        <w:trPr>
          <w:trHeight w:val="155"/>
        </w:trPr>
        <w:tc>
          <w:tcPr>
            <w:tcW w:w="72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425,295,449</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392,198,767</w:t>
            </w:r>
          </w:p>
        </w:tc>
        <w:tc>
          <w:tcPr>
            <w:tcW w:w="100" w:type="dxa"/>
            <w:vAlign w:val="bottom"/>
            <w:tcBorders>
              <w:bottom w:val="single" w:sz="8" w:color="CCECFF"/>
            </w:tcBorders>
          </w:tcPr>
          <w:p>
            <w:pPr>
              <w:spacing w:after="0"/>
              <w:rPr>
                <w:sz w:val="13"/>
                <w:szCs w:val="13"/>
                <w:color w:val="auto"/>
              </w:rPr>
            </w:pPr>
          </w:p>
        </w:tc>
      </w:tr>
      <w:tr>
        <w:trPr>
          <w:trHeight w:val="156"/>
        </w:trPr>
        <w:tc>
          <w:tcPr>
            <w:tcW w:w="7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r>
      <w:tr>
        <w:trPr>
          <w:trHeight w:val="155"/>
        </w:trPr>
        <w:tc>
          <w:tcPr>
            <w:tcW w:w="72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57,972,633</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51,197,404</w:t>
            </w:r>
          </w:p>
        </w:tc>
        <w:tc>
          <w:tcPr>
            <w:tcW w:w="100" w:type="dxa"/>
            <w:vAlign w:val="bottom"/>
            <w:tcBorders>
              <w:bottom w:val="single" w:sz="8" w:color="CCECFF"/>
            </w:tcBorders>
          </w:tcPr>
          <w:p>
            <w:pPr>
              <w:spacing w:after="0"/>
              <w:rPr>
                <w:sz w:val="13"/>
                <w:szCs w:val="13"/>
                <w:color w:val="auto"/>
              </w:rPr>
            </w:pPr>
          </w:p>
        </w:tc>
      </w:tr>
      <w:tr>
        <w:trPr>
          <w:trHeight w:val="156"/>
        </w:trPr>
        <w:tc>
          <w:tcPr>
            <w:tcW w:w="724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483,268,082</w:t>
            </w:r>
          </w:p>
        </w:tc>
        <w:tc>
          <w:tcPr>
            <w:tcW w:w="3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As of June 30, 2019 and September 30, 2018, PSSL had unfunded commitments to fund investments of $0.3 million and zero,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56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r>
      <w:tr>
        <w:trPr>
          <w:trHeight w:val="155"/>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9,870,920</w:t>
            </w:r>
          </w:p>
        </w:tc>
        <w:tc>
          <w:tcPr>
            <w:tcW w:w="14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5,281,955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29,791,971</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74"/>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10,379,097</w:t>
            </w: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220,500</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519,443</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tcBorders>
              <w:bottom w:val="single" w:sz="8" w:color="CCECFF"/>
            </w:tcBorders>
          </w:tcPr>
          <w:p>
            <w:pPr>
              <w:spacing w:after="0"/>
              <w:rPr>
                <w:sz w:val="14"/>
                <w:szCs w:val="14"/>
                <w:color w:val="auto"/>
              </w:rPr>
            </w:pPr>
          </w:p>
        </w:tc>
      </w:tr>
      <w:tr>
        <w:trPr>
          <w:trHeight w:val="155"/>
        </w:trPr>
        <w:tc>
          <w:tcPr>
            <w:tcW w:w="56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10,091,420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5,288,174</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30,311,414</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10,397,535</w:t>
            </w:r>
          </w:p>
        </w:tc>
        <w:tc>
          <w:tcPr>
            <w:tcW w:w="100" w:type="dxa"/>
            <w:vAlign w:val="bottom"/>
            <w:shd w:val="clear" w:color="auto" w:fill="CCECFF"/>
          </w:tcPr>
          <w:p>
            <w:pPr>
              <w:spacing w:after="0"/>
              <w:rPr>
                <w:sz w:val="13"/>
                <w:szCs w:val="13"/>
                <w:color w:val="auto"/>
              </w:rPr>
            </w:pPr>
          </w:p>
        </w:tc>
      </w:tr>
      <w:tr>
        <w:trPr>
          <w:trHeight w:val="155"/>
        </w:trPr>
        <w:tc>
          <w:tcPr>
            <w:tcW w:w="56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4,145,313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2,321,809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12,568,962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4,279,645</w:t>
            </w: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3,701,558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1,772,798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10,595,874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3,411,498</w:t>
            </w:r>
          </w:p>
        </w:tc>
        <w:tc>
          <w:tcPr>
            <w:tcW w:w="100" w:type="dxa"/>
            <w:vAlign w:val="bottom"/>
          </w:tcPr>
          <w:p>
            <w:pPr>
              <w:spacing w:after="0"/>
              <w:rPr>
                <w:sz w:val="14"/>
                <w:szCs w:val="14"/>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340,950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579,086</w:t>
            </w:r>
          </w:p>
        </w:tc>
        <w:tc>
          <w:tcPr>
            <w:tcW w:w="100" w:type="dxa"/>
            <w:vAlign w:val="bottom"/>
            <w:tcBorders>
              <w:bottom w:val="single" w:sz="8" w:color="CCECFF"/>
            </w:tcBorders>
          </w:tcPr>
          <w:p>
            <w:pPr>
              <w:spacing w:after="0"/>
              <w:rPr>
                <w:sz w:val="14"/>
                <w:szCs w:val="14"/>
                <w:color w:val="auto"/>
              </w:rPr>
            </w:pPr>
          </w:p>
        </w:tc>
      </w:tr>
      <w:tr>
        <w:trPr>
          <w:trHeight w:val="156"/>
        </w:trPr>
        <w:tc>
          <w:tcPr>
            <w:tcW w:w="56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8,260,521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4,458,257</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24,355,786</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8,670,229</w:t>
            </w:r>
          </w:p>
        </w:tc>
        <w:tc>
          <w:tcPr>
            <w:tcW w:w="100" w:type="dxa"/>
            <w:vAlign w:val="bottom"/>
            <w:shd w:val="clear" w:color="auto" w:fill="CCECFF"/>
          </w:tcPr>
          <w:p>
            <w:pPr>
              <w:spacing w:after="0"/>
              <w:rPr>
                <w:sz w:val="13"/>
                <w:szCs w:val="13"/>
                <w:color w:val="auto"/>
              </w:rPr>
            </w:pPr>
          </w:p>
        </w:tc>
      </w:tr>
      <w:tr>
        <w:trPr>
          <w:trHeight w:val="155"/>
        </w:trPr>
        <w:tc>
          <w:tcPr>
            <w:tcW w:w="56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1,830,899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829,917</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5,955,628</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1,727,306</w:t>
            </w:r>
          </w:p>
        </w:tc>
        <w:tc>
          <w:tcPr>
            <w:tcW w:w="100" w:type="dxa"/>
            <w:vAlign w:val="bottom"/>
            <w:tcBorders>
              <w:bottom w:val="single" w:sz="8" w:color="CCECFF"/>
            </w:tcBorders>
          </w:tcPr>
          <w:p>
            <w:pPr>
              <w:spacing w:after="0"/>
              <w:rPr>
                <w:sz w:val="13"/>
                <w:szCs w:val="13"/>
                <w:color w:val="auto"/>
              </w:rPr>
            </w:pPr>
          </w:p>
        </w:tc>
      </w:tr>
      <w:tr>
        <w:trPr>
          <w:trHeight w:val="133"/>
        </w:trPr>
        <w:tc>
          <w:tcPr>
            <w:tcW w:w="5680" w:type="dxa"/>
            <w:vAlign w:val="bottom"/>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2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71"/>
        </w:trPr>
        <w:tc>
          <w:tcPr>
            <w:tcW w:w="568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(1,604,539)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63,395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(1,025,488)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79,341</w:t>
            </w:r>
          </w:p>
        </w:tc>
        <w:tc>
          <w:tcPr>
            <w:tcW w:w="100" w:type="dxa"/>
            <w:vAlign w:val="bottom"/>
          </w:tcPr>
          <w:p>
            <w:pPr>
              <w:spacing w:after="0"/>
              <w:rPr>
                <w:sz w:val="14"/>
                <w:szCs w:val="14"/>
                <w:color w:val="auto"/>
              </w:rPr>
            </w:pPr>
          </w:p>
        </w:tc>
      </w:tr>
      <w:tr>
        <w:trPr>
          <w:trHeight w:val="162"/>
        </w:trPr>
        <w:tc>
          <w:tcPr>
            <w:tcW w:w="568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404,262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(1,072,357)</w:t>
            </w: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(3,243,343)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(72,655)</w:t>
            </w: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depreciation of foreign currency translations</w:t>
            </w: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241,025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1,187,765</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738,432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936,097</w:t>
            </w:r>
          </w:p>
        </w:tc>
        <w:tc>
          <w:tcPr>
            <w:tcW w:w="100" w:type="dxa"/>
            <w:vAlign w:val="bottom"/>
            <w:shd w:val="clear" w:color="auto" w:fill="CCECFF"/>
          </w:tcPr>
          <w:p>
            <w:pPr>
              <w:spacing w:after="0"/>
              <w:rPr>
                <w:sz w:val="14"/>
                <w:szCs w:val="14"/>
                <w:color w:val="auto"/>
              </w:rPr>
            </w:pPr>
          </w:p>
        </w:tc>
      </w:tr>
      <w:tr>
        <w:trPr>
          <w:trHeight w:val="133"/>
        </w:trPr>
        <w:tc>
          <w:tcPr>
            <w:tcW w:w="568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Net change in unrealized appreciation (depreciation) on investments and</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680" w:type="dxa"/>
            <w:vAlign w:val="bottom"/>
          </w:tcPr>
          <w:p>
            <w:pPr>
              <w:ind w:left="360"/>
              <w:spacing w:after="0"/>
              <w:rPr>
                <w:sz w:val="20"/>
                <w:szCs w:val="20"/>
                <w:color w:val="auto"/>
              </w:rPr>
            </w:pPr>
            <w:r>
              <w:rPr>
                <w:rFonts w:ascii="Arial" w:cs="Arial" w:eastAsia="Arial" w:hAnsi="Arial"/>
                <w:sz w:val="14"/>
                <w:szCs w:val="14"/>
                <w:b w:val="1"/>
                <w:bCs w:val="1"/>
                <w:color w:val="auto"/>
              </w:rPr>
              <w:t>credit facility foreign currency translations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115,408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(2,504,911)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863,442</w:t>
            </w:r>
          </w:p>
        </w:tc>
        <w:tc>
          <w:tcPr>
            <w:tcW w:w="100" w:type="dxa"/>
            <w:vAlign w:val="bottom"/>
          </w:tcPr>
          <w:p>
            <w:pPr>
              <w:spacing w:after="0"/>
              <w:rPr>
                <w:sz w:val="14"/>
                <w:szCs w:val="14"/>
                <w:color w:val="auto"/>
              </w:rPr>
            </w:pPr>
          </w:p>
        </w:tc>
      </w:tr>
      <w:tr>
        <w:trPr>
          <w:trHeight w:val="133"/>
        </w:trPr>
        <w:tc>
          <w:tcPr>
            <w:tcW w:w="568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w:t>
            </w:r>
          </w:p>
        </w:tc>
        <w:tc>
          <w:tcPr>
            <w:tcW w:w="2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568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foreign currency translations</w:t>
            </w:r>
          </w:p>
        </w:tc>
        <w:tc>
          <w:tcPr>
            <w:tcW w:w="2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(959,252)</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178,803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(3,530,399)</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942,783</w:t>
            </w:r>
          </w:p>
        </w:tc>
        <w:tc>
          <w:tcPr>
            <w:tcW w:w="100" w:type="dxa"/>
            <w:vAlign w:val="bottom"/>
            <w:shd w:val="clear" w:color="auto" w:fill="CCECFF"/>
          </w:tcPr>
          <w:p>
            <w:pPr>
              <w:spacing w:after="0"/>
              <w:rPr>
                <w:sz w:val="14"/>
                <w:szCs w:val="14"/>
                <w:color w:val="auto"/>
              </w:rPr>
            </w:pPr>
          </w:p>
        </w:tc>
      </w:tr>
      <w:tr>
        <w:trPr>
          <w:trHeight w:val="155"/>
        </w:trPr>
        <w:tc>
          <w:tcPr>
            <w:tcW w:w="568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871,647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1,008,720</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2,425,229</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2,670,089</w:t>
            </w:r>
          </w:p>
        </w:tc>
        <w:tc>
          <w:tcPr>
            <w:tcW w:w="100" w:type="dxa"/>
            <w:vAlign w:val="bottom"/>
          </w:tcPr>
          <w:p>
            <w:pPr>
              <w:spacing w:after="0"/>
              <w:rPr>
                <w:sz w:val="13"/>
                <w:szCs w:val="13"/>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5560" w:right="1340" w:hanging="5552"/>
        <w:spacing w:after="0" w:line="575"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18599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9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June 30, 2019, including borrowings under our Credit Facility,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vMerge w:val="restart"/>
          </w:tcPr>
          <w:p>
            <w:pPr>
              <w:ind w:left="3740"/>
              <w:spacing w:after="0"/>
              <w:rPr>
                <w:sz w:val="20"/>
                <w:szCs w:val="20"/>
                <w:color w:val="auto"/>
              </w:rPr>
            </w:pPr>
            <w:r>
              <w:rPr>
                <w:rFonts w:ascii="Arial" w:cs="Arial" w:eastAsia="Arial" w:hAnsi="Arial"/>
                <w:sz w:val="14"/>
                <w:szCs w:val="14"/>
                <w:b w:val="1"/>
                <w:bCs w:val="1"/>
                <w:color w:val="auto"/>
              </w:rPr>
              <w:t>a</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412.1</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412.1</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137.5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549.6</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508.4</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79.8</w:t>
            </w:r>
          </w:p>
        </w:tc>
        <w:tc>
          <w:tcPr>
            <w:tcW w:w="240" w:type="dxa"/>
            <w:vAlign w:val="bottom"/>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21.3</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55.7</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640.3</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564.1</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right="160" w:hanging="372"/>
        <w:spacing w:after="0" w:line="230" w:lineRule="auto"/>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2019, excluding amendment costs and debt issuance costs, was 3.4% exclusive of the fee on the undrawn commitment on the Credit Facility.</w:t>
      </w: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2019,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6"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During the three and nine months ended June 30, 2019, we declared distributions of $0.285 and $0.855 per share, respectively, for total distributions of $11.1 and $33.2 million, respectively. For the same periods in the prior year, we declared distributions of $0.285 and $0.855 per share, respectively, for total distributions of $11.1 million and $32.5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p>
      <w:pPr>
        <w:ind w:right="180" w:firstLine="456"/>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these are reflected in the Company’s consolidated financial statements and related disclosures. Certain prior year information has been adjusted to conform to these amendments.</w:t>
      </w:r>
    </w:p>
    <w:p>
      <w:pPr>
        <w:spacing w:after="0" w:line="117" w:lineRule="exact"/>
        <w:rPr>
          <w:sz w:val="20"/>
          <w:szCs w:val="20"/>
          <w:color w:val="auto"/>
        </w:rPr>
      </w:pPr>
    </w:p>
    <w:p>
      <w:pPr>
        <w:ind w:right="20" w:firstLine="456"/>
        <w:spacing w:after="0" w:line="251" w:lineRule="auto"/>
        <w:rPr>
          <w:sz w:val="20"/>
          <w:szCs w:val="20"/>
          <w:color w:val="auto"/>
        </w:rPr>
      </w:pPr>
      <w:r>
        <w:rPr>
          <w:rFonts w:ascii="Arial" w:cs="Arial" w:eastAsia="Arial" w:hAnsi="Arial"/>
          <w:sz w:val="13"/>
          <w:szCs w:val="13"/>
          <w:color w:val="auto"/>
        </w:rPr>
        <w:t xml:space="preserve">In March 2019, the SEC issued the Final Rule Release No. 33-10618, </w:t>
      </w:r>
      <w:r>
        <w:rPr>
          <w:rFonts w:ascii="Arial" w:cs="Arial" w:eastAsia="Arial" w:hAnsi="Arial"/>
          <w:sz w:val="13"/>
          <w:szCs w:val="13"/>
          <w:i w:val="1"/>
          <w:iCs w:val="1"/>
          <w:color w:val="auto"/>
        </w:rPr>
        <w:t>FAST Act Modernization and Simplification of Regulation S-K</w:t>
      </w:r>
      <w:r>
        <w:rPr>
          <w:rFonts w:ascii="Arial" w:cs="Arial" w:eastAsia="Arial" w:hAnsi="Arial"/>
          <w:sz w:val="13"/>
          <w:szCs w:val="13"/>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The Company adopted the requisite amendments effective May 2, 2019. As it pertains to the Company for this Form 10-Q, there were no significant changes to the Company’s consolidated financial position or disclosures. The Company is still evaluating the impact these amendments will have on its other future periodic filings and registration statements.</w:t>
      </w:r>
    </w:p>
    <w:p>
      <w:pPr>
        <w:spacing w:after="0" w:line="10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2019, our debt portfolio consisted of 99% variable-rate investments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(5,120)</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5,120</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10,240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15,483</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21,077</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2019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1.Legal Proceedings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1A.Risk Factors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2018,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4"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18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1"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As of June 30, 2019 and September 30, 2018, our asset coverage ratio, as computed in accordance with the 1940 Act, was 190% and 213%, respectively. Since our leverage was 111% and 89% of our net assets as of June 30, 2019 and September 30, 2018, respectively, we would have to receive an annual return of at least 2.2% and 1.9%, respectively, to cover annual interest payments.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3" w:name="page44"/>
    <w:bookmarkEnd w:id="43"/>
    <w:p>
      <w:pPr>
        <w:ind w:right="80" w:firstLine="438"/>
        <w:spacing w:after="0" w:line="231" w:lineRule="auto"/>
        <w:rPr>
          <w:sz w:val="20"/>
          <w:szCs w:val="20"/>
          <w:color w:val="auto"/>
        </w:rPr>
      </w:pPr>
      <w:r>
        <w:rPr>
          <w:rFonts w:ascii="Arial" w:cs="Arial" w:eastAsia="Arial" w:hAnsi="Arial"/>
          <w:sz w:val="14"/>
          <w:szCs w:val="14"/>
          <w:color w:val="auto"/>
        </w:rPr>
        <w:t>As of June 30, 2019, we had outstanding borrowings of $415.3 million under our Credit Facility and $138.6 million outstanding under our 2023 Notes. Our consolidated debt outstanding was $553.9 million and had a weighted average annual interest rate at the time of 4.3%, exclusive of the fees on the undrawn commitment on the Credit Facility. To cover the annual interest on our borrowings of $553.9 million outstanding as of June 30, 2019, at the weighted average annual rate of 4.3%, we would have to receive an annual yield of at least 2.2%.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11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June 30, 2019 of 50% of total assets (including such borrowed funds), at the current interest rate at the time of 4.3%,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0"/>
                <w:szCs w:val="10"/>
                <w:color w:val="auto"/>
              </w:rPr>
              <w:t>(1)</w:t>
            </w:r>
          </w:p>
        </w:tc>
        <w:tc>
          <w:tcPr>
            <w:tcW w:w="133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3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21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shd w:val="clear" w:color="auto" w:fill="CCECFF"/>
              </w:rPr>
              <w:t>)%</w:t>
            </w:r>
          </w:p>
        </w:tc>
        <w:tc>
          <w:tcPr>
            <w:tcW w:w="13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c>
          <w:tcPr>
            <w:tcW w:w="133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7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r>
      <w:tr>
        <w:trPr>
          <w:trHeight w:val="182"/>
        </w:trPr>
        <w:tc>
          <w:tcPr>
            <w:tcW w:w="374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0"/>
                <w:szCs w:val="10"/>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(26.5)%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859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30"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3"/>
          <w:szCs w:val="13"/>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26"/>
        </w:numPr>
        <w:rPr>
          <w:rFonts w:ascii="Arial" w:cs="Arial" w:eastAsia="Arial" w:hAnsi="Arial"/>
          <w:sz w:val="12"/>
          <w:szCs w:val="12"/>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6">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6">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7">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7">
        <w:r>
          <w:rPr>
            <w:rFonts w:ascii="Arial" w:cs="Arial" w:eastAsia="Arial" w:hAnsi="Arial"/>
            <w:sz w:val="14"/>
            <w:szCs w:val="14"/>
            <w:u w:val="single" w:color="auto"/>
            <w:color w:val="0000EE"/>
          </w:rPr>
          <w:t>2015).</w:t>
        </w:r>
      </w:hyperlink>
    </w:p>
    <w:p>
      <w:pPr>
        <w:spacing w:after="0" w:line="124"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8">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8">
        <w:r>
          <w:rPr>
            <w:rFonts w:ascii="Arial" w:cs="Arial" w:eastAsia="Arial" w:hAnsi="Arial"/>
            <w:sz w:val="14"/>
            <w:szCs w:val="14"/>
            <w:u w:val="single" w:color="auto"/>
            <w:color w:val="0000EE"/>
          </w:rPr>
          <w:t>170243), filed on April 5, 2011).</w:t>
        </w:r>
      </w:hyperlink>
    </w:p>
    <w:p>
      <w:pPr>
        <w:spacing w:after="0" w:line="205"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7">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8">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9">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0">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79">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r>
          <w:rPr>
            <w:rFonts w:ascii="Arial" w:cs="Arial" w:eastAsia="Arial" w:hAnsi="Arial"/>
            <w:sz w:val="13"/>
            <w:szCs w:val="13"/>
            <w:color w:val="0000EE"/>
          </w:rPr>
          <w:t>.</w:t>
        </w:r>
      </w:hyperlink>
    </w:p>
    <w:p>
      <w:pPr>
        <w:spacing w:after="0" w:line="17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140" w:type="dxa"/>
            <w:vAlign w:val="bottom"/>
          </w:tcPr>
          <w:p>
            <w:pPr>
              <w:ind w:left="840"/>
              <w:spacing w:after="0"/>
              <w:rPr>
                <w:sz w:val="20"/>
                <w:szCs w:val="20"/>
                <w:color w:val="auto"/>
              </w:rPr>
            </w:pPr>
            <w:r>
              <w:rPr>
                <w:rFonts w:ascii="Arial" w:cs="Arial" w:eastAsia="Arial" w:hAnsi="Arial"/>
                <w:sz w:val="14"/>
                <w:szCs w:val="14"/>
                <w:color w:val="auto"/>
              </w:rPr>
              <w:t>PENNANTPARK FLOATING RATE CAPITAL LTD.</w:t>
            </w:r>
          </w:p>
        </w:tc>
      </w:tr>
      <w:tr>
        <w:trPr>
          <w:trHeight w:val="377"/>
        </w:trPr>
        <w:tc>
          <w:tcPr>
            <w:tcW w:w="3400" w:type="dxa"/>
            <w:vAlign w:val="bottom"/>
          </w:tcPr>
          <w:p>
            <w:pPr>
              <w:spacing w:after="0"/>
              <w:rPr>
                <w:sz w:val="20"/>
                <w:szCs w:val="20"/>
                <w:color w:val="auto"/>
              </w:rPr>
            </w:pPr>
            <w:r>
              <w:rPr>
                <w:rFonts w:ascii="Arial" w:cs="Arial" w:eastAsia="Arial" w:hAnsi="Arial"/>
                <w:sz w:val="14"/>
                <w:szCs w:val="14"/>
                <w:color w:val="auto"/>
              </w:rPr>
              <w:t>Date: August 7, 2019</w:t>
            </w:r>
          </w:p>
        </w:tc>
        <w:tc>
          <w:tcPr>
            <w:tcW w:w="2700" w:type="dxa"/>
            <w:vAlign w:val="bottom"/>
          </w:tcPr>
          <w:p>
            <w:pPr>
              <w:ind w:left="23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Arthur H. Penn</w:t>
            </w:r>
          </w:p>
        </w:tc>
      </w:tr>
      <w:tr>
        <w:trPr>
          <w:trHeight w:val="160"/>
        </w:trPr>
        <w:tc>
          <w:tcPr>
            <w:tcW w:w="3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90"/>
        </w:trPr>
        <w:tc>
          <w:tcPr>
            <w:tcW w:w="3400" w:type="dxa"/>
            <w:vAlign w:val="bottom"/>
          </w:tcPr>
          <w:p>
            <w:pPr>
              <w:spacing w:after="0"/>
              <w:rPr>
                <w:sz w:val="20"/>
                <w:szCs w:val="20"/>
                <w:color w:val="auto"/>
              </w:rPr>
            </w:pPr>
            <w:r>
              <w:rPr>
                <w:rFonts w:ascii="Arial" w:cs="Arial" w:eastAsia="Arial" w:hAnsi="Arial"/>
                <w:sz w:val="14"/>
                <w:szCs w:val="14"/>
                <w:color w:val="auto"/>
              </w:rPr>
              <w:t>Date: August 7, 2019</w:t>
            </w:r>
          </w:p>
        </w:tc>
        <w:tc>
          <w:tcPr>
            <w:tcW w:w="2700" w:type="dxa"/>
            <w:vAlign w:val="bottom"/>
          </w:tcPr>
          <w:p>
            <w:pPr>
              <w:ind w:left="23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Aviv Efrat</w:t>
            </w:r>
          </w:p>
        </w:tc>
      </w:tr>
      <w:tr>
        <w:trPr>
          <w:trHeight w:val="160"/>
        </w:trPr>
        <w:tc>
          <w:tcPr>
            <w:tcW w:w="3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Aviv Efrat</w:t>
            </w:r>
          </w:p>
        </w:tc>
      </w:tr>
      <w:tr>
        <w:trPr>
          <w:trHeight w:val="148"/>
        </w:trPr>
        <w:tc>
          <w:tcPr>
            <w:tcW w:w="3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756"/>
        </w:trPr>
        <w:tc>
          <w:tcPr>
            <w:tcW w:w="3400" w:type="dxa"/>
            <w:vAlign w:val="bottom"/>
          </w:tcPr>
          <w:p>
            <w:pPr>
              <w:spacing w:after="0"/>
              <w:rPr>
                <w:sz w:val="24"/>
                <w:szCs w:val="24"/>
                <w:color w:val="auto"/>
              </w:rPr>
            </w:pPr>
          </w:p>
        </w:tc>
        <w:tc>
          <w:tcPr>
            <w:tcW w:w="2700" w:type="dxa"/>
            <w:vAlign w:val="bottom"/>
          </w:tcPr>
          <w:p>
            <w:pPr>
              <w:jc w:val="right"/>
              <w:ind w:right="328"/>
              <w:spacing w:after="0"/>
              <w:rPr>
                <w:sz w:val="20"/>
                <w:szCs w:val="20"/>
                <w:color w:val="auto"/>
              </w:rPr>
            </w:pPr>
            <w:r>
              <w:rPr>
                <w:rFonts w:ascii="Arial" w:cs="Arial" w:eastAsia="Arial" w:hAnsi="Arial"/>
                <w:sz w:val="14"/>
                <w:szCs w:val="14"/>
                <w:color w:val="auto"/>
              </w:rPr>
              <w:t>46</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7, 2019</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7, 2019</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2019,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7, 2019</w:t>
      </w:r>
    </w:p>
    <w:p>
      <w:pPr>
        <w:sectPr>
          <w:pgSz w:w="11900" w:h="16838" w:orient="portrait"/>
          <w:cols w:equalWidth="0" w:num="1">
            <w:col w:w="11240"/>
          </w:cols>
          <w:pgMar w:left="320" w:top="33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nine months ended June 30, 2019,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7, 2019</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5"/>
    </w:lvl>
    <w:lvl w:ilvl="1">
      <w:lvlJc w:val="left"/>
      <w:lvlText w:val="%2."/>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6" Type="http://schemas.openxmlformats.org/officeDocument/2006/relationships/hyperlink" Target="http://www.sec.gov/Archives/edgar/data/1504619/000119312511080862/dex99a.htm" TargetMode="External"/><Relationship Id="rId77" Type="http://schemas.openxmlformats.org/officeDocument/2006/relationships/hyperlink" Target="http://www.sec.gov/Archives/edgar/data/1504619/000119312515393212/d59576dex31.htm" TargetMode="External"/><Relationship Id="rId78" Type="http://schemas.openxmlformats.org/officeDocument/2006/relationships/hyperlink" Target="http://www.sec.gov/Archives/edgar/data/1504619/000119312511088977/dex99d.htm" TargetMode="External"/><Relationship Id="rId79"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2020-05-05T12:08:06Z</dcterms:created>
  <dcterms:modified xsi:type="dcterms:W3CDTF">2020-05-05T12:08:06Z</dcterms:modified>
</cp:coreProperties>
</file>