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December 1, 2017</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December 5, 2017, PennantPark Floating Rate Capital Ltd. (the "Company") announced that it increased the size of its multi-currency, senior secured credit facility (the “Credit Facility”) from $380 million to $405 million. All other terms, including the interest rate of LIBOR plus 200 basis points, remain unchanged.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A press release announcing the upsize of the Credit Facility is attached hereto as Exhibit 99.1.</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This report on Form 8-K, including Exhibit 99.1 furnished herewith, may contain “forward-looking statements” within the meaning of the Private Securities Litigation Reform Act of 1995. You should understand that under Section 27A(b)(2)(B) of the Securities Act of 1933, as amended,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PennantPark Floating Rate Capital Ltd.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its historical experience and present expectations.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1.01 is incorporated by reference into this Item 2.03.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34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440" w:hanging="592"/>
        <w:spacing w:after="0" w:line="250" w:lineRule="auto"/>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820" w:hanging="592"/>
        <w:spacing w:after="0" w:line="250" w:lineRule="auto"/>
        <w:tabs>
          <w:tab w:leader="none" w:pos="2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4">
        <w:r>
          <w:rPr>
            <w:rFonts w:ascii="Arial" w:cs="Arial" w:eastAsia="Arial" w:hAnsi="Arial"/>
            <w:sz w:val="16"/>
            <w:szCs w:val="16"/>
            <w:u w:val="single" w:color="auto"/>
            <w:color w:val="0000EE"/>
          </w:rPr>
          <w:t>Press Release of PennantPark Floating Rate Capital Ltd. dated December 5, 2017</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4940" w:type="dxa"/>
            <w:vAlign w:val="bottom"/>
            <w:gridSpan w:val="3"/>
          </w:tcPr>
          <w:p>
            <w:pPr>
              <w:ind w:left="184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620" w:type="dxa"/>
            <w:vAlign w:val="bottom"/>
          </w:tcPr>
          <w:p>
            <w:pPr>
              <w:spacing w:after="0"/>
              <w:rPr>
                <w:sz w:val="20"/>
                <w:szCs w:val="20"/>
                <w:color w:val="auto"/>
              </w:rPr>
            </w:pPr>
            <w:r>
              <w:rPr>
                <w:rFonts w:ascii="Arial" w:cs="Arial" w:eastAsia="Arial" w:hAnsi="Arial"/>
                <w:sz w:val="18"/>
                <w:szCs w:val="18"/>
                <w:color w:val="auto"/>
              </w:rPr>
              <w:t>Date: December 5, 2017</w:t>
            </w:r>
          </w:p>
        </w:tc>
        <w:tc>
          <w:tcPr>
            <w:tcW w:w="4940" w:type="dxa"/>
            <w:vAlign w:val="bottom"/>
            <w:gridSpan w:val="3"/>
          </w:tcPr>
          <w:p>
            <w:pPr>
              <w:ind w:left="1840"/>
              <w:spacing w:after="0"/>
              <w:rPr>
                <w:sz w:val="20"/>
                <w:szCs w:val="20"/>
                <w:color w:val="auto"/>
              </w:rPr>
            </w:pPr>
            <w:r>
              <w:rPr>
                <w:rFonts w:ascii="Arial" w:cs="Arial" w:eastAsia="Arial" w:hAnsi="Arial"/>
                <w:sz w:val="18"/>
                <w:szCs w:val="18"/>
                <w:color w:val="auto"/>
              </w:rPr>
              <w:t>By: /s/ Aviv Efrat</w:t>
            </w:r>
          </w:p>
        </w:tc>
      </w:tr>
      <w:tr>
        <w:trPr>
          <w:trHeight w:val="222"/>
        </w:trPr>
        <w:tc>
          <w:tcPr>
            <w:tcW w:w="36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6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5875"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Upsizes Credit Facility to $405 Million</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NEW YORK, Dec. 05, 2017 (GLOBE NEWSWIRE) -- PennantPark Floating Rate Capital Ltd. (the “Company”) (NASDAQ:PFLT) (TASE:PFLT) announced that it increased the size of its multi-currency, senior secured credit facility (as amended, the “Credit Facility”) from $380 million to $405 million. All other terms, including the interest rate of LIBOR plus 200 basis points, remain unchanged.</w:t>
      </w:r>
    </w:p>
    <w:p>
      <w:pPr>
        <w:spacing w:after="0" w:line="185"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“We are pleased to have upsized our Credit Facility and it nicely complements our permanent equity base. We are delighted to welcome new relationships with those who have joined our growing list of lending partners,” said Chairman and Chief Executive Officer Arthur H. Penn, adding “This increased facility will expand our ability to serve middle-market sponsor and borrower clients by providing them with larger senior loan solutions.”</w:t>
      </w:r>
    </w:p>
    <w:p>
      <w:pPr>
        <w:spacing w:after="0" w:line="185"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Credit Facility is secured by all of the assets held by PennantPark Floating Rate Funding I, LLC, a wholly-owned subsidiary of the Company, and includes customary covenants, including minimum asset coverage and minimum equity requirements.</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PENNANTPARK FLOATING RATE CAPITAL LTD.</w:t>
      </w:r>
    </w:p>
    <w:p>
      <w:pPr>
        <w:spacing w:after="0" w:line="21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FORWARD-LOOKING STATEMENTS</w:t>
      </w:r>
    </w:p>
    <w:p>
      <w:pPr>
        <w:spacing w:after="0" w:line="212" w:lineRule="exact"/>
        <w:rPr>
          <w:sz w:val="20"/>
          <w:szCs w:val="20"/>
          <w:color w:val="auto"/>
        </w:rPr>
      </w:pPr>
    </w:p>
    <w:p>
      <w:pPr>
        <w:jc w:val="both"/>
        <w:spacing w:after="0" w:line="276"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of 1933, as amended, and Section 21E(b)</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You should not place undue influence on such forward-looking statements as such statements speak only as of the date on which they are made.</w:t>
      </w:r>
    </w:p>
    <w:p>
      <w:pPr>
        <w:spacing w:after="0" w:line="186"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We may use words such as “expects,” “maintain,” and similar expressions to identify forward-looking statements. Such statements are based on currently available operating, financial and competitive information and are subject to various risks and uncertainties that could cause actual results to differ materially from our historical experience and our present expectations.</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Aviv Efrat</w:t>
      </w:r>
    </w:p>
    <w:p>
      <w:pPr>
        <w:spacing w:after="0" w:line="238" w:lineRule="auto"/>
        <w:rPr>
          <w:sz w:val="20"/>
          <w:szCs w:val="20"/>
          <w:color w:val="auto"/>
        </w:rPr>
      </w:pPr>
      <w:r>
        <w:rPr>
          <w:rFonts w:ascii="Arial" w:cs="Arial" w:eastAsia="Arial" w:hAnsi="Arial"/>
          <w:sz w:val="22"/>
          <w:szCs w:val="22"/>
          <w:color w:val="auto"/>
        </w:rPr>
        <w:t>PennantPark Floating Rate Capital Ltd.</w:t>
      </w:r>
    </w:p>
    <w:p>
      <w:pPr>
        <w:spacing w:after="0" w:line="230" w:lineRule="auto"/>
        <w:rPr>
          <w:sz w:val="20"/>
          <w:szCs w:val="20"/>
          <w:color w:val="auto"/>
        </w:rPr>
      </w:pPr>
      <w:r>
        <w:rPr>
          <w:rFonts w:ascii="Arial" w:cs="Arial" w:eastAsia="Arial" w:hAnsi="Arial"/>
          <w:sz w:val="22"/>
          <w:szCs w:val="22"/>
          <w:color w:val="auto"/>
        </w:rPr>
        <w:t>Reception: (212) 905-1000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2020-05-05T12:04:40Z</dcterms:created>
  <dcterms:modified xsi:type="dcterms:W3CDTF">2020-05-05T12:04:40Z</dcterms:modified>
</cp:coreProperties>
</file>