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9"/>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1960"/>
          </w:cols>
          <w:pgMar w:left="320" w:top="230" w:right="3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February 9, 2012 was 6,850,667.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DECEMBER 31,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6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480" w:type="dxa"/>
            <w:vAlign w:val="bottom"/>
          </w:tcPr>
          <w:p>
            <w:pPr>
              <w:spacing w:after="0"/>
              <w:rPr>
                <w:sz w:val="19"/>
                <w:szCs w:val="19"/>
                <w:color w:val="auto"/>
              </w:rPr>
            </w:pP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480" w:type="dxa"/>
            <w:vAlign w:val="bottom"/>
          </w:tcPr>
          <w:p>
            <w:pPr>
              <w:spacing w:after="0"/>
              <w:rPr>
                <w:sz w:val="24"/>
                <w:szCs w:val="24"/>
                <w:color w:val="auto"/>
              </w:rPr>
            </w:pPr>
          </w:p>
        </w:tc>
      </w:tr>
      <w:tr>
        <w:trPr>
          <w:trHeight w:val="324"/>
        </w:trPr>
        <w:tc>
          <w:tcPr>
            <w:tcW w:w="966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December 31, 2011 (unaudited) and September 30, 2011</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66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 of Operations for the three months ended December 31, 2011 (unaudited)</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66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Changes in Net Assets for the three months ended December 31, 2011 (unaudited)</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66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 of Cash Flows for the three months ended December 31, 2011 (unaudited)</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66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December 31, 2011 (unaudited) and September 30, 2011</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660" w:type="dxa"/>
            <w:vAlign w:val="bottom"/>
          </w:tcPr>
          <w:p>
            <w:pPr>
              <w:ind w:left="4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 (unaudited)</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660" w:type="dxa"/>
            <w:vAlign w:val="bottom"/>
          </w:tcPr>
          <w:p>
            <w:pPr>
              <w:ind w:left="4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Report of Independent Registered Public Accounting Firm</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3. Quantitative And Qualitative Disclosures About Market Risk</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4. Controls and Procedures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660" w:type="dxa"/>
            <w:vAlign w:val="bottom"/>
          </w:tcPr>
          <w:p>
            <w:pPr>
              <w:ind w:left="400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 OTHER INFORMATION</w:t>
              </w:r>
            </w:hyperlink>
          </w:p>
        </w:tc>
        <w:tc>
          <w:tcPr>
            <w:tcW w:w="1480" w:type="dxa"/>
            <w:vAlign w:val="bottom"/>
          </w:tcPr>
          <w:p>
            <w:pPr>
              <w:spacing w:after="0"/>
              <w:rPr>
                <w:sz w:val="24"/>
                <w:szCs w:val="24"/>
                <w:color w:val="auto"/>
              </w:rPr>
            </w:pP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1. Legal Proceedings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1A. Risk Factors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2. Unregistered Sales of Equity Securities and Use of Proceeds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3. Defaults Upon Senior Securities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4. Reserved</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5. Other Information</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Item 6. Exhibits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66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SIGNATURES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References to our portfolio, our investments, our senior secured revolving credit facility, or the Credit Facility, and our business include investments we make through our subsidiary PennantPark Floating Rate Funding I, LLC, or Funding I.</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6"/>
        </w:trPr>
        <w:tc>
          <w:tcPr>
            <w:tcW w:w="820" w:type="dxa"/>
            <w:vAlign w:val="bottom"/>
          </w:tcPr>
          <w:p>
            <w:pPr>
              <w:spacing w:after="0"/>
              <w:rPr>
                <w:sz w:val="24"/>
                <w:szCs w:val="24"/>
                <w:color w:val="auto"/>
              </w:rPr>
            </w:pPr>
          </w:p>
        </w:tc>
        <w:tc>
          <w:tcPr>
            <w:tcW w:w="8040" w:type="dxa"/>
            <w:vAlign w:val="bottom"/>
          </w:tcPr>
          <w:p>
            <w:pPr>
              <w:ind w:left="2000"/>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820" w:type="dxa"/>
            <w:vAlign w:val="bottom"/>
          </w:tcPr>
          <w:p>
            <w:pPr>
              <w:spacing w:after="0"/>
              <w:rPr>
                <w:sz w:val="19"/>
                <w:szCs w:val="19"/>
                <w:color w:val="auto"/>
              </w:rPr>
            </w:pPr>
          </w:p>
        </w:tc>
        <w:tc>
          <w:tcPr>
            <w:tcW w:w="8040" w:type="dxa"/>
            <w:vAlign w:val="bottom"/>
          </w:tcPr>
          <w:p>
            <w:pPr>
              <w:ind w:left="2220"/>
              <w:spacing w:after="0"/>
              <w:rPr>
                <w:sz w:val="20"/>
                <w:szCs w:val="20"/>
                <w:color w:val="auto"/>
              </w:rPr>
            </w:pPr>
            <w:r>
              <w:rPr>
                <w:rFonts w:ascii="Arial" w:cs="Arial" w:eastAsia="Arial" w:hAnsi="Arial"/>
                <w:sz w:val="18"/>
                <w:szCs w:val="18"/>
                <w:b w:val="1"/>
                <w:bCs w:val="1"/>
                <w:color w:val="auto"/>
              </w:rPr>
              <w:t>CONSOLIDATED STATEMENTS OF ASSETS AND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8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8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2011</w:t>
            </w:r>
          </w:p>
        </w:tc>
        <w:tc>
          <w:tcPr>
            <w:tcW w:w="320" w:type="dxa"/>
            <w:vAlign w:val="bottom"/>
          </w:tcPr>
          <w:p>
            <w:pPr>
              <w:spacing w:after="0"/>
              <w:rPr>
                <w:sz w:val="12"/>
                <w:szCs w:val="1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September 30,</w:t>
            </w:r>
          </w:p>
        </w:tc>
      </w:tr>
      <w:tr>
        <w:trPr>
          <w:trHeight w:val="161"/>
        </w:trPr>
        <w:tc>
          <w:tcPr>
            <w:tcW w:w="8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4"/>
                <w:szCs w:val="14"/>
                <w:color w:val="auto"/>
              </w:rPr>
            </w:pPr>
          </w:p>
        </w:tc>
      </w:tr>
      <w:tr>
        <w:trPr>
          <w:trHeight w:val="196"/>
        </w:trPr>
        <w:tc>
          <w:tcPr>
            <w:tcW w:w="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(cost—$132,364,633 and $114,829,621,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129,328,344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110,724,241</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4,661,292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831,266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732,695</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7,922,500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142,841,380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121,075,260</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479,547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479,547</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10,765,000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2,161,880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(cost—$35,100,000 and $24,650,000, respectively) (See Notes 5 and 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34,749,000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24,650,000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278,981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315,845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352,497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8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49,102,750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29,003,155</w:t>
            </w:r>
          </w:p>
        </w:tc>
      </w:tr>
      <w:tr>
        <w:trPr>
          <w:trHeight w:val="222"/>
        </w:trPr>
        <w:tc>
          <w:tcPr>
            <w:tcW w:w="820" w:type="dxa"/>
            <w:vAlign w:val="bottom"/>
          </w:tcPr>
          <w:p>
            <w:pPr>
              <w:spacing w:after="0"/>
              <w:rPr>
                <w:sz w:val="20"/>
                <w:szCs w:val="20"/>
                <w:color w:val="auto"/>
              </w:rPr>
            </w:pPr>
            <w:r>
              <w:rPr>
                <w:rFonts w:ascii="Arial" w:cs="Arial" w:eastAsia="Arial" w:hAnsi="Arial"/>
                <w:sz w:val="18"/>
                <w:szCs w:val="18"/>
                <w:b w:val="1"/>
                <w:bCs w:val="1"/>
                <w:color w:val="auto"/>
                <w:w w:val="85"/>
              </w:rPr>
              <w:t>Net Assets</w:t>
            </w:r>
          </w:p>
        </w:tc>
        <w:tc>
          <w:tcPr>
            <w:tcW w:w="8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97,251,174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97,251,174</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(1,456,269)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(1,392,528)</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622,163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311,988</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(3,036,289)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(4,105,380)</w:t>
            </w: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8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93,738,630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92,072,105</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142,841,380</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121,075,260</w:t>
            </w:r>
          </w:p>
        </w:tc>
        <w:tc>
          <w:tcPr>
            <w:tcW w:w="100" w:type="dxa"/>
            <w:vAlign w:val="bottom"/>
          </w:tcPr>
          <w:p>
            <w:pPr>
              <w:spacing w:after="0"/>
              <w:rPr>
                <w:sz w:val="20"/>
                <w:szCs w:val="20"/>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r>
      <w:tr>
        <w:trPr>
          <w:trHeight w:val="20"/>
        </w:trPr>
        <w:tc>
          <w:tcPr>
            <w:tcW w:w="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Three Months</w:t>
            </w:r>
          </w:p>
        </w:tc>
        <w:tc>
          <w:tcPr>
            <w:tcW w:w="0" w:type="dxa"/>
            <w:vAlign w:val="bottom"/>
          </w:tcPr>
          <w:p>
            <w:pPr>
              <w:spacing w:after="0"/>
              <w:rPr>
                <w:sz w:val="1"/>
                <w:szCs w:val="1"/>
                <w:color w:val="auto"/>
              </w:rPr>
            </w:pPr>
          </w:p>
        </w:tc>
      </w:tr>
      <w:tr>
        <w:trPr>
          <w:trHeight w:val="148"/>
        </w:trPr>
        <w:tc>
          <w:tcPr>
            <w:tcW w:w="10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48"/>
        </w:trPr>
        <w:tc>
          <w:tcPr>
            <w:tcW w:w="10280" w:type="dxa"/>
            <w:vAlign w:val="bottom"/>
          </w:tcPr>
          <w:p>
            <w:pPr>
              <w:spacing w:after="0"/>
              <w:rPr>
                <w:sz w:val="12"/>
                <w:szCs w:val="12"/>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10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2,467,028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ind w:left="440"/>
              <w:spacing w:after="0"/>
              <w:rPr>
                <w:sz w:val="20"/>
                <w:szCs w:val="20"/>
                <w:color w:val="auto"/>
              </w:rPr>
            </w:pPr>
            <w:r>
              <w:rPr>
                <w:rFonts w:ascii="Arial" w:cs="Arial" w:eastAsia="Arial" w:hAnsi="Arial"/>
                <w:sz w:val="18"/>
                <w:szCs w:val="18"/>
                <w:color w:val="auto"/>
              </w:rPr>
              <w:t>Interest and expenses on the credit facility (See Note 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8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1,092,129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80" w:type="dxa"/>
            <w:vAlign w:val="bottom"/>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1,374,899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1,069,091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depreciation (See Note 5)</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80" w:type="dxa"/>
            <w:vAlign w:val="bottom"/>
          </w:tcPr>
          <w:p>
            <w:pPr>
              <w:ind w:left="880"/>
              <w:spacing w:after="0"/>
              <w:rPr>
                <w:sz w:val="20"/>
                <w:szCs w:val="20"/>
                <w:color w:val="auto"/>
              </w:rPr>
            </w:pPr>
            <w:r>
              <w:rPr>
                <w:rFonts w:ascii="Arial" w:cs="Arial" w:eastAsia="Arial" w:hAnsi="Arial"/>
                <w:sz w:val="18"/>
                <w:szCs w:val="18"/>
                <w:b w:val="1"/>
                <w:bCs w:val="1"/>
                <w:color w:val="auto"/>
              </w:rPr>
              <w:t>Net change in unrealized depreciation on investments and credit facility</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1,420,091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from investments and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1,730,266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8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3,105,165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w:t>
            </w:r>
          </w:p>
        </w:tc>
      </w:tr>
      <w:tr>
        <w:trPr>
          <w:trHeight w:val="148"/>
        </w:trPr>
        <w:tc>
          <w:tcPr>
            <w:tcW w:w="10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Ended</w:t>
            </w:r>
          </w:p>
        </w:tc>
      </w:tr>
      <w:tr>
        <w:trPr>
          <w:trHeight w:val="148"/>
        </w:trPr>
        <w:tc>
          <w:tcPr>
            <w:tcW w:w="10240" w:type="dxa"/>
            <w:vAlign w:val="bottom"/>
          </w:tcPr>
          <w:p>
            <w:pPr>
              <w:spacing w:after="0"/>
              <w:rPr>
                <w:sz w:val="12"/>
                <w:szCs w:val="12"/>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10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10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2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1,374,899</w:t>
            </w:r>
          </w:p>
        </w:tc>
      </w:tr>
      <w:tr>
        <w:trPr>
          <w:trHeight w:val="216"/>
        </w:trPr>
        <w:tc>
          <w:tcPr>
            <w:tcW w:w="10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310,175</w:t>
            </w:r>
          </w:p>
        </w:tc>
      </w:tr>
      <w:tr>
        <w:trPr>
          <w:trHeight w:val="216"/>
        </w:trPr>
        <w:tc>
          <w:tcPr>
            <w:tcW w:w="102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1,069,091</w:t>
            </w:r>
          </w:p>
        </w:tc>
      </w:tr>
      <w:tr>
        <w:trPr>
          <w:trHeight w:val="216"/>
        </w:trPr>
        <w:tc>
          <w:tcPr>
            <w:tcW w:w="10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351,000</w:t>
            </w:r>
          </w:p>
        </w:tc>
        <w:tc>
          <w:tcPr>
            <w:tcW w:w="100" w:type="dxa"/>
            <w:vAlign w:val="bottom"/>
            <w:shd w:val="clear" w:color="auto" w:fill="CCEEFF"/>
          </w:tcPr>
          <w:p>
            <w:pPr>
              <w:spacing w:after="0"/>
              <w:rPr>
                <w:sz w:val="18"/>
                <w:szCs w:val="18"/>
                <w:color w:val="auto"/>
              </w:rPr>
            </w:pPr>
          </w:p>
        </w:tc>
      </w:tr>
      <w:tr>
        <w:trPr>
          <w:trHeight w:val="222"/>
        </w:trPr>
        <w:tc>
          <w:tcPr>
            <w:tcW w:w="102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3,105,165</w:t>
            </w:r>
          </w:p>
        </w:tc>
      </w:tr>
      <w:tr>
        <w:trPr>
          <w:trHeight w:val="217"/>
        </w:trPr>
        <w:tc>
          <w:tcPr>
            <w:tcW w:w="10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24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(1,438,640)</w:t>
            </w: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1,666,525</w:t>
            </w:r>
          </w:p>
        </w:tc>
        <w:tc>
          <w:tcPr>
            <w:tcW w:w="100" w:type="dxa"/>
            <w:vAlign w:val="bottom"/>
            <w:shd w:val="clear" w:color="auto" w:fill="CCEEFF"/>
          </w:tcPr>
          <w:p>
            <w:pPr>
              <w:spacing w:after="0"/>
              <w:rPr>
                <w:sz w:val="18"/>
                <w:szCs w:val="18"/>
                <w:color w:val="auto"/>
              </w:rPr>
            </w:pPr>
          </w:p>
        </w:tc>
      </w:tr>
      <w:tr>
        <w:trPr>
          <w:trHeight w:val="222"/>
        </w:trPr>
        <w:tc>
          <w:tcPr>
            <w:tcW w:w="102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10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92,072,105</w:t>
            </w:r>
          </w:p>
        </w:tc>
        <w:tc>
          <w:tcPr>
            <w:tcW w:w="100" w:type="dxa"/>
            <w:vAlign w:val="bottom"/>
            <w:shd w:val="clear" w:color="auto" w:fill="CCEEFF"/>
          </w:tcPr>
          <w:p>
            <w:pPr>
              <w:spacing w:after="0"/>
              <w:rPr>
                <w:sz w:val="18"/>
                <w:szCs w:val="18"/>
                <w:color w:val="auto"/>
              </w:rPr>
            </w:pPr>
          </w:p>
        </w:tc>
      </w:tr>
      <w:tr>
        <w:trPr>
          <w:trHeight w:val="222"/>
        </w:trPr>
        <w:tc>
          <w:tcPr>
            <w:tcW w:w="1024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93,738,630</w:t>
            </w:r>
          </w:p>
        </w:tc>
      </w:tr>
      <w:tr>
        <w:trPr>
          <w:trHeight w:val="20"/>
        </w:trPr>
        <w:tc>
          <w:tcPr>
            <w:tcW w:w="10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10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in excess of net investment income,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(1,456,269)</w:t>
            </w:r>
          </w:p>
        </w:tc>
      </w:tr>
      <w:tr>
        <w:trPr>
          <w:trHeight w:val="20"/>
        </w:trPr>
        <w:tc>
          <w:tcPr>
            <w:tcW w:w="10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2080" w:right="74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CASH FLOWS (Unaudited)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Adjustments to reconcile net increase in net assets resulting from operations to 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Proceeds from dispositions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accrued expenses</w:t>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Borrowings under credit facility (See Note 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Repayments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Three Months Ended</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2011</w:t>
      </w:r>
    </w:p>
    <w:p>
      <w:pPr>
        <w:spacing w:after="0" w:line="205" w:lineRule="exact"/>
        <w:rPr>
          <w:sz w:val="20"/>
          <w:szCs w:val="20"/>
          <w:color w:val="auto"/>
        </w:rPr>
      </w:pPr>
    </w:p>
    <w:p>
      <w:pPr>
        <w:ind w:left="540" w:hanging="537"/>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3,105,165</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(1,069,091)</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(351,000)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(310,175)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(145,347)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(39,340,500)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(33,280)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22,294,290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(5,455,000)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(98,571)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65,396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9,775,000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(161,370)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128,735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49,413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208,817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797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(11,337,518)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79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(1,438,640)</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23,000,000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(12,550,000)</w:t>
      </w:r>
    </w:p>
    <w:p>
      <w:pPr>
        <w:spacing w:after="0" w:line="9" w:lineRule="exact"/>
        <w:rPr>
          <w:sz w:val="20"/>
          <w:szCs w:val="20"/>
          <w:color w:val="auto"/>
        </w:rPr>
      </w:pPr>
    </w:p>
    <w:p>
      <w:pPr>
        <w:sectPr>
          <w:pgSz w:w="11900" w:h="16838" w:orient="portrait"/>
          <w:cols w:equalWidth="0" w:num="2">
            <w:col w:w="9180" w:space="720"/>
            <w:col w:w="1340"/>
          </w:cols>
          <w:pgMar w:left="320" w:top="459" w:right="339" w:bottom="1440" w:gutter="0" w:footer="0" w:header="0"/>
        </w:sectPr>
      </w:pPr>
    </w:p>
    <w:tbl>
      <w:tblPr>
        <w:tblLayout w:type="fixed"/>
        <w:tblInd w:w="0" w:type="dxa"/>
        <w:tblCellMar>
          <w:top w:w="0" w:type="dxa"/>
          <w:left w:w="0" w:type="dxa"/>
          <w:bottom w:w="0" w:type="dxa"/>
          <w:right w:w="0" w:type="dxa"/>
        </w:tblCellMar>
      </w:tblPr>
      <w:tr>
        <w:trPr>
          <w:trHeight w:val="232"/>
        </w:trPr>
        <w:tc>
          <w:tcPr>
            <w:tcW w:w="850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9,011,360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(2,326,158)</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Basis Point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ind w:left="33"/>
              <w:spacing w:after="0"/>
              <w:rPr>
                <w:sz w:val="20"/>
                <w:szCs w:val="20"/>
                <w:color w:val="auto"/>
              </w:rPr>
            </w:pPr>
            <w:r>
              <w:rPr>
                <w:rFonts w:ascii="Arial" w:cs="Arial" w:eastAsia="Arial" w:hAnsi="Arial"/>
                <w:sz w:val="13"/>
                <w:szCs w:val="13"/>
                <w:b w:val="1"/>
                <w:bCs w:val="1"/>
                <w:color w:val="auto"/>
                <w:w w:val="95"/>
              </w:rPr>
              <w:t>Spread</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580" w:type="dxa"/>
            <w:vAlign w:val="bottom"/>
            <w:vMerge w:val="restart"/>
          </w:tcPr>
          <w:p>
            <w:pPr>
              <w:jc w:val="center"/>
              <w:ind w:left="633"/>
              <w:spacing w:after="0"/>
              <w:rPr>
                <w:sz w:val="20"/>
                <w:szCs w:val="20"/>
                <w:color w:val="auto"/>
              </w:rPr>
            </w:pPr>
            <w:r>
              <w:rPr>
                <w:rFonts w:ascii="Arial" w:cs="Arial" w:eastAsia="Arial" w:hAnsi="Arial"/>
                <w:sz w:val="13"/>
                <w:szCs w:val="13"/>
                <w:b w:val="1"/>
                <w:bCs w:val="1"/>
                <w:color w:val="auto"/>
              </w:rPr>
              <w:t>Maturity</w:t>
            </w: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4"/>
                <w:szCs w:val="14"/>
                <w:color w:val="auto"/>
              </w:rPr>
            </w:pPr>
          </w:p>
        </w:tc>
        <w:tc>
          <w:tcPr>
            <w:tcW w:w="760" w:type="dxa"/>
            <w:vAlign w:val="bottom"/>
          </w:tcPr>
          <w:p>
            <w:pPr>
              <w:jc w:val="center"/>
              <w:ind w:left="33"/>
              <w:spacing w:after="0"/>
              <w:rPr>
                <w:sz w:val="20"/>
                <w:szCs w:val="20"/>
                <w:color w:val="auto"/>
              </w:rPr>
            </w:pPr>
            <w:r>
              <w:rPr>
                <w:rFonts w:ascii="Arial" w:cs="Arial" w:eastAsia="Arial" w:hAnsi="Arial"/>
                <w:sz w:val="13"/>
                <w:szCs w:val="13"/>
                <w:b w:val="1"/>
                <w:bCs w:val="1"/>
                <w:color w:val="auto"/>
                <w:w w:val="95"/>
              </w:rPr>
              <w:t>Above</w:t>
            </w:r>
          </w:p>
        </w:tc>
        <w:tc>
          <w:tcPr>
            <w:tcW w:w="28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330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Coupon</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left="33"/>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Companies—137.9% </w:t>
            </w:r>
            <w:r>
              <w:rPr>
                <w:rFonts w:ascii="Arial" w:cs="Arial" w:eastAsia="Arial" w:hAnsi="Arial"/>
                <w:sz w:val="17"/>
                <w:szCs w:val="17"/>
                <w:b w:val="1"/>
                <w:bCs w:val="1"/>
                <w:color w:val="auto"/>
                <w:vertAlign w:val="superscript"/>
              </w:rPr>
              <w:t>(3),(4)</w:t>
            </w:r>
          </w:p>
        </w:tc>
        <w:tc>
          <w:tcPr>
            <w:tcW w:w="1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3"/>
                <w:szCs w:val="13"/>
                <w:b w:val="1"/>
                <w:bCs w:val="1"/>
                <w:color w:val="auto"/>
              </w:rPr>
              <w:t>First Lien Secured Debt—113.5%</w:t>
            </w: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Airvana Network Solutions Inc.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13"/>
              <w:spacing w:after="0"/>
              <w:rPr>
                <w:sz w:val="20"/>
                <w:szCs w:val="20"/>
                <w:color w:val="auto"/>
              </w:rPr>
            </w:pPr>
            <w:r>
              <w:rPr>
                <w:rFonts w:ascii="Arial" w:cs="Arial" w:eastAsia="Arial" w:hAnsi="Arial"/>
                <w:sz w:val="13"/>
                <w:szCs w:val="13"/>
                <w:color w:val="auto"/>
                <w:w w:val="95"/>
              </w:rPr>
              <w:t>03/25/2015</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L+800</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876,190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879,384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876,190</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07/29/2017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L+500</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997,500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992,820</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995,630</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07/31/2016</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Hotel, Gaming and</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12.38%</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L+988</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471,831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480,612</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472,618</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Leisure</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C.H.I. Overhead Doors, Inc. </w:t>
            </w:r>
            <w:r>
              <w:rPr>
                <w:rFonts w:ascii="Arial" w:cs="Arial" w:eastAsia="Arial" w:hAnsi="Arial"/>
                <w:sz w:val="15"/>
                <w:szCs w:val="15"/>
                <w:color w:val="auto"/>
                <w:vertAlign w:val="superscript"/>
              </w:rPr>
              <w:t>(11)</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08/17/2017</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2"/>
              </w:rPr>
              <w:t>Consumer Goods:</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7.25%</w:t>
            </w:r>
          </w:p>
        </w:tc>
        <w:tc>
          <w:tcPr>
            <w:tcW w:w="2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L+575</w:t>
            </w:r>
          </w:p>
        </w:tc>
        <w:tc>
          <w:tcPr>
            <w:tcW w:w="280" w:type="dxa"/>
            <w:vAlign w:val="bottom"/>
          </w:tcPr>
          <w:p>
            <w:pPr>
              <w:spacing w:after="0"/>
              <w:rPr>
                <w:sz w:val="11"/>
                <w:szCs w:val="11"/>
                <w:color w:val="auto"/>
              </w:rPr>
            </w:pP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3,990,000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3,914,525</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3,950,100</w:t>
            </w: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6"/>
              </w:rPr>
              <w:t>Durable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13"/>
              <w:spacing w:after="0"/>
              <w:rPr>
                <w:sz w:val="20"/>
                <w:szCs w:val="20"/>
                <w:color w:val="auto"/>
              </w:rPr>
            </w:pPr>
            <w:r>
              <w:rPr>
                <w:rFonts w:ascii="Arial" w:cs="Arial" w:eastAsia="Arial" w:hAnsi="Arial"/>
                <w:sz w:val="13"/>
                <w:szCs w:val="13"/>
                <w:color w:val="auto"/>
                <w:w w:val="95"/>
              </w:rPr>
              <w:t>12/01/2016</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P+425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990,114</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997,500</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07/28/2017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780" w:type="dxa"/>
            <w:vAlign w:val="bottom"/>
          </w:tcPr>
          <w:p>
            <w:pPr>
              <w:jc w:val="right"/>
              <w:spacing w:after="0"/>
              <w:rPr>
                <w:sz w:val="20"/>
                <w:szCs w:val="20"/>
                <w:color w:val="auto"/>
              </w:rPr>
            </w:pPr>
            <w:r>
              <w:rPr>
                <w:rFonts w:ascii="Arial" w:cs="Arial" w:eastAsia="Arial" w:hAnsi="Arial"/>
                <w:sz w:val="13"/>
                <w:szCs w:val="13"/>
                <w:color w:val="auto"/>
              </w:rPr>
              <w:t>6.75%</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P+350</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987,500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982,833</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967,750</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Ernest Health, Inc.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05/13/2016</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Healthcare and</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L+475</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2,943,750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2,918,506</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2,914,312</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Pharmaceuticals</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3"/>
                <w:szCs w:val="13"/>
                <w:color w:val="auto"/>
              </w:rPr>
              <w:t>Frac Tech International, LLC</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05/06/2016</w:t>
            </w: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78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L+475</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2,021,803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2,003,891</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1,992,424</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Fundtech (US FT HOLDCO, INC.)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33"/>
              <w:spacing w:after="0"/>
              <w:rPr>
                <w:sz w:val="20"/>
                <w:szCs w:val="20"/>
                <w:color w:val="auto"/>
              </w:rPr>
            </w:pPr>
            <w:r>
              <w:rPr>
                <w:rFonts w:ascii="Arial" w:cs="Arial" w:eastAsia="Arial" w:hAnsi="Arial"/>
                <w:sz w:val="13"/>
                <w:szCs w:val="13"/>
                <w:color w:val="auto"/>
                <w:w w:val="92"/>
              </w:rPr>
              <w:t>11/30/2017</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L+600</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2,910,921</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2,960,625</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Global Tel*Link Corporation </w:t>
            </w:r>
            <w:r>
              <w:rPr>
                <w:rFonts w:ascii="Arial" w:cs="Arial" w:eastAsia="Arial" w:hAnsi="Arial"/>
                <w:sz w:val="17"/>
                <w:szCs w:val="17"/>
                <w:color w:val="auto"/>
                <w:vertAlign w:val="superscript"/>
              </w:rPr>
              <w:t>(11)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12/14/2017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L+550</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2,940,420</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2,925,000</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Gundle/SLT Environmental, Inc.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05/27/2016</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Environmental</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7.01%</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L+550</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2,985,000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2,958,750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2,910,375</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Industries</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Harmony Foods Corporation </w:t>
            </w:r>
            <w:r>
              <w:rPr>
                <w:rFonts w:ascii="Arial" w:cs="Arial" w:eastAsia="Arial" w:hAnsi="Arial"/>
                <w:sz w:val="15"/>
                <w:szCs w:val="15"/>
                <w:color w:val="auto"/>
                <w:vertAlign w:val="superscript"/>
              </w:rPr>
              <w:t>(6)</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05/01/2016</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1"/>
              </w:rPr>
              <w:t>Beverage, Food and</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10.00%</w:t>
            </w:r>
          </w:p>
        </w:tc>
        <w:tc>
          <w:tcPr>
            <w:tcW w:w="260" w:type="dxa"/>
            <w:vAlign w:val="bottom"/>
          </w:tcPr>
          <w:p>
            <w:pPr>
              <w:spacing w:after="0"/>
              <w:rPr>
                <w:sz w:val="11"/>
                <w:szCs w:val="11"/>
                <w:color w:val="auto"/>
              </w:rPr>
            </w:pP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2,000,000</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2,010,000</w:t>
            </w: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Tobacco</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13"/>
              <w:spacing w:after="0"/>
              <w:rPr>
                <w:sz w:val="20"/>
                <w:szCs w:val="20"/>
                <w:color w:val="auto"/>
              </w:rPr>
            </w:pPr>
            <w:r>
              <w:rPr>
                <w:rFonts w:ascii="Arial" w:cs="Arial" w:eastAsia="Arial" w:hAnsi="Arial"/>
                <w:sz w:val="13"/>
                <w:szCs w:val="13"/>
                <w:color w:val="auto"/>
                <w:w w:val="95"/>
              </w:rPr>
              <w:t>08/16/2017</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L+500</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991,259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986,455</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973,912</w:t>
            </w: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(11)</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08/07/2014</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7"/>
              </w:rPr>
              <w:t>Media: Advertising,</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3.67%</w:t>
            </w:r>
          </w:p>
        </w:tc>
        <w:tc>
          <w:tcPr>
            <w:tcW w:w="2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L+338</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(5)</w:t>
            </w: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6,963,646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6,544,072</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6,511,008</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Printing and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K2 Pure Solutions NoCal, L.P.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09/10/2015</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Chemicals, Plastics</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P+675</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5,476,250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5,520,943</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5,311,962</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and Rubber</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3"/>
                <w:szCs w:val="13"/>
                <w:color w:val="auto"/>
              </w:rPr>
              <w:t>KAR Auction Services, Inc.</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05/19/2017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780" w:type="dxa"/>
            <w:vAlign w:val="bottom"/>
          </w:tcPr>
          <w:p>
            <w:pPr>
              <w:jc w:val="right"/>
              <w:spacing w:after="0"/>
              <w:rPr>
                <w:sz w:val="20"/>
                <w:szCs w:val="20"/>
                <w:color w:val="auto"/>
              </w:rPr>
            </w:pPr>
            <w:r>
              <w:rPr>
                <w:rFonts w:ascii="Arial" w:cs="Arial" w:eastAsia="Arial" w:hAnsi="Arial"/>
                <w:sz w:val="13"/>
                <w:szCs w:val="13"/>
                <w:color w:val="auto"/>
              </w:rPr>
              <w:t>5.00%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L+375</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2,985,000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2,971,729</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2,936,493</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KIK Custom Products Inc. </w:t>
            </w:r>
            <w:r>
              <w:rPr>
                <w:rFonts w:ascii="Arial" w:cs="Arial" w:eastAsia="Arial" w:hAnsi="Arial"/>
                <w:sz w:val="15"/>
                <w:szCs w:val="15"/>
                <w:color w:val="auto"/>
                <w:vertAlign w:val="superscript"/>
              </w:rPr>
              <w:t>(7)</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05/31/2014</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Goods:</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8.50%</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L+700</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4,975,000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4,848,100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4,676,500</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Non-Durable</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Medpace Holdings, Inc. </w:t>
            </w:r>
            <w:r>
              <w:rPr>
                <w:rFonts w:ascii="Arial" w:cs="Arial" w:eastAsia="Arial" w:hAnsi="Arial"/>
                <w:sz w:val="17"/>
                <w:szCs w:val="17"/>
                <w:color w:val="auto"/>
                <w:vertAlign w:val="superscript"/>
              </w:rPr>
              <w:t>(11)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06/17/2017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L+500</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1,990,000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1,962,157</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1,870,600</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 (11)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05/06/2018</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Media: Diversified</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L+550</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3,980,000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3,943,646</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3,641,700</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Production</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(7), (11)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12/23/2016</w:t>
            </w: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780" w:type="dxa"/>
            <w:vAlign w:val="bottom"/>
          </w:tcPr>
          <w:p>
            <w:pPr>
              <w:jc w:val="right"/>
              <w:spacing w:after="0"/>
              <w:rPr>
                <w:sz w:val="20"/>
                <w:szCs w:val="20"/>
                <w:color w:val="auto"/>
              </w:rPr>
            </w:pPr>
            <w:r>
              <w:rPr>
                <w:rFonts w:ascii="Arial" w:cs="Arial" w:eastAsia="Arial" w:hAnsi="Arial"/>
                <w:sz w:val="13"/>
                <w:szCs w:val="13"/>
                <w:color w:val="auto"/>
              </w:rPr>
              <w:t>8.50%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L+700</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2,925,000</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2,925,000</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National Healing Corporation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33"/>
              <w:spacing w:after="0" w:line="138" w:lineRule="exact"/>
              <w:rPr>
                <w:sz w:val="20"/>
                <w:szCs w:val="20"/>
                <w:color w:val="auto"/>
              </w:rPr>
            </w:pPr>
            <w:r>
              <w:rPr>
                <w:rFonts w:ascii="Arial" w:cs="Arial" w:eastAsia="Arial" w:hAnsi="Arial"/>
                <w:sz w:val="13"/>
                <w:szCs w:val="13"/>
                <w:color w:val="auto"/>
                <w:w w:val="92"/>
              </w:rPr>
              <w:t>11/30/2017</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Healthcare and</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8.25%</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L+675</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5,000,000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4,751,563</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4,800,000</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Pharmaceuticals</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08/01/2014</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8"/>
              </w:rPr>
              <w:t>Media: Diversified</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5.00%</w:t>
            </w:r>
          </w:p>
        </w:tc>
        <w:tc>
          <w:tcPr>
            <w:tcW w:w="260" w:type="dxa"/>
            <w:vAlign w:val="bottom"/>
          </w:tcPr>
          <w:p>
            <w:pPr>
              <w:jc w:val="right"/>
              <w:ind w:right="44"/>
              <w:spacing w:after="0"/>
              <w:rPr>
                <w:sz w:val="20"/>
                <w:szCs w:val="20"/>
                <w:color w:val="auto"/>
              </w:rPr>
            </w:pPr>
            <w:r>
              <w:rPr>
                <w:rFonts w:ascii="Arial" w:cs="Arial" w:eastAsia="Arial" w:hAnsi="Arial"/>
                <w:sz w:val="11"/>
                <w:szCs w:val="11"/>
                <w:color w:val="auto"/>
              </w:rPr>
              <w:t>(8)</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L+400</w:t>
            </w:r>
          </w:p>
        </w:tc>
        <w:tc>
          <w:tcPr>
            <w:tcW w:w="280" w:type="dxa"/>
            <w:vAlign w:val="bottom"/>
          </w:tcPr>
          <w:p>
            <w:pPr>
              <w:spacing w:after="0"/>
              <w:rPr>
                <w:sz w:val="11"/>
                <w:szCs w:val="11"/>
                <w:color w:val="auto"/>
              </w:rPr>
            </w:pP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5,497,918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4,739,263</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3,353,730</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and Production</w:t>
            </w:r>
          </w:p>
        </w:tc>
        <w:tc>
          <w:tcPr>
            <w:tcW w:w="1040" w:type="dxa"/>
            <w:vAlign w:val="bottom"/>
            <w:gridSpan w:val="2"/>
          </w:tcPr>
          <w:p>
            <w:pPr>
              <w:ind w:left="120"/>
              <w:spacing w:after="0"/>
              <w:rPr>
                <w:sz w:val="20"/>
                <w:szCs w:val="20"/>
                <w:color w:val="auto"/>
              </w:rPr>
            </w:pPr>
            <w:r>
              <w:rPr>
                <w:rFonts w:ascii="Arial" w:cs="Arial" w:eastAsia="Arial" w:hAnsi="Arial"/>
                <w:sz w:val="13"/>
                <w:szCs w:val="13"/>
                <w:color w:val="auto"/>
              </w:rPr>
              <w:t>(PIK 1.00%)</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Potter’s Holdings II, L.P.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05/08/2017</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Containers, Packaging</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6.00%</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L+450</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1,995,000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1,977,094</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1,967,569</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and Glass</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Pro Mach, Inc. </w:t>
            </w:r>
            <w:r>
              <w:rPr>
                <w:rFonts w:ascii="Arial" w:cs="Arial" w:eastAsia="Arial" w:hAnsi="Arial"/>
                <w:sz w:val="17"/>
                <w:szCs w:val="17"/>
                <w:color w:val="auto"/>
                <w:vertAlign w:val="superscript"/>
              </w:rPr>
              <w:t>(11)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07/06/2017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78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L+475</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995,000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986,000</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972,613</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Renaissance Learning, Inc.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10/19/2017</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7.75%</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L+625</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1,995,000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1,916,193</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1,967,569</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and Subscription</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Securus Technologies, Inc. </w:t>
            </w:r>
            <w:r>
              <w:rPr>
                <w:rFonts w:ascii="Arial" w:cs="Arial" w:eastAsia="Arial" w:hAnsi="Arial"/>
                <w:sz w:val="17"/>
                <w:szCs w:val="17"/>
                <w:color w:val="auto"/>
                <w:vertAlign w:val="superscript"/>
              </w:rPr>
              <w:t>(11)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05/31/2017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780" w:type="dxa"/>
            <w:vAlign w:val="bottom"/>
          </w:tcPr>
          <w:p>
            <w:pPr>
              <w:jc w:val="right"/>
              <w:spacing w:after="0"/>
              <w:rPr>
                <w:sz w:val="20"/>
                <w:szCs w:val="20"/>
                <w:color w:val="auto"/>
              </w:rPr>
            </w:pPr>
            <w:r>
              <w:rPr>
                <w:rFonts w:ascii="Arial" w:cs="Arial" w:eastAsia="Arial" w:hAnsi="Arial"/>
                <w:sz w:val="13"/>
                <w:szCs w:val="13"/>
                <w:color w:val="auto"/>
              </w:rPr>
              <w:t>5.25%</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L+400</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2,985,000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2,957,149</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2,925,300</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Select Medical Corporation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13"/>
              <w:spacing w:after="0"/>
              <w:rPr>
                <w:sz w:val="20"/>
                <w:szCs w:val="20"/>
                <w:color w:val="auto"/>
              </w:rPr>
            </w:pPr>
            <w:r>
              <w:rPr>
                <w:rFonts w:ascii="Arial" w:cs="Arial" w:eastAsia="Arial" w:hAnsi="Arial"/>
                <w:sz w:val="13"/>
                <w:szCs w:val="13"/>
                <w:color w:val="auto"/>
                <w:w w:val="95"/>
              </w:rPr>
              <w:t>06/01/2018</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L+375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2,985,000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2,957,742</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2,835,750</w:t>
            </w: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Sotera Defense Solutions, Inc. </w:t>
            </w:r>
            <w:r>
              <w:rPr>
                <w:rFonts w:ascii="Arial" w:cs="Arial" w:eastAsia="Arial" w:hAnsi="Arial"/>
                <w:sz w:val="15"/>
                <w:szCs w:val="15"/>
                <w:color w:val="auto"/>
                <w:vertAlign w:val="superscript"/>
              </w:rPr>
              <w:t>(11)</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04/22/2017</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7.00%</w:t>
            </w:r>
          </w:p>
        </w:tc>
        <w:tc>
          <w:tcPr>
            <w:tcW w:w="2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L+550</w:t>
            </w:r>
          </w:p>
        </w:tc>
        <w:tc>
          <w:tcPr>
            <w:tcW w:w="280" w:type="dxa"/>
            <w:vAlign w:val="bottom"/>
          </w:tcPr>
          <w:p>
            <w:pPr>
              <w:spacing w:after="0"/>
              <w:rPr>
                <w:sz w:val="11"/>
                <w:szCs w:val="11"/>
                <w:color w:val="auto"/>
              </w:rPr>
            </w:pP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2,985,000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2,958,852</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2,955,150</w:t>
            </w: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0"/>
              </w:rPr>
              <w:t>Defense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Tank Intermediate Holding Corp.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04/15/2016</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Containers, Packaging</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L+375</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1,811,321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1,807,734</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1,802,264</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and Glass</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00" w:type="dxa"/>
            <w:vAlign w:val="bottom"/>
            <w:vMerge w:val="restart"/>
          </w:tcPr>
          <w:p>
            <w:pPr>
              <w:spacing w:after="0"/>
              <w:rPr>
                <w:sz w:val="20"/>
                <w:szCs w:val="20"/>
                <w:color w:val="auto"/>
              </w:rPr>
            </w:pPr>
            <w:r>
              <w:rPr>
                <w:rFonts w:ascii="Arial" w:cs="Arial" w:eastAsia="Arial" w:hAnsi="Arial"/>
                <w:sz w:val="13"/>
                <w:szCs w:val="13"/>
                <w:color w:val="auto"/>
              </w:rPr>
              <w:t xml:space="preserve">Terex Corporation </w:t>
            </w:r>
            <w:r>
              <w:rPr>
                <w:rFonts w:ascii="Arial" w:cs="Arial" w:eastAsia="Arial" w:hAnsi="Arial"/>
                <w:sz w:val="22"/>
                <w:szCs w:val="22"/>
                <w:color w:val="auto"/>
                <w:vertAlign w:val="superscript"/>
              </w:rPr>
              <w:t>(11)</w:t>
            </w:r>
          </w:p>
        </w:tc>
        <w:tc>
          <w:tcPr>
            <w:tcW w:w="1580" w:type="dxa"/>
            <w:vAlign w:val="bottom"/>
            <w:vMerge w:val="restart"/>
          </w:tcPr>
          <w:p>
            <w:pPr>
              <w:jc w:val="center"/>
              <w:ind w:left="613"/>
              <w:spacing w:after="0"/>
              <w:rPr>
                <w:sz w:val="20"/>
                <w:szCs w:val="20"/>
                <w:color w:val="auto"/>
              </w:rPr>
            </w:pPr>
            <w:r>
              <w:rPr>
                <w:rFonts w:ascii="Arial" w:cs="Arial" w:eastAsia="Arial" w:hAnsi="Arial"/>
                <w:sz w:val="13"/>
                <w:szCs w:val="13"/>
                <w:color w:val="auto"/>
                <w:w w:val="95"/>
              </w:rPr>
              <w:t>04/28/2017</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95"/>
              </w:rPr>
              <w:t>Capital Equipment</w:t>
            </w:r>
          </w:p>
        </w:tc>
        <w:tc>
          <w:tcPr>
            <w:tcW w:w="78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L+400</w:t>
            </w:r>
          </w:p>
        </w:tc>
        <w:tc>
          <w:tcPr>
            <w:tcW w:w="28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1,995,000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1,976,781</w:t>
            </w:r>
          </w:p>
        </w:tc>
        <w:tc>
          <w:tcPr>
            <w:tcW w:w="1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1,970,063</w:t>
            </w:r>
          </w:p>
        </w:tc>
        <w:tc>
          <w:tcPr>
            <w:tcW w:w="0" w:type="dxa"/>
            <w:vAlign w:val="bottom"/>
          </w:tcPr>
          <w:p>
            <w:pPr>
              <w:spacing w:after="0"/>
              <w:rPr>
                <w:sz w:val="1"/>
                <w:szCs w:val="1"/>
                <w:color w:val="auto"/>
              </w:rPr>
            </w:pPr>
          </w:p>
        </w:tc>
      </w:tr>
      <w:tr>
        <w:trPr>
          <w:trHeight w:val="152"/>
        </w:trPr>
        <w:tc>
          <w:tcPr>
            <w:tcW w:w="330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Triple Point Technology, Inc.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13"/>
              <w:spacing w:after="0"/>
              <w:rPr>
                <w:sz w:val="20"/>
                <w:szCs w:val="20"/>
                <w:color w:val="auto"/>
              </w:rPr>
            </w:pPr>
            <w:r>
              <w:rPr>
                <w:rFonts w:ascii="Arial" w:cs="Arial" w:eastAsia="Arial" w:hAnsi="Arial"/>
                <w:sz w:val="13"/>
                <w:szCs w:val="13"/>
                <w:color w:val="auto"/>
                <w:w w:val="95"/>
              </w:rPr>
              <w:t>10/30/2017</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L+650</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960,923</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998,750</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Unifrax I LLC </w:t>
            </w:r>
            <w:r>
              <w:rPr>
                <w:rFonts w:ascii="Arial" w:cs="Arial" w:eastAsia="Arial" w:hAnsi="Arial"/>
                <w:sz w:val="17"/>
                <w:szCs w:val="17"/>
                <w:color w:val="auto"/>
                <w:vertAlign w:val="superscript"/>
              </w:rPr>
              <w:t>(11)</w:t>
            </w:r>
          </w:p>
        </w:tc>
        <w:tc>
          <w:tcPr>
            <w:tcW w:w="1580" w:type="dxa"/>
            <w:vAlign w:val="bottom"/>
          </w:tcPr>
          <w:p>
            <w:pPr>
              <w:jc w:val="center"/>
              <w:ind w:left="633"/>
              <w:spacing w:after="0"/>
              <w:rPr>
                <w:sz w:val="20"/>
                <w:szCs w:val="20"/>
                <w:color w:val="auto"/>
              </w:rPr>
            </w:pPr>
            <w:r>
              <w:rPr>
                <w:rFonts w:ascii="Arial" w:cs="Arial" w:eastAsia="Arial" w:hAnsi="Arial"/>
                <w:sz w:val="13"/>
                <w:szCs w:val="13"/>
                <w:color w:val="auto"/>
                <w:w w:val="92"/>
              </w:rPr>
              <w:t>11/28/2018</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L+550</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2,940,541</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2,996,250</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Univita Health Inc.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13"/>
              <w:spacing w:after="0"/>
              <w:rPr>
                <w:sz w:val="20"/>
                <w:szCs w:val="20"/>
                <w:color w:val="auto"/>
              </w:rPr>
            </w:pPr>
            <w:r>
              <w:rPr>
                <w:rFonts w:ascii="Arial" w:cs="Arial" w:eastAsia="Arial" w:hAnsi="Arial"/>
                <w:sz w:val="13"/>
                <w:szCs w:val="13"/>
                <w:color w:val="auto"/>
                <w:w w:val="95"/>
              </w:rPr>
              <w:t>06/19/2017</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L+475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2,985,000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2,958,105</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2,835,750</w:t>
            </w: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U.S. Healthworks Holding Company, Inc. </w:t>
            </w:r>
            <w:r>
              <w:rPr>
                <w:rFonts w:ascii="Arial" w:cs="Arial" w:eastAsia="Arial" w:hAnsi="Arial"/>
                <w:sz w:val="15"/>
                <w:szCs w:val="15"/>
                <w:color w:val="auto"/>
                <w:vertAlign w:val="superscript"/>
              </w:rPr>
              <w:t>(11)</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06/15/2016</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0"/>
              </w:rPr>
              <w:t>Healthcare and</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6.25%</w:t>
            </w:r>
          </w:p>
        </w:tc>
        <w:tc>
          <w:tcPr>
            <w:tcW w:w="2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L+475</w:t>
            </w:r>
          </w:p>
        </w:tc>
        <w:tc>
          <w:tcPr>
            <w:tcW w:w="280" w:type="dxa"/>
            <w:vAlign w:val="bottom"/>
          </w:tcPr>
          <w:p>
            <w:pPr>
              <w:spacing w:after="0"/>
              <w:rPr>
                <w:sz w:val="11"/>
                <w:szCs w:val="11"/>
                <w:color w:val="auto"/>
              </w:rPr>
            </w:pP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2,992,500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2,966,172</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2,902,725</w:t>
            </w: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Pharmaceuticals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Valitas Health Services, Inc.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06/02/2017</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Healthcare and</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5.75%</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L+450</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1,492,500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1,485,850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1,432,800</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Pharmaceuticals</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Viamedia Services Corp. </w:t>
            </w:r>
            <w:r>
              <w:rPr>
                <w:rFonts w:ascii="Arial" w:cs="Arial" w:eastAsia="Arial" w:hAnsi="Arial"/>
                <w:sz w:val="15"/>
                <w:szCs w:val="15"/>
                <w:color w:val="auto"/>
                <w:vertAlign w:val="superscript"/>
              </w:rPr>
              <w:t>(11)</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04/19/2016</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7"/>
              </w:rPr>
              <w:t>Media: Advertising,</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7.00%</w:t>
            </w:r>
          </w:p>
        </w:tc>
        <w:tc>
          <w:tcPr>
            <w:tcW w:w="2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L+550</w:t>
            </w:r>
          </w:p>
        </w:tc>
        <w:tc>
          <w:tcPr>
            <w:tcW w:w="280" w:type="dxa"/>
            <w:vAlign w:val="bottom"/>
          </w:tcPr>
          <w:p>
            <w:pPr>
              <w:spacing w:after="0"/>
              <w:rPr>
                <w:sz w:val="11"/>
                <w:szCs w:val="11"/>
                <w:color w:val="auto"/>
              </w:rPr>
            </w:pP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4,625,000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4,574,010</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4,567,188</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Printing and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(11)</w:t>
            </w:r>
          </w:p>
        </w:tc>
        <w:tc>
          <w:tcPr>
            <w:tcW w:w="1580" w:type="dxa"/>
            <w:vAlign w:val="bottom"/>
            <w:shd w:val="clear" w:color="auto" w:fill="CCEEFF"/>
          </w:tcPr>
          <w:p>
            <w:pPr>
              <w:jc w:val="center"/>
              <w:ind w:left="613"/>
              <w:spacing w:after="0"/>
              <w:rPr>
                <w:sz w:val="20"/>
                <w:szCs w:val="20"/>
                <w:color w:val="auto"/>
              </w:rPr>
            </w:pPr>
            <w:r>
              <w:rPr>
                <w:rFonts w:ascii="Arial" w:cs="Arial" w:eastAsia="Arial" w:hAnsi="Arial"/>
                <w:sz w:val="13"/>
                <w:szCs w:val="13"/>
                <w:color w:val="auto"/>
                <w:w w:val="95"/>
              </w:rPr>
              <w:t>12/22/2016</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P+450</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2,992,500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2,965,099</w:t>
            </w:r>
          </w:p>
        </w:tc>
        <w:tc>
          <w:tcPr>
            <w:tcW w:w="18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2,797,988</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W3 CO. </w:t>
            </w:r>
            <w:r>
              <w:rPr>
                <w:rFonts w:ascii="Arial" w:cs="Arial" w:eastAsia="Arial" w:hAnsi="Arial"/>
                <w:sz w:val="17"/>
                <w:szCs w:val="17"/>
                <w:color w:val="auto"/>
                <w:vertAlign w:val="superscript"/>
              </w:rPr>
              <w:t>(11)</w:t>
            </w:r>
          </w:p>
        </w:tc>
        <w:tc>
          <w:tcPr>
            <w:tcW w:w="1580" w:type="dxa"/>
            <w:vAlign w:val="bottom"/>
          </w:tcPr>
          <w:p>
            <w:pPr>
              <w:jc w:val="center"/>
              <w:ind w:left="613"/>
              <w:spacing w:after="0"/>
              <w:rPr>
                <w:sz w:val="20"/>
                <w:szCs w:val="20"/>
                <w:color w:val="auto"/>
              </w:rPr>
            </w:pPr>
            <w:r>
              <w:rPr>
                <w:rFonts w:ascii="Arial" w:cs="Arial" w:eastAsia="Arial" w:hAnsi="Arial"/>
                <w:sz w:val="13"/>
                <w:szCs w:val="13"/>
                <w:color w:val="auto"/>
                <w:w w:val="95"/>
              </w:rPr>
              <w:t>10/31/2017</w:t>
            </w: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780" w:type="dxa"/>
            <w:vAlign w:val="bottom"/>
          </w:tcPr>
          <w:p>
            <w:pPr>
              <w:jc w:val="right"/>
              <w:spacing w:after="0"/>
              <w:rPr>
                <w:sz w:val="20"/>
                <w:szCs w:val="20"/>
                <w:color w:val="auto"/>
              </w:rPr>
            </w:pPr>
            <w:r>
              <w:rPr>
                <w:rFonts w:ascii="Arial" w:cs="Arial" w:eastAsia="Arial" w:hAnsi="Arial"/>
                <w:sz w:val="13"/>
                <w:szCs w:val="13"/>
                <w:color w:val="auto"/>
              </w:rPr>
              <w:t>7.50%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L+625</w:t>
            </w:r>
          </w:p>
        </w:tc>
        <w:tc>
          <w:tcPr>
            <w:tcW w:w="28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1,921,824</w:t>
            </w:r>
          </w:p>
        </w:tc>
        <w:tc>
          <w:tcPr>
            <w:tcW w:w="1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1,952,500</w:t>
            </w: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Water Pik, Inc. </w:t>
            </w:r>
            <w:r>
              <w:rPr>
                <w:rFonts w:ascii="Arial" w:cs="Arial" w:eastAsia="Arial" w:hAnsi="Arial"/>
                <w:sz w:val="15"/>
                <w:szCs w:val="15"/>
                <w:color w:val="auto"/>
                <w:vertAlign w:val="superscript"/>
              </w:rPr>
              <w:t>(11)</w:t>
            </w:r>
          </w:p>
        </w:tc>
        <w:tc>
          <w:tcPr>
            <w:tcW w:w="1580" w:type="dxa"/>
            <w:vAlign w:val="bottom"/>
            <w:shd w:val="clear" w:color="auto" w:fill="CCEEFF"/>
          </w:tcPr>
          <w:p>
            <w:pPr>
              <w:jc w:val="center"/>
              <w:ind w:left="613"/>
              <w:spacing w:after="0" w:line="138" w:lineRule="exact"/>
              <w:rPr>
                <w:sz w:val="20"/>
                <w:szCs w:val="20"/>
                <w:color w:val="auto"/>
              </w:rPr>
            </w:pPr>
            <w:r>
              <w:rPr>
                <w:rFonts w:ascii="Arial" w:cs="Arial" w:eastAsia="Arial" w:hAnsi="Arial"/>
                <w:sz w:val="13"/>
                <w:szCs w:val="13"/>
                <w:color w:val="auto"/>
                <w:w w:val="95"/>
              </w:rPr>
              <w:t>08/10/2017</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Goods:</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6.75%</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L+525</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3,491,250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3,458,105</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3,438,881</w:t>
            </w: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Durable</w:t>
            </w: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Yonkers Racing Corporation </w:t>
            </w:r>
            <w:r>
              <w:rPr>
                <w:rFonts w:ascii="Arial" w:cs="Arial" w:eastAsia="Arial" w:hAnsi="Arial"/>
                <w:sz w:val="15"/>
                <w:szCs w:val="15"/>
                <w:color w:val="auto"/>
                <w:vertAlign w:val="superscript"/>
              </w:rPr>
              <w:t>(6)</w:t>
            </w:r>
          </w:p>
        </w:tc>
        <w:tc>
          <w:tcPr>
            <w:tcW w:w="1580" w:type="dxa"/>
            <w:vAlign w:val="bottom"/>
          </w:tcPr>
          <w:p>
            <w:pPr>
              <w:jc w:val="center"/>
              <w:ind w:left="613"/>
              <w:spacing w:after="0" w:line="138" w:lineRule="exact"/>
              <w:rPr>
                <w:sz w:val="20"/>
                <w:szCs w:val="20"/>
                <w:color w:val="auto"/>
              </w:rPr>
            </w:pPr>
            <w:r>
              <w:rPr>
                <w:rFonts w:ascii="Arial" w:cs="Arial" w:eastAsia="Arial" w:hAnsi="Arial"/>
                <w:sz w:val="13"/>
                <w:szCs w:val="13"/>
                <w:color w:val="auto"/>
                <w:w w:val="95"/>
              </w:rPr>
              <w:t>07/15/2016</w:t>
            </w:r>
          </w:p>
        </w:tc>
        <w:tc>
          <w:tcPr>
            <w:tcW w:w="1380" w:type="dxa"/>
            <w:vAlign w:val="bottom"/>
          </w:tcPr>
          <w:p>
            <w:pPr>
              <w:jc w:val="center"/>
              <w:spacing w:after="0" w:line="138" w:lineRule="exact"/>
              <w:rPr>
                <w:sz w:val="20"/>
                <w:szCs w:val="20"/>
                <w:color w:val="auto"/>
              </w:rPr>
            </w:pPr>
            <w:r>
              <w:rPr>
                <w:rFonts w:ascii="Arial" w:cs="Arial" w:eastAsia="Arial" w:hAnsi="Arial"/>
                <w:sz w:val="13"/>
                <w:szCs w:val="13"/>
                <w:color w:val="auto"/>
                <w:w w:val="95"/>
              </w:rPr>
              <w:t>Hotel, Gaming and</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11.38%</w:t>
            </w:r>
          </w:p>
        </w:tc>
        <w:tc>
          <w:tcPr>
            <w:tcW w:w="260" w:type="dxa"/>
            <w:vAlign w:val="bottom"/>
          </w:tcPr>
          <w:p>
            <w:pPr>
              <w:spacing w:after="0"/>
              <w:rPr>
                <w:sz w:val="11"/>
                <w:szCs w:val="11"/>
                <w:color w:val="auto"/>
              </w:rPr>
            </w:pP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8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4,000,000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4,339,793</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4,120,000</w:t>
            </w: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Leisure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1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109,273,671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106,412,539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7"/>
              </w:rPr>
              <w:t>Basis Point</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60" w:type="dxa"/>
            <w:vAlign w:val="bottom"/>
            <w:vMerge w:val="restart"/>
          </w:tcPr>
          <w:p>
            <w:pPr>
              <w:jc w:val="center"/>
              <w:ind w:left="273"/>
              <w:spacing w:after="0"/>
              <w:rPr>
                <w:sz w:val="20"/>
                <w:szCs w:val="20"/>
                <w:color w:val="auto"/>
              </w:rPr>
            </w:pPr>
            <w:r>
              <w:rPr>
                <w:rFonts w:ascii="Arial" w:cs="Arial" w:eastAsia="Arial" w:hAnsi="Arial"/>
                <w:sz w:val="13"/>
                <w:szCs w:val="13"/>
                <w:b w:val="1"/>
                <w:bCs w:val="1"/>
                <w:color w:val="auto"/>
              </w:rPr>
              <w:t>Maturity</w:t>
            </w: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7"/>
              </w:rPr>
              <w:t>Industry</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Current</w:t>
            </w:r>
          </w:p>
        </w:tc>
        <w:tc>
          <w:tcPr>
            <w:tcW w:w="2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Above</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Par/</w:t>
            </w:r>
          </w:p>
        </w:tc>
        <w:tc>
          <w:tcPr>
            <w:tcW w:w="60" w:type="dxa"/>
            <w:vAlign w:val="bottom"/>
          </w:tcPr>
          <w:p>
            <w:pPr>
              <w:spacing w:after="0"/>
              <w:rPr>
                <w:sz w:val="14"/>
                <w:szCs w:val="14"/>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8"/>
        </w:trPr>
        <w:tc>
          <w:tcPr>
            <w:tcW w:w="46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Coupon</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Second Lien Secured Debt—13.3%</w:t>
            </w:r>
          </w:p>
        </w:tc>
        <w:tc>
          <w:tcPr>
            <w:tcW w:w="10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1060" w:type="dxa"/>
            <w:vAlign w:val="bottom"/>
          </w:tcPr>
          <w:p>
            <w:pPr>
              <w:jc w:val="center"/>
              <w:ind w:left="273"/>
              <w:spacing w:after="0"/>
              <w:rPr>
                <w:sz w:val="20"/>
                <w:szCs w:val="20"/>
                <w:color w:val="auto"/>
              </w:rPr>
            </w:pPr>
            <w:r>
              <w:rPr>
                <w:rFonts w:ascii="Arial" w:cs="Arial" w:eastAsia="Arial" w:hAnsi="Arial"/>
                <w:sz w:val="13"/>
                <w:szCs w:val="13"/>
                <w:color w:val="auto"/>
                <w:w w:val="92"/>
              </w:rPr>
              <w:t>01/29/2018</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Automotive</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10.50%</w:t>
            </w:r>
          </w:p>
        </w:tc>
        <w:tc>
          <w:tcPr>
            <w:tcW w:w="28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L+900</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995,030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965,000</w:t>
            </w: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Ernest Health, Inc.</w:t>
            </w:r>
          </w:p>
        </w:tc>
        <w:tc>
          <w:tcPr>
            <w:tcW w:w="1060" w:type="dxa"/>
            <w:vAlign w:val="bottom"/>
            <w:shd w:val="clear" w:color="auto" w:fill="CCEEFF"/>
          </w:tcPr>
          <w:p>
            <w:pPr>
              <w:jc w:val="center"/>
              <w:ind w:left="273"/>
              <w:spacing w:after="0" w:line="138" w:lineRule="exact"/>
              <w:rPr>
                <w:sz w:val="20"/>
                <w:szCs w:val="20"/>
                <w:color w:val="auto"/>
              </w:rPr>
            </w:pPr>
            <w:r>
              <w:rPr>
                <w:rFonts w:ascii="Arial" w:cs="Arial" w:eastAsia="Arial" w:hAnsi="Arial"/>
                <w:sz w:val="13"/>
                <w:szCs w:val="13"/>
                <w:color w:val="auto"/>
                <w:w w:val="92"/>
              </w:rPr>
              <w:t>05/13/2017</w:t>
            </w:r>
          </w:p>
        </w:tc>
        <w:tc>
          <w:tcPr>
            <w:tcW w:w="11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0"/>
              </w:rPr>
              <w:t>Healthcare and</w:t>
            </w:r>
          </w:p>
        </w:tc>
        <w:tc>
          <w:tcPr>
            <w:tcW w:w="7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10.25%</w:t>
            </w:r>
          </w:p>
        </w:tc>
        <w:tc>
          <w:tcPr>
            <w:tcW w:w="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L+850</w:t>
            </w: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4,000,000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3,943,517</w:t>
            </w: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3,940,000</w:t>
            </w: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Pharmaceuticals</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w:t>
            </w:r>
          </w:p>
        </w:tc>
        <w:tc>
          <w:tcPr>
            <w:tcW w:w="1060" w:type="dxa"/>
            <w:vAlign w:val="bottom"/>
          </w:tcPr>
          <w:p>
            <w:pPr>
              <w:jc w:val="center"/>
              <w:ind w:left="273"/>
              <w:spacing w:after="0" w:line="138" w:lineRule="exact"/>
              <w:rPr>
                <w:sz w:val="20"/>
                <w:szCs w:val="20"/>
                <w:color w:val="auto"/>
              </w:rPr>
            </w:pPr>
            <w:r>
              <w:rPr>
                <w:rFonts w:ascii="Arial" w:cs="Arial" w:eastAsia="Arial" w:hAnsi="Arial"/>
                <w:sz w:val="13"/>
                <w:szCs w:val="13"/>
                <w:color w:val="auto"/>
                <w:w w:val="92"/>
              </w:rPr>
              <w:t>11/06/2018</w:t>
            </w:r>
          </w:p>
        </w:tc>
        <w:tc>
          <w:tcPr>
            <w:tcW w:w="112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7"/>
              </w:rPr>
              <w:t>Media:</w:t>
            </w:r>
          </w:p>
        </w:tc>
        <w:tc>
          <w:tcPr>
            <w:tcW w:w="7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10.25%</w:t>
            </w:r>
          </w:p>
        </w:tc>
        <w:tc>
          <w:tcPr>
            <w:tcW w:w="280" w:type="dxa"/>
            <w:vAlign w:val="bottom"/>
          </w:tcPr>
          <w:p>
            <w:pPr>
              <w:spacing w:after="0"/>
              <w:rPr>
                <w:sz w:val="11"/>
                <w:szCs w:val="11"/>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L+875</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1,500,000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1,485,000</w:t>
            </w:r>
          </w:p>
        </w:tc>
        <w:tc>
          <w:tcPr>
            <w:tcW w:w="22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1,383,750</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7"/>
              </w:rPr>
              <w:t>Diversified and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Production</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1060" w:type="dxa"/>
            <w:vAlign w:val="bottom"/>
            <w:shd w:val="clear" w:color="auto" w:fill="CCEEFF"/>
          </w:tcPr>
          <w:p>
            <w:pPr>
              <w:jc w:val="center"/>
              <w:ind w:left="273"/>
              <w:spacing w:after="0" w:line="138" w:lineRule="exact"/>
              <w:rPr>
                <w:sz w:val="20"/>
                <w:szCs w:val="20"/>
                <w:color w:val="auto"/>
              </w:rPr>
            </w:pPr>
            <w:r>
              <w:rPr>
                <w:rFonts w:ascii="Arial" w:cs="Arial" w:eastAsia="Arial" w:hAnsi="Arial"/>
                <w:sz w:val="13"/>
                <w:szCs w:val="13"/>
                <w:color w:val="auto"/>
                <w:w w:val="92"/>
              </w:rPr>
              <w:t>09/01/2018</w:t>
            </w:r>
          </w:p>
        </w:tc>
        <w:tc>
          <w:tcPr>
            <w:tcW w:w="11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6"/>
              </w:rPr>
              <w:t>Hotel, Gaming</w:t>
            </w:r>
          </w:p>
        </w:tc>
        <w:tc>
          <w:tcPr>
            <w:tcW w:w="7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12.13%</w:t>
            </w:r>
          </w:p>
        </w:tc>
        <w:tc>
          <w:tcPr>
            <w:tcW w:w="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2,000,000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1,966,872</w:t>
            </w: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2,105,000</w:t>
            </w: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and Leisure</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Arial" w:cs="Arial" w:eastAsia="Arial" w:hAnsi="Arial"/>
                <w:sz w:val="11"/>
                <w:szCs w:val="11"/>
                <w:color w:val="auto"/>
              </w:rPr>
              <w:t xml:space="preserve">Sensus USA Inc. </w:t>
            </w:r>
            <w:r>
              <w:rPr>
                <w:rFonts w:ascii="Arial" w:cs="Arial" w:eastAsia="Arial" w:hAnsi="Arial"/>
                <w:sz w:val="17"/>
                <w:szCs w:val="17"/>
                <w:color w:val="auto"/>
                <w:vertAlign w:val="superscript"/>
              </w:rPr>
              <w:t>(11)</w:t>
            </w:r>
          </w:p>
        </w:tc>
        <w:tc>
          <w:tcPr>
            <w:tcW w:w="1060" w:type="dxa"/>
            <w:vAlign w:val="bottom"/>
          </w:tcPr>
          <w:p>
            <w:pPr>
              <w:jc w:val="center"/>
              <w:ind w:left="273"/>
              <w:spacing w:after="0"/>
              <w:rPr>
                <w:sz w:val="20"/>
                <w:szCs w:val="20"/>
                <w:color w:val="auto"/>
              </w:rPr>
            </w:pPr>
            <w:r>
              <w:rPr>
                <w:rFonts w:ascii="Arial" w:cs="Arial" w:eastAsia="Arial" w:hAnsi="Arial"/>
                <w:sz w:val="13"/>
                <w:szCs w:val="13"/>
                <w:color w:val="auto"/>
                <w:w w:val="92"/>
              </w:rPr>
              <w:t>05/09/2018</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rPr>
              <w:t>Utilities: Water</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8.50%</w:t>
            </w:r>
          </w:p>
        </w:tc>
        <w:tc>
          <w:tcPr>
            <w:tcW w:w="28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L+725</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991,036</w:t>
            </w:r>
          </w:p>
        </w:tc>
        <w:tc>
          <w:tcPr>
            <w:tcW w:w="2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978,333</w:t>
            </w: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Seven Seas Cruises </w:t>
            </w:r>
            <w:r>
              <w:rPr>
                <w:rFonts w:ascii="Arial" w:cs="Arial" w:eastAsia="Arial" w:hAnsi="Arial"/>
                <w:sz w:val="15"/>
                <w:szCs w:val="15"/>
                <w:color w:val="auto"/>
                <w:vertAlign w:val="superscript"/>
              </w:rPr>
              <w:t>(6), (7)</w:t>
            </w:r>
          </w:p>
        </w:tc>
        <w:tc>
          <w:tcPr>
            <w:tcW w:w="1060" w:type="dxa"/>
            <w:vAlign w:val="bottom"/>
            <w:shd w:val="clear" w:color="auto" w:fill="CCEEFF"/>
          </w:tcPr>
          <w:p>
            <w:pPr>
              <w:jc w:val="center"/>
              <w:ind w:left="273"/>
              <w:spacing w:after="0" w:line="138" w:lineRule="exact"/>
              <w:rPr>
                <w:sz w:val="20"/>
                <w:szCs w:val="20"/>
                <w:color w:val="auto"/>
              </w:rPr>
            </w:pPr>
            <w:r>
              <w:rPr>
                <w:rFonts w:ascii="Arial" w:cs="Arial" w:eastAsia="Arial" w:hAnsi="Arial"/>
                <w:sz w:val="13"/>
                <w:szCs w:val="13"/>
                <w:color w:val="auto"/>
                <w:w w:val="92"/>
              </w:rPr>
              <w:t>05/15/2019</w:t>
            </w:r>
          </w:p>
        </w:tc>
        <w:tc>
          <w:tcPr>
            <w:tcW w:w="11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6"/>
              </w:rPr>
              <w:t>Hotel, Gaming</w:t>
            </w:r>
          </w:p>
        </w:tc>
        <w:tc>
          <w:tcPr>
            <w:tcW w:w="7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9.13%</w:t>
            </w:r>
          </w:p>
        </w:tc>
        <w:tc>
          <w:tcPr>
            <w:tcW w:w="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3,000,000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w:t>
            </w: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3,067,500</w:t>
            </w: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and Leisure</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20"/>
                <w:szCs w:val="20"/>
                <w:color w:val="auto"/>
              </w:rPr>
            </w:pPr>
            <w:r>
              <w:rPr>
                <w:rFonts w:ascii="Arial" w:cs="Arial" w:eastAsia="Arial" w:hAnsi="Arial"/>
                <w:sz w:val="13"/>
                <w:szCs w:val="13"/>
                <w:b w:val="1"/>
                <w:bCs w:val="1"/>
                <w:color w:val="auto"/>
              </w:rPr>
              <w:t>Total Second Lien Secured Debt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12,381,455</w:t>
            </w:r>
          </w:p>
        </w:tc>
        <w:tc>
          <w:tcPr>
            <w:tcW w:w="2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12,439,583</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Notes—11.0%</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1060" w:type="dxa"/>
            <w:vAlign w:val="bottom"/>
          </w:tcPr>
          <w:p>
            <w:pPr>
              <w:jc w:val="center"/>
              <w:ind w:left="273"/>
              <w:spacing w:after="0" w:line="138" w:lineRule="exact"/>
              <w:rPr>
                <w:sz w:val="20"/>
                <w:szCs w:val="20"/>
                <w:color w:val="auto"/>
              </w:rPr>
            </w:pPr>
            <w:r>
              <w:rPr>
                <w:rFonts w:ascii="Arial" w:cs="Arial" w:eastAsia="Arial" w:hAnsi="Arial"/>
                <w:sz w:val="13"/>
                <w:szCs w:val="13"/>
                <w:color w:val="auto"/>
                <w:w w:val="92"/>
              </w:rPr>
              <w:t>11/15/2015</w:t>
            </w:r>
          </w:p>
        </w:tc>
        <w:tc>
          <w:tcPr>
            <w:tcW w:w="112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2"/>
              </w:rPr>
              <w:t>Consumer Goods:</w:t>
            </w:r>
          </w:p>
        </w:tc>
        <w:tc>
          <w:tcPr>
            <w:tcW w:w="7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11.63%</w:t>
            </w:r>
          </w:p>
        </w:tc>
        <w:tc>
          <w:tcPr>
            <w:tcW w:w="280" w:type="dxa"/>
            <w:vAlign w:val="bottom"/>
          </w:tcPr>
          <w:p>
            <w:pPr>
              <w:spacing w:after="0"/>
              <w:rPr>
                <w:sz w:val="11"/>
                <w:szCs w:val="11"/>
                <w:color w:val="auto"/>
              </w:rPr>
            </w:pP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4,100,000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3,738,475</w:t>
            </w:r>
          </w:p>
        </w:tc>
        <w:tc>
          <w:tcPr>
            <w:tcW w:w="22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3,403,000</w:t>
            </w: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7"/>
              </w:rPr>
              <w:t>Non-Durable</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106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2"/>
              </w:rPr>
              <w:t>12/01/2018</w:t>
            </w: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0"/>
              </w:rPr>
              <w:t>Business Services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13.00%</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22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980,000</w:t>
            </w: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1060" w:type="dxa"/>
            <w:vAlign w:val="bottom"/>
          </w:tcPr>
          <w:p>
            <w:pPr>
              <w:jc w:val="center"/>
              <w:ind w:left="273"/>
              <w:spacing w:after="0" w:line="138" w:lineRule="exact"/>
              <w:rPr>
                <w:sz w:val="20"/>
                <w:szCs w:val="20"/>
                <w:color w:val="auto"/>
              </w:rPr>
            </w:pPr>
            <w:r>
              <w:rPr>
                <w:rFonts w:ascii="Arial" w:cs="Arial" w:eastAsia="Arial" w:hAnsi="Arial"/>
                <w:sz w:val="13"/>
                <w:szCs w:val="13"/>
                <w:color w:val="auto"/>
                <w:w w:val="92"/>
              </w:rPr>
              <w:t>07/31/2018</w:t>
            </w:r>
          </w:p>
        </w:tc>
        <w:tc>
          <w:tcPr>
            <w:tcW w:w="112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0"/>
              </w:rPr>
              <w:t>Beverage, Food</w:t>
            </w:r>
          </w:p>
        </w:tc>
        <w:tc>
          <w:tcPr>
            <w:tcW w:w="7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14.00%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(8)</w:t>
            </w: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3,781,731</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3,709,152</w:t>
            </w:r>
          </w:p>
        </w:tc>
        <w:tc>
          <w:tcPr>
            <w:tcW w:w="22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3,781,731</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0"/>
              </w:rPr>
              <w:t>and Tobacco</w:t>
            </w: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(PIK 2.00%)</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(9)</w:t>
            </w:r>
          </w:p>
        </w:tc>
        <w:tc>
          <w:tcPr>
            <w:tcW w:w="1060" w:type="dxa"/>
            <w:vAlign w:val="bottom"/>
            <w:shd w:val="clear" w:color="auto" w:fill="CCEEFF"/>
          </w:tcPr>
          <w:p>
            <w:pPr>
              <w:jc w:val="center"/>
              <w:ind w:left="273"/>
              <w:spacing w:after="0" w:line="138" w:lineRule="exact"/>
              <w:rPr>
                <w:sz w:val="20"/>
                <w:szCs w:val="20"/>
                <w:color w:val="auto"/>
              </w:rPr>
            </w:pPr>
            <w:r>
              <w:rPr>
                <w:rFonts w:ascii="Arial" w:cs="Arial" w:eastAsia="Arial" w:hAnsi="Arial"/>
                <w:sz w:val="13"/>
                <w:szCs w:val="13"/>
                <w:color w:val="auto"/>
                <w:w w:val="92"/>
              </w:rPr>
              <w:t>07/31/2018</w:t>
            </w:r>
          </w:p>
        </w:tc>
        <w:tc>
          <w:tcPr>
            <w:tcW w:w="11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0"/>
              </w:rPr>
              <w:t>Beverage, Food</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2,206,000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2,161,880</w:t>
            </w: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2,206,000</w:t>
            </w: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0"/>
              </w:rPr>
              <w:t>and Tobacco</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10,609,507</w:t>
            </w:r>
          </w:p>
        </w:tc>
        <w:tc>
          <w:tcPr>
            <w:tcW w:w="2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10,370,731</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7"/>
                <w:szCs w:val="17"/>
                <w:b w:val="1"/>
                <w:bCs w:val="1"/>
                <w:color w:val="auto"/>
                <w:vertAlign w:val="superscript"/>
              </w:rPr>
              <w:t>(10)</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3"/>
                <w:szCs w:val="13"/>
                <w:color w:val="auto"/>
              </w:rPr>
              <w:t>Trusthouse Services Holdings, LLC (Trusthouse Services Group, Inc.)</w:t>
            </w:r>
          </w:p>
        </w:tc>
        <w:tc>
          <w:tcPr>
            <w:tcW w:w="1060" w:type="dxa"/>
            <w:vAlign w:val="bottom"/>
          </w:tcPr>
          <w:p>
            <w:pPr>
              <w:ind w:left="600"/>
              <w:spacing w:after="0" w:line="138"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0"/>
              </w:rPr>
              <w:t>Beverage, Food</w:t>
            </w:r>
          </w:p>
        </w:tc>
        <w:tc>
          <w:tcPr>
            <w:tcW w:w="7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12.50%</w:t>
            </w:r>
          </w:p>
        </w:tc>
        <w:tc>
          <w:tcPr>
            <w:tcW w:w="280" w:type="dxa"/>
            <w:vAlign w:val="bottom"/>
          </w:tcPr>
          <w:p>
            <w:pPr>
              <w:spacing w:after="0"/>
              <w:rPr>
                <w:sz w:val="11"/>
                <w:szCs w:val="11"/>
                <w:color w:val="auto"/>
              </w:rPr>
            </w:pPr>
          </w:p>
        </w:tc>
        <w:tc>
          <w:tcPr>
            <w:tcW w:w="9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158</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95,000</w:t>
            </w:r>
          </w:p>
        </w:tc>
        <w:tc>
          <w:tcPr>
            <w:tcW w:w="22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100,247</w:t>
            </w:r>
          </w:p>
        </w:tc>
        <w:tc>
          <w:tcPr>
            <w:tcW w:w="0" w:type="dxa"/>
            <w:vAlign w:val="bottom"/>
          </w:tcPr>
          <w:p>
            <w:pPr>
              <w:spacing w:after="0"/>
              <w:rPr>
                <w:sz w:val="1"/>
                <w:szCs w:val="1"/>
                <w:color w:val="auto"/>
              </w:rPr>
            </w:pPr>
          </w:p>
        </w:tc>
      </w:tr>
      <w:tr>
        <w:trPr>
          <w:trHeight w:val="166"/>
        </w:trPr>
        <w:tc>
          <w:tcPr>
            <w:tcW w:w="4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3"/>
                <w:szCs w:val="13"/>
                <w:color w:val="auto"/>
                <w:w w:val="90"/>
              </w:rPr>
              <w:t>and Tobacco</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w:t>
            </w:r>
          </w:p>
        </w:tc>
        <w:tc>
          <w:tcPr>
            <w:tcW w:w="22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100,247</w:t>
            </w:r>
          </w:p>
        </w:tc>
        <w:tc>
          <w:tcPr>
            <w:tcW w:w="0" w:type="dxa"/>
            <w:vAlign w:val="bottom"/>
          </w:tcPr>
          <w:p>
            <w:pPr>
              <w:spacing w:after="0"/>
              <w:rPr>
                <w:sz w:val="1"/>
                <w:szCs w:val="1"/>
                <w:color w:val="auto"/>
              </w:rPr>
            </w:pPr>
          </w:p>
        </w:tc>
      </w:tr>
      <w:tr>
        <w:trPr>
          <w:trHeight w:val="155"/>
        </w:trPr>
        <w:tc>
          <w:tcPr>
            <w:tcW w:w="464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8"/>
                <w:szCs w:val="18"/>
                <w:color w:val="auto"/>
                <w:vertAlign w:val="superscript"/>
              </w:rPr>
              <w:t>(10)</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 (Trusthouse Services Group, Inc.)</w:t>
            </w:r>
          </w:p>
        </w:tc>
        <w:tc>
          <w:tcPr>
            <w:tcW w:w="1060" w:type="dxa"/>
            <w:vAlign w:val="bottom"/>
            <w:shd w:val="clear" w:color="auto" w:fill="CCEEFF"/>
          </w:tcPr>
          <w:p>
            <w:pPr>
              <w:ind w:left="600"/>
              <w:spacing w:after="0" w:line="13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0"/>
              </w:rPr>
              <w:t>Beverage, Food</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w:t>
            </w: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5,244</w:t>
            </w: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0"/>
              </w:rPr>
              <w:t>and Tobacco</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20"/>
                <w:szCs w:val="20"/>
                <w:color w:val="auto"/>
              </w:rPr>
            </w:pPr>
            <w:r>
              <w:rPr>
                <w:rFonts w:ascii="Arial" w:cs="Arial" w:eastAsia="Arial" w:hAnsi="Arial"/>
                <w:sz w:val="13"/>
                <w:szCs w:val="13"/>
                <w:b w:val="1"/>
                <w:bCs w:val="1"/>
                <w:color w:val="auto"/>
              </w:rPr>
              <w:t>Total Common Equity</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132,364,633</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129,328,344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20"/>
                <w:szCs w:val="20"/>
                <w:color w:val="auto"/>
              </w:rPr>
            </w:pPr>
            <w:r>
              <w:rPr>
                <w:rFonts w:ascii="Arial" w:cs="Arial" w:eastAsia="Arial" w:hAnsi="Arial"/>
                <w:sz w:val="13"/>
                <w:szCs w:val="13"/>
                <w:b w:val="1"/>
                <w:bCs w:val="1"/>
                <w:color w:val="auto"/>
              </w:rPr>
              <w:t>Cash Equivalents—5.0%</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4,661,292</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4,661,292</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4,661,292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Equivalents—142.9%</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137,025,925</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133,989,636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Assets—(42.9%)</w:t>
            </w: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(40,251,006)</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93,738,630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24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Prime or “P”, and basis point spread is subject to a LIBOR or Prime rate floor where a spread is provided.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ind w:left="340" w:right="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right="10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payable in cash and/or through payment-in-kind, or PIK. The PIK percentage represents the payment in PIK at the date of the report and is subject to change.</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pledged as collateral under PennantPark Floating Rate Funding I, LLC’s credit facility, or the Credit Facility.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80" w:type="dxa"/>
            <w:vAlign w:val="bottom"/>
            <w:vMerge w:val="restart"/>
          </w:tcPr>
          <w:p>
            <w:pPr>
              <w:jc w:val="center"/>
              <w:ind w:left="773"/>
              <w:spacing w:after="0"/>
              <w:rPr>
                <w:sz w:val="20"/>
                <w:szCs w:val="20"/>
                <w:color w:val="auto"/>
              </w:rPr>
            </w:pPr>
            <w:r>
              <w:rPr>
                <w:rFonts w:ascii="Arial" w:cs="Arial" w:eastAsia="Arial" w:hAnsi="Arial"/>
                <w:sz w:val="13"/>
                <w:szCs w:val="13"/>
                <w:b w:val="1"/>
                <w:bCs w:val="1"/>
                <w:color w:val="auto"/>
              </w:rPr>
              <w:t>Maturity</w:t>
            </w: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720" w:type="dxa"/>
            <w:vAlign w:val="bottom"/>
          </w:tcPr>
          <w:p>
            <w:pPr>
              <w:jc w:val="right"/>
              <w:ind w:right="73"/>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Par/</w:t>
            </w:r>
          </w:p>
        </w:tc>
        <w:tc>
          <w:tcPr>
            <w:tcW w:w="60" w:type="dxa"/>
            <w:vAlign w:val="bottom"/>
          </w:tcPr>
          <w:p>
            <w:pPr>
              <w:spacing w:after="0"/>
              <w:rPr>
                <w:sz w:val="14"/>
                <w:szCs w:val="14"/>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4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b w:val="1"/>
                <w:bCs w:val="1"/>
                <w:color w:val="auto"/>
              </w:rPr>
              <w:t>Coupon</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21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460" w:type="dxa"/>
            <w:vAlign w:val="bottom"/>
            <w:tcBorders>
              <w:top w:val="single" w:sz="8" w:color="auto"/>
            </w:tcBorders>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Companies—120.2% </w:t>
            </w:r>
            <w:r>
              <w:rPr>
                <w:rFonts w:ascii="Arial" w:cs="Arial" w:eastAsia="Arial" w:hAnsi="Arial"/>
                <w:sz w:val="17"/>
                <w:szCs w:val="17"/>
                <w:b w:val="1"/>
                <w:bCs w:val="1"/>
                <w:color w:val="auto"/>
                <w:vertAlign w:val="superscript"/>
              </w:rPr>
              <w:t>(3),(4)</w:t>
            </w:r>
          </w:p>
        </w:tc>
        <w:tc>
          <w:tcPr>
            <w:tcW w:w="1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b w:val="1"/>
                <w:bCs w:val="1"/>
                <w:color w:val="auto"/>
              </w:rPr>
              <w:t>First Lien Secured Debt—102.4%</w:t>
            </w:r>
          </w:p>
        </w:tc>
        <w:tc>
          <w:tcPr>
            <w:tcW w:w="1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Airvana Network Solutions Inc. </w:t>
            </w:r>
            <w:r>
              <w:rPr>
                <w:rFonts w:ascii="Arial" w:cs="Arial" w:eastAsia="Arial" w:hAnsi="Arial"/>
                <w:sz w:val="17"/>
                <w:szCs w:val="17"/>
                <w:color w:val="auto"/>
                <w:vertAlign w:val="superscript"/>
              </w:rPr>
              <w:t>(11)</w:t>
            </w:r>
          </w:p>
        </w:tc>
        <w:tc>
          <w:tcPr>
            <w:tcW w:w="1680" w:type="dxa"/>
            <w:vAlign w:val="bottom"/>
            <w:shd w:val="clear" w:color="auto" w:fill="CCEEFF"/>
          </w:tcPr>
          <w:p>
            <w:pPr>
              <w:jc w:val="center"/>
              <w:ind w:left="773"/>
              <w:spacing w:after="0"/>
              <w:rPr>
                <w:sz w:val="20"/>
                <w:szCs w:val="20"/>
                <w:color w:val="auto"/>
              </w:rPr>
            </w:pPr>
            <w:r>
              <w:rPr>
                <w:rFonts w:ascii="Arial" w:cs="Arial" w:eastAsia="Arial" w:hAnsi="Arial"/>
                <w:sz w:val="13"/>
                <w:szCs w:val="13"/>
                <w:color w:val="auto"/>
                <w:w w:val="92"/>
              </w:rPr>
              <w:t>03/25/2015</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L+800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1,209,524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1,213,365</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Artel, LLC </w:t>
            </w:r>
            <w:r>
              <w:rPr>
                <w:rFonts w:ascii="Arial" w:cs="Arial" w:eastAsia="Arial" w:hAnsi="Arial"/>
                <w:sz w:val="17"/>
                <w:szCs w:val="17"/>
                <w:color w:val="auto"/>
                <w:vertAlign w:val="superscript"/>
              </w:rPr>
              <w:t>(11)</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06/01/2016</w:t>
            </w: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72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987,500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978,043</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1680" w:type="dxa"/>
            <w:vAlign w:val="bottom"/>
            <w:shd w:val="clear" w:color="auto" w:fill="CCEEFF"/>
          </w:tcPr>
          <w:p>
            <w:pPr>
              <w:jc w:val="center"/>
              <w:ind w:left="773"/>
              <w:spacing w:after="0"/>
              <w:rPr>
                <w:sz w:val="20"/>
                <w:szCs w:val="20"/>
                <w:color w:val="auto"/>
              </w:rPr>
            </w:pPr>
            <w:r>
              <w:rPr>
                <w:rFonts w:ascii="Arial" w:cs="Arial" w:eastAsia="Arial" w:hAnsi="Arial"/>
                <w:sz w:val="13"/>
                <w:szCs w:val="13"/>
                <w:color w:val="auto"/>
                <w:w w:val="92"/>
              </w:rPr>
              <w:t>07/29/2017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995,085</w:t>
            </w: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1680" w:type="dxa"/>
            <w:vAlign w:val="bottom"/>
          </w:tcPr>
          <w:p>
            <w:pPr>
              <w:jc w:val="center"/>
              <w:ind w:left="773"/>
              <w:spacing w:after="0" w:line="138" w:lineRule="exact"/>
              <w:rPr>
                <w:sz w:val="20"/>
                <w:szCs w:val="20"/>
                <w:color w:val="auto"/>
              </w:rPr>
            </w:pPr>
            <w:r>
              <w:rPr>
                <w:rFonts w:ascii="Arial" w:cs="Arial" w:eastAsia="Arial" w:hAnsi="Arial"/>
                <w:sz w:val="13"/>
                <w:szCs w:val="13"/>
                <w:color w:val="auto"/>
                <w:w w:val="92"/>
              </w:rPr>
              <w:t>07/31/2016</w:t>
            </w: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94"/>
              </w:rPr>
              <w:t>Hotel, Gaming and</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12.38%</w:t>
            </w:r>
          </w:p>
        </w:tc>
        <w:tc>
          <w:tcPr>
            <w:tcW w:w="260" w:type="dxa"/>
            <w:vAlign w:val="bottom"/>
          </w:tcPr>
          <w:p>
            <w:pPr>
              <w:spacing w:after="0"/>
              <w:rPr>
                <w:sz w:val="11"/>
                <w:szCs w:val="11"/>
                <w:color w:val="auto"/>
              </w:rPr>
            </w:pP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L+988</w:t>
            </w:r>
          </w:p>
        </w:tc>
        <w:tc>
          <w:tcPr>
            <w:tcW w:w="9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478,873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488,220</w:t>
            </w:r>
          </w:p>
        </w:tc>
        <w:tc>
          <w:tcPr>
            <w:tcW w:w="2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476,878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Leisure</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C.H.I. Overhead Doors, Inc.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08/17/2017</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Goods:</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7.25%</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L+575</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4,000,000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3,921,236</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Durable</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(11)</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07/28/2017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720" w:type="dxa"/>
            <w:vAlign w:val="bottom"/>
          </w:tcPr>
          <w:p>
            <w:pPr>
              <w:jc w:val="right"/>
              <w:spacing w:after="0"/>
              <w:rPr>
                <w:sz w:val="20"/>
                <w:szCs w:val="20"/>
                <w:color w:val="auto"/>
              </w:rPr>
            </w:pPr>
            <w:r>
              <w:rPr>
                <w:rFonts w:ascii="Arial" w:cs="Arial" w:eastAsia="Arial" w:hAnsi="Arial"/>
                <w:sz w:val="13"/>
                <w:szCs w:val="13"/>
                <w:color w:val="auto"/>
              </w:rPr>
              <w:t>6.75%</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P+350</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987,500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982,590</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Ernest Health, Inc.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05/13/2016</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and</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2,966,250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2,939,107</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2,936,587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Pharmaceuticals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Frac Tech International, LLC</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05/06/2016</w:t>
            </w: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72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2,073,930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2,054,330</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Gundle/SLT Environmental, Inc.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05/27/2016</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Environmental</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7.01%</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2,992,500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2,964,467</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2,812,950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Industries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0"/>
                <w:szCs w:val="10"/>
                <w:color w:val="auto"/>
              </w:rPr>
              <w:t xml:space="preserve">Harmony Foods Corporation </w:t>
            </w:r>
            <w:r>
              <w:rPr>
                <w:rFonts w:ascii="Arial" w:cs="Arial" w:eastAsia="Arial" w:hAnsi="Arial"/>
                <w:sz w:val="15"/>
                <w:szCs w:val="15"/>
                <w:color w:val="auto"/>
                <w:vertAlign w:val="superscript"/>
              </w:rPr>
              <w:t>(5), (6)</w:t>
            </w:r>
          </w:p>
        </w:tc>
        <w:tc>
          <w:tcPr>
            <w:tcW w:w="1680" w:type="dxa"/>
            <w:vAlign w:val="bottom"/>
          </w:tcPr>
          <w:p>
            <w:pPr>
              <w:jc w:val="center"/>
              <w:ind w:left="773"/>
              <w:spacing w:after="0" w:line="138" w:lineRule="exact"/>
              <w:rPr>
                <w:sz w:val="20"/>
                <w:szCs w:val="20"/>
                <w:color w:val="auto"/>
              </w:rPr>
            </w:pPr>
            <w:r>
              <w:rPr>
                <w:rFonts w:ascii="Arial" w:cs="Arial" w:eastAsia="Arial" w:hAnsi="Arial"/>
                <w:sz w:val="13"/>
                <w:szCs w:val="13"/>
                <w:color w:val="auto"/>
                <w:w w:val="92"/>
              </w:rPr>
              <w:t>05/01/2016</w:t>
            </w: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91"/>
              </w:rPr>
              <w:t>Beverage, Food and</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10.00%</w:t>
            </w:r>
          </w:p>
        </w:tc>
        <w:tc>
          <w:tcPr>
            <w:tcW w:w="260" w:type="dxa"/>
            <w:vAlign w:val="bottom"/>
          </w:tcPr>
          <w:p>
            <w:pPr>
              <w:spacing w:after="0"/>
              <w:rPr>
                <w:sz w:val="11"/>
                <w:szCs w:val="11"/>
                <w:color w:val="auto"/>
              </w:rPr>
            </w:pPr>
          </w:p>
        </w:tc>
        <w:tc>
          <w:tcPr>
            <w:tcW w:w="94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2,000,000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2,000,000</w:t>
            </w:r>
          </w:p>
        </w:tc>
        <w:tc>
          <w:tcPr>
            <w:tcW w:w="2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1,990,000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Tobacco</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(11)</w:t>
            </w:r>
          </w:p>
        </w:tc>
        <w:tc>
          <w:tcPr>
            <w:tcW w:w="1680" w:type="dxa"/>
            <w:vAlign w:val="bottom"/>
            <w:shd w:val="clear" w:color="auto" w:fill="CCEEFF"/>
          </w:tcPr>
          <w:p>
            <w:pPr>
              <w:jc w:val="center"/>
              <w:ind w:left="773"/>
              <w:spacing w:after="0"/>
              <w:rPr>
                <w:sz w:val="20"/>
                <w:szCs w:val="20"/>
                <w:color w:val="auto"/>
              </w:rPr>
            </w:pPr>
            <w:r>
              <w:rPr>
                <w:rFonts w:ascii="Arial" w:cs="Arial" w:eastAsia="Arial" w:hAnsi="Arial"/>
                <w:sz w:val="13"/>
                <w:szCs w:val="13"/>
                <w:color w:val="auto"/>
                <w:w w:val="92"/>
              </w:rPr>
              <w:t>08/16/2017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2,493,750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2,481,331</w:t>
            </w: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(7)</w:t>
            </w:r>
          </w:p>
        </w:tc>
        <w:tc>
          <w:tcPr>
            <w:tcW w:w="1680" w:type="dxa"/>
            <w:vAlign w:val="bottom"/>
          </w:tcPr>
          <w:p>
            <w:pPr>
              <w:jc w:val="center"/>
              <w:ind w:left="773"/>
              <w:spacing w:after="0" w:line="138" w:lineRule="exact"/>
              <w:rPr>
                <w:sz w:val="20"/>
                <w:szCs w:val="20"/>
                <w:color w:val="auto"/>
              </w:rPr>
            </w:pPr>
            <w:r>
              <w:rPr>
                <w:rFonts w:ascii="Arial" w:cs="Arial" w:eastAsia="Arial" w:hAnsi="Arial"/>
                <w:sz w:val="13"/>
                <w:szCs w:val="13"/>
                <w:color w:val="auto"/>
                <w:w w:val="92"/>
              </w:rPr>
              <w:t>08/07/2014</w:t>
            </w: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99"/>
              </w:rPr>
              <w:t>Media: Advertising,</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3.61%</w:t>
            </w:r>
          </w:p>
        </w:tc>
        <w:tc>
          <w:tcPr>
            <w:tcW w:w="260" w:type="dxa"/>
            <w:vAlign w:val="bottom"/>
          </w:tcPr>
          <w:p>
            <w:pPr>
              <w:spacing w:after="0"/>
              <w:rPr>
                <w:sz w:val="11"/>
                <w:szCs w:val="11"/>
                <w:color w:val="auto"/>
              </w:rPr>
            </w:pP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L+338</w:t>
            </w:r>
          </w:p>
        </w:tc>
        <w:tc>
          <w:tcPr>
            <w:tcW w:w="9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6,981,823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6,523,240</w:t>
            </w:r>
          </w:p>
        </w:tc>
        <w:tc>
          <w:tcPr>
            <w:tcW w:w="2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Printing and</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K2 Pure Solutions NoCal, L.P.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09/10/2015</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Chemicals, Plastics</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P+675</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5,476,250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5,525,637</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5,202,437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and Rubber</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KAR Auction Services, Inc.</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05/19/2017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720" w:type="dxa"/>
            <w:vAlign w:val="bottom"/>
          </w:tcPr>
          <w:p>
            <w:pPr>
              <w:jc w:val="right"/>
              <w:spacing w:after="0"/>
              <w:rPr>
                <w:sz w:val="20"/>
                <w:szCs w:val="20"/>
                <w:color w:val="auto"/>
              </w:rPr>
            </w:pPr>
            <w:r>
              <w:rPr>
                <w:rFonts w:ascii="Arial" w:cs="Arial" w:eastAsia="Arial" w:hAnsi="Arial"/>
                <w:sz w:val="13"/>
                <w:szCs w:val="13"/>
                <w:color w:val="auto"/>
              </w:rPr>
              <w:t>5.00%</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L+375</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2,978,487</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KIK Custom Products Inc. </w:t>
            </w:r>
            <w:r>
              <w:rPr>
                <w:rFonts w:ascii="Arial" w:cs="Arial" w:eastAsia="Arial" w:hAnsi="Arial"/>
                <w:sz w:val="15"/>
                <w:szCs w:val="15"/>
                <w:color w:val="auto"/>
                <w:vertAlign w:val="superscript"/>
              </w:rPr>
              <w:t>(7)</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05/31/2014</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Goods:</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8.50%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L+700</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4,987,500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4,847,186</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4,713,187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Non-Durable</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Medpace Holdings, Inc. </w:t>
            </w:r>
            <w:r>
              <w:rPr>
                <w:rFonts w:ascii="Arial" w:cs="Arial" w:eastAsia="Arial" w:hAnsi="Arial"/>
                <w:sz w:val="17"/>
                <w:szCs w:val="17"/>
                <w:color w:val="auto"/>
                <w:vertAlign w:val="superscript"/>
              </w:rPr>
              <w:t>(11)</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06/17/2017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720" w:type="dxa"/>
            <w:vAlign w:val="bottom"/>
          </w:tcPr>
          <w:p>
            <w:pPr>
              <w:jc w:val="right"/>
              <w:spacing w:after="0"/>
              <w:rPr>
                <w:sz w:val="20"/>
                <w:szCs w:val="20"/>
                <w:color w:val="auto"/>
              </w:rPr>
            </w:pPr>
            <w:r>
              <w:rPr>
                <w:rFonts w:ascii="Arial" w:cs="Arial" w:eastAsia="Arial" w:hAnsi="Arial"/>
                <w:sz w:val="13"/>
                <w:szCs w:val="13"/>
                <w:color w:val="auto"/>
              </w:rPr>
              <w:t>6.50%</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1,995,000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1,966,025</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 (11)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05/06/2018</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Media: Diversified</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3,990,000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3,951,886</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3,670,800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Production</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680" w:type="dxa"/>
            <w:vAlign w:val="bottom"/>
          </w:tcPr>
          <w:p>
            <w:pPr>
              <w:jc w:val="center"/>
              <w:ind w:left="773"/>
              <w:spacing w:after="0" w:line="138" w:lineRule="exact"/>
              <w:rPr>
                <w:sz w:val="20"/>
                <w:szCs w:val="20"/>
                <w:color w:val="auto"/>
              </w:rPr>
            </w:pPr>
            <w:r>
              <w:rPr>
                <w:rFonts w:ascii="Arial" w:cs="Arial" w:eastAsia="Arial" w:hAnsi="Arial"/>
                <w:sz w:val="13"/>
                <w:szCs w:val="13"/>
                <w:color w:val="auto"/>
                <w:w w:val="92"/>
              </w:rPr>
              <w:t>08/01/2014</w:t>
            </w: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98"/>
              </w:rPr>
              <w:t>Media: Diversified</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5.00%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L+400</w:t>
            </w:r>
          </w:p>
        </w:tc>
        <w:tc>
          <w:tcPr>
            <w:tcW w:w="9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5,498,048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4,675,936</w:t>
            </w:r>
          </w:p>
        </w:tc>
        <w:tc>
          <w:tcPr>
            <w:tcW w:w="2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3,802,818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and Production</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Potter’s Holdings II, L.P.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05/08/2017</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Containers,</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6.00%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L+450</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1,995,000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1,976,257</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1,900,237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Packaging and Glass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Pro Mach, Inc. </w:t>
            </w:r>
            <w:r>
              <w:rPr>
                <w:rFonts w:ascii="Arial" w:cs="Arial" w:eastAsia="Arial" w:hAnsi="Arial"/>
                <w:sz w:val="17"/>
                <w:szCs w:val="17"/>
                <w:color w:val="auto"/>
                <w:vertAlign w:val="superscript"/>
              </w:rPr>
              <w:t>(11)</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07/06/2017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72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997,500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987,986</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Inc. </w:t>
            </w:r>
            <w:r>
              <w:rPr>
                <w:rFonts w:ascii="Arial" w:cs="Arial" w:eastAsia="Arial" w:hAnsi="Arial"/>
                <w:sz w:val="17"/>
                <w:szCs w:val="17"/>
                <w:color w:val="auto"/>
                <w:vertAlign w:val="superscript"/>
              </w:rPr>
              <w:t>(11)</w:t>
            </w:r>
          </w:p>
        </w:tc>
        <w:tc>
          <w:tcPr>
            <w:tcW w:w="1680" w:type="dxa"/>
            <w:vAlign w:val="bottom"/>
            <w:shd w:val="clear" w:color="auto" w:fill="CCEEFF"/>
          </w:tcPr>
          <w:p>
            <w:pPr>
              <w:jc w:val="center"/>
              <w:ind w:left="773"/>
              <w:spacing w:after="0"/>
              <w:rPr>
                <w:sz w:val="20"/>
                <w:szCs w:val="20"/>
                <w:color w:val="auto"/>
              </w:rPr>
            </w:pPr>
            <w:r>
              <w:rPr>
                <w:rFonts w:ascii="Arial" w:cs="Arial" w:eastAsia="Arial" w:hAnsi="Arial"/>
                <w:sz w:val="13"/>
                <w:szCs w:val="13"/>
                <w:color w:val="auto"/>
                <w:w w:val="92"/>
              </w:rPr>
              <w:t>05/31/2017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L+400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2,992,500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2,963,597</w:t>
            </w: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3"/>
                <w:szCs w:val="13"/>
                <w:color w:val="auto"/>
              </w:rPr>
              <w:t>Select Medical Corporation</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06/01/2018</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72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L+375</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2,963,943</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Seven Seas Cruises </w:t>
            </w:r>
            <w:r>
              <w:rPr>
                <w:rFonts w:ascii="Arial" w:cs="Arial" w:eastAsia="Arial" w:hAnsi="Arial"/>
                <w:sz w:val="15"/>
                <w:szCs w:val="15"/>
                <w:color w:val="auto"/>
                <w:vertAlign w:val="superscript"/>
              </w:rPr>
              <w:t>(5), (6), (7)</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05/15/2019</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 Gaming and</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9.13%</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3,000,000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3,000,000</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2,970,000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Leisure</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0"/>
                <w:szCs w:val="10"/>
                <w:color w:val="auto"/>
              </w:rPr>
              <w:t xml:space="preserve">Sotera Defense Solutions, Inc. </w:t>
            </w:r>
            <w:r>
              <w:rPr>
                <w:rFonts w:ascii="Arial" w:cs="Arial" w:eastAsia="Arial" w:hAnsi="Arial"/>
                <w:sz w:val="15"/>
                <w:szCs w:val="15"/>
                <w:color w:val="auto"/>
                <w:vertAlign w:val="superscript"/>
              </w:rPr>
              <w:t>(11)</w:t>
            </w:r>
          </w:p>
        </w:tc>
        <w:tc>
          <w:tcPr>
            <w:tcW w:w="1680" w:type="dxa"/>
            <w:vAlign w:val="bottom"/>
          </w:tcPr>
          <w:p>
            <w:pPr>
              <w:jc w:val="center"/>
              <w:ind w:left="773"/>
              <w:spacing w:after="0" w:line="138" w:lineRule="exact"/>
              <w:rPr>
                <w:sz w:val="20"/>
                <w:szCs w:val="20"/>
                <w:color w:val="auto"/>
              </w:rPr>
            </w:pPr>
            <w:r>
              <w:rPr>
                <w:rFonts w:ascii="Arial" w:cs="Arial" w:eastAsia="Arial" w:hAnsi="Arial"/>
                <w:sz w:val="13"/>
                <w:szCs w:val="13"/>
                <w:color w:val="auto"/>
                <w:w w:val="92"/>
              </w:rPr>
              <w:t>04/22/2017</w:t>
            </w: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7.00%</w:t>
            </w:r>
          </w:p>
        </w:tc>
        <w:tc>
          <w:tcPr>
            <w:tcW w:w="260" w:type="dxa"/>
            <w:vAlign w:val="bottom"/>
          </w:tcPr>
          <w:p>
            <w:pPr>
              <w:spacing w:after="0"/>
              <w:rPr>
                <w:sz w:val="11"/>
                <w:szCs w:val="11"/>
                <w:color w:val="auto"/>
              </w:rPr>
            </w:pP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2,992,500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2,964,848</w:t>
            </w:r>
          </w:p>
        </w:tc>
        <w:tc>
          <w:tcPr>
            <w:tcW w:w="2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2,917,688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Defense</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Tank Intermediate Holding Corp.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04/15/2016</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Containers,</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L+375</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1,835,472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1,831,420</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1,807,940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Packaging and Glass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Terex Corporation </w:t>
            </w:r>
            <w:r>
              <w:rPr>
                <w:rFonts w:ascii="Arial" w:cs="Arial" w:eastAsia="Arial" w:hAnsi="Arial"/>
                <w:sz w:val="17"/>
                <w:szCs w:val="17"/>
                <w:color w:val="auto"/>
                <w:vertAlign w:val="superscript"/>
              </w:rPr>
              <w:t>(11)</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04/28/2017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720" w:type="dxa"/>
            <w:vAlign w:val="bottom"/>
          </w:tcPr>
          <w:p>
            <w:pPr>
              <w:jc w:val="right"/>
              <w:spacing w:after="0"/>
              <w:rPr>
                <w:sz w:val="20"/>
                <w:szCs w:val="20"/>
                <w:color w:val="auto"/>
              </w:rPr>
            </w:pPr>
            <w:r>
              <w:rPr>
                <w:rFonts w:ascii="Arial" w:cs="Arial" w:eastAsia="Arial" w:hAnsi="Arial"/>
                <w:sz w:val="13"/>
                <w:szCs w:val="13"/>
                <w:color w:val="auto"/>
              </w:rPr>
              <w:t>5.50%</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L+400</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2,000,000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1,980,598</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Triple Point Technology, Inc.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04/14/2016</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High Tech</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4,968,750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4,923,769</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4,819,688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Industries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Univita Health Inc. </w:t>
            </w:r>
            <w:r>
              <w:rPr>
                <w:rFonts w:ascii="Arial" w:cs="Arial" w:eastAsia="Arial" w:hAnsi="Arial"/>
                <w:sz w:val="17"/>
                <w:szCs w:val="17"/>
                <w:color w:val="auto"/>
                <w:vertAlign w:val="superscript"/>
              </w:rPr>
              <w:t>(11)</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06/19/2017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72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2,964,110</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U.S. Healthworks Holding Company, Inc.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06/15/2016</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and</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6.25%</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2,992,500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2,964,480</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2,887,763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Pharmaceuticals</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0"/>
                <w:szCs w:val="10"/>
                <w:color w:val="auto"/>
              </w:rPr>
              <w:t xml:space="preserve">Valitas Health Services, Inc. </w:t>
            </w:r>
            <w:r>
              <w:rPr>
                <w:rFonts w:ascii="Arial" w:cs="Arial" w:eastAsia="Arial" w:hAnsi="Arial"/>
                <w:sz w:val="15"/>
                <w:szCs w:val="15"/>
                <w:color w:val="auto"/>
                <w:vertAlign w:val="superscript"/>
              </w:rPr>
              <w:t>(11)</w:t>
            </w:r>
          </w:p>
        </w:tc>
        <w:tc>
          <w:tcPr>
            <w:tcW w:w="1680" w:type="dxa"/>
            <w:vAlign w:val="bottom"/>
          </w:tcPr>
          <w:p>
            <w:pPr>
              <w:jc w:val="center"/>
              <w:ind w:left="773"/>
              <w:spacing w:after="0" w:line="138" w:lineRule="exact"/>
              <w:rPr>
                <w:sz w:val="20"/>
                <w:szCs w:val="20"/>
                <w:color w:val="auto"/>
              </w:rPr>
            </w:pPr>
            <w:r>
              <w:rPr>
                <w:rFonts w:ascii="Arial" w:cs="Arial" w:eastAsia="Arial" w:hAnsi="Arial"/>
                <w:sz w:val="13"/>
                <w:szCs w:val="13"/>
                <w:color w:val="auto"/>
                <w:w w:val="92"/>
              </w:rPr>
              <w:t>06/02/2017</w:t>
            </w: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and</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5.75%</w:t>
            </w:r>
          </w:p>
        </w:tc>
        <w:tc>
          <w:tcPr>
            <w:tcW w:w="260" w:type="dxa"/>
            <w:vAlign w:val="bottom"/>
          </w:tcPr>
          <w:p>
            <w:pPr>
              <w:spacing w:after="0"/>
              <w:rPr>
                <w:sz w:val="11"/>
                <w:szCs w:val="11"/>
                <w:color w:val="auto"/>
              </w:rPr>
            </w:pP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L+450</w:t>
            </w:r>
          </w:p>
        </w:tc>
        <w:tc>
          <w:tcPr>
            <w:tcW w:w="9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1,496,250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1,489,223</w:t>
            </w:r>
          </w:p>
        </w:tc>
        <w:tc>
          <w:tcPr>
            <w:tcW w:w="2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1,406,475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1"/>
              </w:rPr>
              <w:t>Pharmaceuticals</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04/19/2016</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9"/>
              </w:rPr>
              <w:t>Media: Advertising,</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7.00%</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4,750,000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4,694,273</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Printing and</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(11)</w:t>
            </w:r>
          </w:p>
        </w:tc>
        <w:tc>
          <w:tcPr>
            <w:tcW w:w="1680" w:type="dxa"/>
            <w:vAlign w:val="bottom"/>
          </w:tcPr>
          <w:p>
            <w:pPr>
              <w:jc w:val="center"/>
              <w:ind w:left="773"/>
              <w:spacing w:after="0"/>
              <w:rPr>
                <w:sz w:val="20"/>
                <w:szCs w:val="20"/>
                <w:color w:val="auto"/>
              </w:rPr>
            </w:pPr>
            <w:r>
              <w:rPr>
                <w:rFonts w:ascii="Arial" w:cs="Arial" w:eastAsia="Arial" w:hAnsi="Arial"/>
                <w:sz w:val="13"/>
                <w:szCs w:val="13"/>
                <w:color w:val="auto"/>
                <w:w w:val="92"/>
              </w:rPr>
              <w:t>12/22/2016</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720" w:type="dxa"/>
            <w:vAlign w:val="bottom"/>
          </w:tcPr>
          <w:p>
            <w:pPr>
              <w:jc w:val="right"/>
              <w:spacing w:after="0"/>
              <w:rPr>
                <w:sz w:val="20"/>
                <w:szCs w:val="20"/>
                <w:color w:val="auto"/>
              </w:rPr>
            </w:pPr>
            <w:r>
              <w:rPr>
                <w:rFonts w:ascii="Arial" w:cs="Arial" w:eastAsia="Arial" w:hAnsi="Arial"/>
                <w:sz w:val="13"/>
                <w:szCs w:val="13"/>
                <w:color w:val="auto"/>
              </w:rPr>
              <w:t>7.75%</w:t>
            </w:r>
          </w:p>
        </w:tc>
        <w:tc>
          <w:tcPr>
            <w:tcW w:w="26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P+450</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2,963,172</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Water Pik, Inc. </w:t>
            </w:r>
            <w:r>
              <w:rPr>
                <w:rFonts w:ascii="Arial" w:cs="Arial" w:eastAsia="Arial" w:hAnsi="Arial"/>
                <w:sz w:val="15"/>
                <w:szCs w:val="15"/>
                <w:color w:val="auto"/>
                <w:vertAlign w:val="superscript"/>
              </w:rPr>
              <w:t>(11)</w:t>
            </w:r>
          </w:p>
        </w:tc>
        <w:tc>
          <w:tcPr>
            <w:tcW w:w="1680" w:type="dxa"/>
            <w:vAlign w:val="bottom"/>
            <w:shd w:val="clear" w:color="auto" w:fill="CCEEFF"/>
          </w:tcPr>
          <w:p>
            <w:pPr>
              <w:jc w:val="center"/>
              <w:ind w:left="773"/>
              <w:spacing w:after="0" w:line="138" w:lineRule="exact"/>
              <w:rPr>
                <w:sz w:val="20"/>
                <w:szCs w:val="20"/>
                <w:color w:val="auto"/>
              </w:rPr>
            </w:pPr>
            <w:r>
              <w:rPr>
                <w:rFonts w:ascii="Arial" w:cs="Arial" w:eastAsia="Arial" w:hAnsi="Arial"/>
                <w:sz w:val="13"/>
                <w:szCs w:val="13"/>
                <w:color w:val="auto"/>
                <w:w w:val="92"/>
              </w:rPr>
              <w:t>08/10/2017</w:t>
            </w:r>
          </w:p>
        </w:tc>
        <w:tc>
          <w:tcPr>
            <w:tcW w:w="13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Goods:</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6.75%</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L+525</w:t>
            </w:r>
          </w:p>
        </w:tc>
        <w:tc>
          <w:tcPr>
            <w:tcW w:w="9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3,500,000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3,465,501</w:t>
            </w: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3,430,000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Durable</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line="138" w:lineRule="exact"/>
              <w:rPr>
                <w:sz w:val="20"/>
                <w:szCs w:val="20"/>
                <w:color w:val="auto"/>
              </w:rPr>
            </w:pPr>
            <w:r>
              <w:rPr>
                <w:rFonts w:ascii="Arial" w:cs="Arial" w:eastAsia="Arial" w:hAnsi="Arial"/>
                <w:sz w:val="10"/>
                <w:szCs w:val="10"/>
                <w:color w:val="auto"/>
              </w:rPr>
              <w:t xml:space="preserve">Yonkers Racing Corporation </w:t>
            </w:r>
            <w:r>
              <w:rPr>
                <w:rFonts w:ascii="Arial" w:cs="Arial" w:eastAsia="Arial" w:hAnsi="Arial"/>
                <w:sz w:val="15"/>
                <w:szCs w:val="15"/>
                <w:color w:val="auto"/>
                <w:vertAlign w:val="superscript"/>
              </w:rPr>
              <w:t>(5), (6)</w:t>
            </w:r>
          </w:p>
        </w:tc>
        <w:tc>
          <w:tcPr>
            <w:tcW w:w="1680" w:type="dxa"/>
            <w:vAlign w:val="bottom"/>
          </w:tcPr>
          <w:p>
            <w:pPr>
              <w:jc w:val="center"/>
              <w:ind w:left="773"/>
              <w:spacing w:after="0" w:line="138" w:lineRule="exact"/>
              <w:rPr>
                <w:sz w:val="20"/>
                <w:szCs w:val="20"/>
                <w:color w:val="auto"/>
              </w:rPr>
            </w:pPr>
            <w:r>
              <w:rPr>
                <w:rFonts w:ascii="Arial" w:cs="Arial" w:eastAsia="Arial" w:hAnsi="Arial"/>
                <w:sz w:val="13"/>
                <w:szCs w:val="13"/>
                <w:color w:val="auto"/>
                <w:w w:val="92"/>
              </w:rPr>
              <w:t>07/15/2016</w:t>
            </w: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94"/>
              </w:rPr>
              <w:t>Hotel, Gaming and</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11.38%</w:t>
            </w:r>
          </w:p>
        </w:tc>
        <w:tc>
          <w:tcPr>
            <w:tcW w:w="260" w:type="dxa"/>
            <w:vAlign w:val="bottom"/>
          </w:tcPr>
          <w:p>
            <w:pPr>
              <w:spacing w:after="0"/>
              <w:rPr>
                <w:sz w:val="11"/>
                <w:szCs w:val="11"/>
                <w:color w:val="auto"/>
              </w:rPr>
            </w:pPr>
          </w:p>
        </w:tc>
        <w:tc>
          <w:tcPr>
            <w:tcW w:w="94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4,000,000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4,355,966</w:t>
            </w:r>
          </w:p>
        </w:tc>
        <w:tc>
          <w:tcPr>
            <w:tcW w:w="20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4,080,000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3"/>
              </w:rPr>
              <w:t>Leisure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16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97,975,314</w:t>
            </w: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vMerge w:val="restart"/>
          </w:tcPr>
          <w:p>
            <w:pPr>
              <w:spacing w:after="0"/>
              <w:rPr>
                <w:sz w:val="20"/>
                <w:szCs w:val="20"/>
                <w:color w:val="auto"/>
              </w:rPr>
            </w:pPr>
            <w:r>
              <w:rPr>
                <w:rFonts w:ascii="Arial" w:cs="Arial" w:eastAsia="Arial" w:hAnsi="Arial"/>
                <w:sz w:val="13"/>
                <w:szCs w:val="13"/>
                <w:b w:val="1"/>
                <w:bCs w:val="1"/>
                <w:color w:val="auto"/>
                <w:w w:val="95"/>
              </w:rPr>
              <w:t>Issuer Name</w:t>
            </w:r>
          </w:p>
        </w:tc>
        <w:tc>
          <w:tcPr>
            <w:tcW w:w="4220" w:type="dxa"/>
            <w:vAlign w:val="bottom"/>
            <w:vMerge w:val="restart"/>
          </w:tcPr>
          <w:p>
            <w:pPr>
              <w:spacing w:after="0"/>
              <w:rPr>
                <w:sz w:val="14"/>
                <w:szCs w:val="14"/>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Maturity</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Current</w:t>
            </w: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Above</w:t>
            </w: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Par/</w:t>
            </w:r>
          </w:p>
        </w:tc>
        <w:tc>
          <w:tcPr>
            <w:tcW w:w="60" w:type="dxa"/>
            <w:vAlign w:val="bottom"/>
          </w:tcPr>
          <w:p>
            <w:pPr>
              <w:spacing w:after="0"/>
              <w:rPr>
                <w:sz w:val="14"/>
                <w:szCs w:val="14"/>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5"/>
        </w:trPr>
        <w:tc>
          <w:tcPr>
            <w:tcW w:w="760" w:type="dxa"/>
            <w:vAlign w:val="bottom"/>
            <w:tcBorders>
              <w:bottom w:val="single" w:sz="8" w:color="auto"/>
            </w:tcBorders>
            <w:vMerge w:val="continue"/>
          </w:tcPr>
          <w:p>
            <w:pPr>
              <w:spacing w:after="0"/>
              <w:rPr>
                <w:sz w:val="13"/>
                <w:szCs w:val="13"/>
                <w:color w:val="auto"/>
              </w:rPr>
            </w:pPr>
          </w:p>
        </w:tc>
        <w:tc>
          <w:tcPr>
            <w:tcW w:w="42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89"/>
              </w:rPr>
              <w:t>Coupon</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Second Lien Secured Debt—10.1%</w:t>
            </w: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01/29/2018</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Automotive</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10.50%</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L+900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995,000</w:t>
            </w:r>
          </w:p>
        </w:tc>
        <w:tc>
          <w:tcPr>
            <w:tcW w:w="8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985,000</w:t>
            </w:r>
          </w:p>
        </w:tc>
        <w:tc>
          <w:tcPr>
            <w:tcW w:w="0" w:type="dxa"/>
            <w:vAlign w:val="bottom"/>
          </w:tcPr>
          <w:p>
            <w:pPr>
              <w:spacing w:after="0"/>
              <w:rPr>
                <w:sz w:val="1"/>
                <w:szCs w:val="1"/>
                <w:color w:val="auto"/>
              </w:rPr>
            </w:pPr>
          </w:p>
        </w:tc>
      </w:tr>
      <w:tr>
        <w:trPr>
          <w:trHeight w:val="138"/>
        </w:trPr>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Ernest Health,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05/13/2017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0"/>
              </w:rPr>
              <w:t>Healthcare and</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10.25%</w:t>
            </w:r>
          </w:p>
        </w:tc>
        <w:tc>
          <w:tcPr>
            <w:tcW w:w="9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L+850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4,000,000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3,942,406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3,940,000</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Pharmaceuticals</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11/06/2018</w:t>
            </w:r>
          </w:p>
        </w:tc>
        <w:tc>
          <w:tcPr>
            <w:tcW w:w="10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7"/>
              </w:rPr>
              <w:t>Media:</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10.25%</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L+875</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1,500,000</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1,485,581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1,380,000</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Diversified and</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Production</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ROC Finance LLC and ROC Finance 1 Corp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09/01/2018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Hotel, Gaming</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12.13%</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2,000,000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1,965,834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and Leisure</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gridSpan w:val="2"/>
          </w:tcPr>
          <w:p>
            <w:pPr>
              <w:spacing w:after="0"/>
              <w:rPr>
                <w:sz w:val="20"/>
                <w:szCs w:val="20"/>
                <w:color w:val="auto"/>
              </w:rPr>
            </w:pPr>
            <w:r>
              <w:rPr>
                <w:rFonts w:ascii="Arial" w:cs="Arial" w:eastAsia="Arial" w:hAnsi="Arial"/>
                <w:sz w:val="13"/>
                <w:szCs w:val="13"/>
                <w:color w:val="auto"/>
              </w:rPr>
              <w:t>Sensus USA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05/09/2018</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Utilities: Water</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L+725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990,624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960,000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9,379,445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9,285,000</w:t>
            </w:r>
          </w:p>
        </w:tc>
        <w:tc>
          <w:tcPr>
            <w:tcW w:w="0" w:type="dxa"/>
            <w:vAlign w:val="bottom"/>
          </w:tcPr>
          <w:p>
            <w:pPr>
              <w:spacing w:after="0"/>
              <w:rPr>
                <w:sz w:val="1"/>
                <w:szCs w:val="1"/>
                <w:color w:val="auto"/>
              </w:rPr>
            </w:pPr>
          </w:p>
        </w:tc>
      </w:tr>
      <w:tr>
        <w:trPr>
          <w:trHeight w:val="155"/>
        </w:trPr>
        <w:tc>
          <w:tcPr>
            <w:tcW w:w="49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Notes—7.6%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11/15/2015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Consumer</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11.63%</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1,500,000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1,524,891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1,155,000</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Goods: Non-</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Durable</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(5),(7)</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07/31/2018</w:t>
            </w:r>
          </w:p>
        </w:tc>
        <w:tc>
          <w:tcPr>
            <w:tcW w:w="10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Beverage, Food</w:t>
            </w: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0"/>
                <w:szCs w:val="10"/>
                <w:color w:val="auto"/>
              </w:rPr>
              <w:t xml:space="preserve">14.00% </w:t>
            </w:r>
            <w:r>
              <w:rPr>
                <w:rFonts w:ascii="Arial" w:cs="Arial" w:eastAsia="Arial" w:hAnsi="Arial"/>
                <w:sz w:val="15"/>
                <w:szCs w:val="15"/>
                <w:color w:val="auto"/>
                <w:vertAlign w:val="superscript"/>
              </w:rPr>
              <w:t>(8)</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3,762,500</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3,688,091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3,687,250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and Tobacco</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(5),(9)</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07/31/2018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2"/>
              </w:rPr>
              <w:t>Beverage, Food</w:t>
            </w:r>
          </w:p>
        </w:tc>
        <w:tc>
          <w:tcPr>
            <w:tcW w:w="84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2,206,000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2,161,880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2,161,880</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and Tobacco</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98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7,374,862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7,004,130</w:t>
            </w: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Preferred Equity/Partnership Interests—0.1%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8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Beverage, Food</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12.50%</w:t>
            </w:r>
          </w:p>
        </w:tc>
        <w:tc>
          <w:tcPr>
            <w:tcW w:w="96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158</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95,000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96,985</w:t>
            </w: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and Tobacco</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96,985</w:t>
            </w:r>
          </w:p>
        </w:tc>
        <w:tc>
          <w:tcPr>
            <w:tcW w:w="0" w:type="dxa"/>
            <w:vAlign w:val="bottom"/>
          </w:tcPr>
          <w:p>
            <w:pPr>
              <w:spacing w:after="0"/>
              <w:rPr>
                <w:sz w:val="1"/>
                <w:szCs w:val="1"/>
                <w:color w:val="auto"/>
              </w:rPr>
            </w:pPr>
          </w:p>
        </w:tc>
      </w:tr>
      <w:tr>
        <w:trPr>
          <w:trHeight w:val="155"/>
        </w:trPr>
        <w:tc>
          <w:tcPr>
            <w:tcW w:w="4980" w:type="dxa"/>
            <w:vAlign w:val="bottom"/>
            <w:gridSpan w:val="2"/>
          </w:tcPr>
          <w:p>
            <w:pPr>
              <w:spacing w:after="0"/>
              <w:rPr>
                <w:sz w:val="20"/>
                <w:szCs w:val="20"/>
                <w:color w:val="auto"/>
              </w:rPr>
            </w:pPr>
            <w:r>
              <w:rPr>
                <w:rFonts w:ascii="Arial" w:cs="Arial" w:eastAsia="Arial" w:hAnsi="Arial"/>
                <w:sz w:val="13"/>
                <w:szCs w:val="13"/>
                <w:b w:val="1"/>
                <w:bCs w:val="1"/>
                <w:color w:val="auto"/>
              </w:rPr>
              <w:t>Common Equity—0.0%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2"/>
              </w:rPr>
              <w:t>Beverage, Food</w:t>
            </w:r>
          </w:p>
        </w:tc>
        <w:tc>
          <w:tcPr>
            <w:tcW w:w="84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and Tobacco</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114,829,621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8"/>
              </w:rPr>
              <w:t>110,724,241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Equivalents—7.6%</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80" w:type="dxa"/>
            <w:vAlign w:val="bottom"/>
            <w:gridSpan w:val="2"/>
            <w:vMerge w:val="continue"/>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6,987,450</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6,987,450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6,987,450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Equivalents—127.8%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121,817,071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8"/>
              </w:rPr>
              <w:t>117,711,691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Assets—(27.8%)</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(25,639,586)</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92,072,105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ind w:left="340" w:right="540" w:hanging="332"/>
        <w:spacing w:after="0" w:line="258"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right="580" w:hanging="332"/>
        <w:spacing w:after="0" w:line="238"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Coupon is payable in cash and/or through PIK.</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securities are pledged as collateral under the Credit Facility.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40" w:firstLine="898"/>
        <w:spacing w:after="0" w:line="331" w:lineRule="auto"/>
        <w:rPr>
          <w:sz w:val="20"/>
          <w:szCs w:val="20"/>
          <w:color w:val="auto"/>
        </w:rPr>
      </w:pPr>
      <w:r>
        <w:rPr>
          <w:rFonts w:ascii="Arial" w:cs="Arial" w:eastAsia="Arial" w:hAnsi="Arial"/>
          <w:sz w:val="16"/>
          <w:szCs w:val="16"/>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87"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Our investment objective is to generate high current income. We seek to achieve our investment objective by investing primarily in Floating Rate Loans and other instruments made to private middle-market companies whose debt is rated below investment grade. “Floating Rate Loans” are defined as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investments with similar characteristics, including cash equivalents in money market funds.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4"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color w:val="auto"/>
        </w:rPr>
        <w:t>On April 13, 2011, PennantPark Floating Rate Capital Ltd. closed its initial public offering and our common stock trades on the NASDAQ Global Select Market under the symbol “PFLT.” Also on April 13, 2011, we issued 6,700,000 shares, and on May 11, 2011 the underwriters exercised their overallotment option and purchased an additional 150,000 shares,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44"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on May 18, 2011. We formed Funding I, in order to establish a senior secured revolving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 to the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0" w:firstLine="449"/>
        <w:spacing w:after="0" w:line="317"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3"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under the Securities and Exchange Act of 1934, as amended, or the Exchange Act, we have provided a Consolidated Statement of Changes in Net Assets in lieu of a Consolidated Statement of Changes in Stockholders’ Equity.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702"/>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10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ectPr>
          <w:pgSz w:w="11900" w:h="16838" w:orient="portrait"/>
          <w:cols w:equalWidth="0" w:num="1">
            <w:col w:w="11240"/>
          </w:cols>
          <w:pgMar w:left="320" w:top="459" w:right="339" w:bottom="622"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459" w:right="339" w:bottom="622"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100" w:hanging="447"/>
        <w:spacing w:after="0" w:line="33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700" w:hanging="243"/>
        <w:spacing w:after="0"/>
        <w:tabs>
          <w:tab w:leader="none" w:pos="70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7" w:lineRule="exact"/>
        <w:rPr>
          <w:sz w:val="20"/>
          <w:szCs w:val="20"/>
          <w:color w:val="auto"/>
        </w:rPr>
      </w:pPr>
    </w:p>
    <w:p>
      <w:pPr>
        <w:ind w:right="20" w:firstLine="449"/>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04"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ectPr>
          <w:pgSz w:w="11900" w:h="16838" w:orient="portrait"/>
          <w:cols w:equalWidth="0" w:num="1">
            <w:col w:w="11240"/>
          </w:cols>
          <w:pgMar w:left="320" w:top="459" w:right="339" w:bottom="1440" w:gutter="0" w:footer="0" w:header="0"/>
        </w:sectPr>
      </w:pPr>
    </w:p>
    <w:bookmarkStart w:id="13" w:name="page14"/>
    <w:bookmarkEnd w:id="13"/>
    <w:p>
      <w:pPr>
        <w:ind w:right="160" w:firstLine="449"/>
        <w:spacing w:after="0" w:line="331" w:lineRule="auto"/>
        <w:rPr>
          <w:sz w:val="20"/>
          <w:szCs w:val="20"/>
          <w:color w:val="auto"/>
        </w:rPr>
      </w:pPr>
      <w:r>
        <w:rPr>
          <w:rFonts w:ascii="Arial" w:cs="Arial" w:eastAsia="Arial" w:hAnsi="Arial"/>
          <w:sz w:val="16"/>
          <w:szCs w:val="16"/>
          <w:color w:val="auto"/>
        </w:rPr>
        <w:t>Book and tax basis differences relating to permanent book and tax differences are reclassified among our capital accounts, as appropriate. Additionally, the tax character of distributions is determined in accordance with income tax regulations that may differ from GAAP.</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or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43"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Balance Sheet as investments. The creditors of Funding I have received security interests in any such assets and are not intended to be available to the creditors of PennantPark Floating Rate Capital Ltd. (or any affiliate of the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New Accounting Pronouncement</w:t>
      </w:r>
    </w:p>
    <w:p>
      <w:pPr>
        <w:spacing w:after="0" w:line="90" w:lineRule="exact"/>
        <w:rPr>
          <w:sz w:val="20"/>
          <w:szCs w:val="20"/>
          <w:color w:val="auto"/>
        </w:rPr>
      </w:pPr>
    </w:p>
    <w:p>
      <w:pPr>
        <w:ind w:right="240" w:firstLine="898"/>
        <w:spacing w:after="0" w:line="283" w:lineRule="auto"/>
        <w:rPr>
          <w:sz w:val="20"/>
          <w:szCs w:val="20"/>
          <w:color w:val="auto"/>
        </w:rPr>
      </w:pPr>
      <w:r>
        <w:rPr>
          <w:rFonts w:ascii="Arial" w:cs="Arial" w:eastAsia="Arial" w:hAnsi="Arial"/>
          <w:sz w:val="16"/>
          <w:szCs w:val="16"/>
          <w:color w:val="auto"/>
        </w:rPr>
        <w:t>In May 2011, the Financial Accounting Standards Board issued Accounting Standards Update 2011-04, Amendments to Achieve Common Fair Value Measurement and Disclosure Requirements in U.S. GAAP and IFRSs, or ASU 2011-04. ASU 2011-04 amends ASC Topic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w:t>
      </w:r>
    </w:p>
    <w:p>
      <w:pPr>
        <w:spacing w:after="0" w:line="3" w:lineRule="exact"/>
        <w:rPr>
          <w:sz w:val="20"/>
          <w:szCs w:val="20"/>
          <w:color w:val="auto"/>
        </w:rPr>
      </w:pPr>
    </w:p>
    <w:p>
      <w:pPr>
        <w:ind w:right="40" w:firstLine="8"/>
        <w:spacing w:after="0" w:line="29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40" w:firstLine="898"/>
        <w:spacing w:after="0" w:line="310" w:lineRule="auto"/>
        <w:rPr>
          <w:sz w:val="20"/>
          <w:szCs w:val="20"/>
          <w:color w:val="auto"/>
        </w:rPr>
      </w:pPr>
      <w:r>
        <w:rPr>
          <w:rFonts w:ascii="Arial" w:cs="Arial" w:eastAsia="Arial" w:hAnsi="Arial"/>
          <w:sz w:val="15"/>
          <w:szCs w:val="15"/>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agreed to waive the portion of the base management fee payable on any net proceeds of the initial public offering that have not yet been invested in portfolio investments, inclusive of any temporary investments in cash, cash equivalents, U.S. government securities and other high-quality investment grade debt investments that mature in 12 months or less from the date of investment. Base management fees for any partial quarter are appropriately pro-rated. For the three months ended December 31, 2011, the Investment Adviser earned a base management fee of $0.3 million from us.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898"/>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months ended December 31, 2011, resulted in no accrual.</w:t>
      </w:r>
    </w:p>
    <w:p>
      <w:pPr>
        <w:sectPr>
          <w:pgSz w:w="11900" w:h="16838" w:orient="portrait"/>
          <w:cols w:equalWidth="0" w:num="1">
            <w:col w:w="11220"/>
          </w:cols>
          <w:pgMar w:left="320" w:top="459" w:right="359" w:bottom="1440" w:gutter="0" w:footer="0" w:header="0"/>
        </w:sectPr>
      </w:pPr>
    </w:p>
    <w:bookmarkStart w:id="15" w:name="page16"/>
    <w:bookmarkEnd w:id="15"/>
    <w:p>
      <w:pPr>
        <w:ind w:right="80" w:firstLine="898"/>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is calculated for a period of shorter than twelve calendar months to take into account any realized capital gains computed net of all realized capital losses and unrealized capital depreciation from our commencement of operations.</w:t>
      </w:r>
    </w:p>
    <w:p>
      <w:pPr>
        <w:spacing w:after="0" w:line="120"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net unrealized capital appreciation, if any.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three months ended December 31, 2011 resulted in no accrual.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3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80" w:right="27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months ended December 31, 2011, the Investment Adviser was reimbursed approximately $0.1 million from us, including expenses it incurred on behalf of the Administrator, for services described above.</w:t>
      </w:r>
    </w:p>
    <w:p>
      <w:pPr>
        <w:spacing w:after="0" w:line="124"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December 31, 2011, as well as the likelihood of future activity that may generate additional returns, management determined that the 7.0% return on Pre-Incentive Fee Net Investment Income was uncertain. Accordingly, we did not record a liability for it. Management assesses performance to determine whether the 7.0% return on Pre-Incentive Fee Net Investment Income is probable before recording the $2.1 million charge to capital.</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80" w:right="27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Purchases of long-term investments, including PIK, for the three months ended December 31, 2011 totaled $39.4 million. Sales and repayments of long-term investments for the three months ended December 31, 2011 totaled $22.3 million.</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20" w:type="dxa"/>
            <w:vAlign w:val="bottom"/>
          </w:tcPr>
          <w:p>
            <w:pPr>
              <w:spacing w:after="0"/>
              <w:rPr>
                <w:sz w:val="14"/>
                <w:szCs w:val="14"/>
                <w:color w:val="auto"/>
              </w:rPr>
            </w:pPr>
          </w:p>
        </w:tc>
        <w:tc>
          <w:tcPr>
            <w:tcW w:w="2340" w:type="dxa"/>
            <w:vAlign w:val="bottom"/>
            <w:gridSpan w:val="3"/>
          </w:tcPr>
          <w:p>
            <w:pPr>
              <w:jc w:val="right"/>
              <w:ind w:right="557"/>
              <w:spacing w:after="0"/>
              <w:rPr>
                <w:sz w:val="20"/>
                <w:szCs w:val="20"/>
                <w:color w:val="auto"/>
              </w:rPr>
            </w:pPr>
            <w:r>
              <w:rPr>
                <w:rFonts w:ascii="Arial" w:cs="Arial" w:eastAsia="Arial" w:hAnsi="Arial"/>
                <w:sz w:val="13"/>
                <w:szCs w:val="13"/>
                <w:b w:val="1"/>
                <w:bCs w:val="1"/>
                <w:color w:val="auto"/>
              </w:rPr>
              <w:t>December 31, 2011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ind w:left="520"/>
              <w:spacing w:after="0"/>
              <w:rPr>
                <w:sz w:val="20"/>
                <w:szCs w:val="20"/>
                <w:color w:val="auto"/>
              </w:rPr>
            </w:pPr>
            <w:r>
              <w:rPr>
                <w:rFonts w:ascii="Arial" w:cs="Arial" w:eastAsia="Arial" w:hAnsi="Arial"/>
                <w:sz w:val="13"/>
                <w:szCs w:val="13"/>
                <w:b w:val="1"/>
                <w:bCs w:val="1"/>
                <w:color w:val="auto"/>
              </w:rPr>
              <w:t>September 30, 2011</w:t>
            </w:r>
          </w:p>
        </w:tc>
        <w:tc>
          <w:tcPr>
            <w:tcW w:w="0" w:type="dxa"/>
            <w:vAlign w:val="bottom"/>
          </w:tcPr>
          <w:p>
            <w:pPr>
              <w:spacing w:after="0"/>
              <w:rPr>
                <w:sz w:val="1"/>
                <w:szCs w:val="1"/>
                <w:color w:val="auto"/>
              </w:rPr>
            </w:pPr>
          </w:p>
        </w:tc>
      </w:tr>
      <w:tr>
        <w:trPr>
          <w:trHeight w:val="149"/>
        </w:trPr>
        <w:tc>
          <w:tcPr>
            <w:tcW w:w="39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7"/>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4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$109,273,671</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$106,412,539</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97,975,314</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12,381,455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12,439,583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9,379,445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10,609,507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10,370,731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105,491</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132,364,633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129,328,344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114,829,621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110,724,241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4,661,292</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4,661,292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137,025,925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133,989,636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121,817,071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898"/>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December 31, 2011 and September 30, 2011.</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81"/>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2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w w:val="90"/>
              </w:rPr>
              <w:t>December 31, 2011</w:t>
            </w:r>
          </w:p>
        </w:tc>
        <w:tc>
          <w:tcPr>
            <w:tcW w:w="8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w w:val="90"/>
              </w:rPr>
              <w:t>September 30, 2011</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Healthcare and Pharmaceuticals</w:t>
            </w:r>
          </w:p>
        </w:tc>
        <w:tc>
          <w:tcPr>
            <w:tcW w:w="18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99"/>
              <w:spacing w:after="0" w:line="203" w:lineRule="exact"/>
              <w:rPr>
                <w:sz w:val="20"/>
                <w:szCs w:val="20"/>
                <w:color w:val="auto"/>
              </w:rPr>
            </w:pPr>
            <w:r>
              <w:rPr>
                <w:rFonts w:ascii="Arial" w:cs="Arial" w:eastAsia="Arial" w:hAnsi="Arial"/>
                <w:sz w:val="18"/>
                <w:szCs w:val="18"/>
                <w:color w:val="auto"/>
              </w:rPr>
              <w:t>12%</w:t>
            </w:r>
          </w:p>
        </w:tc>
        <w:tc>
          <w:tcPr>
            <w:tcW w:w="8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97"/>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900" w:type="dxa"/>
            <w:vAlign w:val="bottom"/>
            <w:gridSpan w:val="2"/>
          </w:tcPr>
          <w:p>
            <w:pPr>
              <w:jc w:val="right"/>
              <w:ind w:right="339"/>
              <w:spacing w:after="0"/>
              <w:rPr>
                <w:sz w:val="20"/>
                <w:szCs w:val="20"/>
                <w:color w:val="auto"/>
              </w:rPr>
            </w:pPr>
            <w:r>
              <w:rPr>
                <w:rFonts w:ascii="Arial" w:cs="Arial" w:eastAsia="Arial" w:hAnsi="Arial"/>
                <w:sz w:val="18"/>
                <w:szCs w:val="18"/>
                <w:color w:val="auto"/>
              </w:rPr>
              <w:t>11</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9</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8</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6</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6</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6</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6</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5</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5</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4</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4</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3</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Energy: Oil &amp; Gas</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3</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3</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2</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w:t>
            </w:r>
          </w:p>
        </w:tc>
        <w:tc>
          <w:tcPr>
            <w:tcW w:w="19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2900" w:type="dxa"/>
            <w:vAlign w:val="bottom"/>
            <w:gridSpan w:val="2"/>
          </w:tcPr>
          <w:p>
            <w:pPr>
              <w:jc w:val="right"/>
              <w:ind w:right="319"/>
              <w:spacing w:after="0"/>
              <w:rPr>
                <w:sz w:val="20"/>
                <w:szCs w:val="20"/>
                <w:color w:val="auto"/>
              </w:rPr>
            </w:pPr>
            <w:r>
              <w:rPr>
                <w:rFonts w:ascii="Arial" w:cs="Arial" w:eastAsia="Arial" w:hAnsi="Arial"/>
                <w:sz w:val="18"/>
                <w:szCs w:val="18"/>
                <w:color w:val="auto"/>
              </w:rPr>
              <w:t>2</w:t>
            </w:r>
          </w:p>
        </w:tc>
        <w:tc>
          <w:tcPr>
            <w:tcW w:w="198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2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Utilities: Water</w:t>
            </w:r>
          </w:p>
        </w:tc>
        <w:tc>
          <w:tcPr>
            <w:tcW w:w="1820" w:type="dxa"/>
            <w:vAlign w:val="bottom"/>
          </w:tcPr>
          <w:p>
            <w:pPr>
              <w:spacing w:after="0"/>
              <w:rPr>
                <w:sz w:val="19"/>
                <w:szCs w:val="19"/>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9"/>
                <w:szCs w:val="19"/>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100%</w:t>
            </w:r>
          </w:p>
        </w:tc>
        <w:tc>
          <w:tcPr>
            <w:tcW w:w="198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20" w:type="dxa"/>
            <w:vAlign w:val="bottom"/>
            <w:vMerge w:val="restart"/>
          </w:tcPr>
          <w:p>
            <w:pPr>
              <w:jc w:val="right"/>
              <w:ind w:right="1012"/>
              <w:spacing w:after="0"/>
              <w:rPr>
                <w:sz w:val="20"/>
                <w:szCs w:val="20"/>
                <w:color w:val="auto"/>
              </w:rPr>
            </w:pPr>
            <w:r>
              <w:rPr>
                <w:rFonts w:ascii="Arial" w:cs="Arial" w:eastAsia="Arial" w:hAnsi="Arial"/>
                <w:sz w:val="18"/>
                <w:szCs w:val="18"/>
                <w:color w:val="auto"/>
              </w:rPr>
              <w:t>14</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2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2011, our ability to observe valuation inputs has resulted in no reclassification of assets from Level 3 to 2. There were no investments transferred between Levels 1 and 2 for the same period.</w:t>
      </w:r>
    </w:p>
    <w:p>
      <w:pPr>
        <w:spacing w:after="0" w:line="147" w:lineRule="exact"/>
        <w:rPr>
          <w:sz w:val="20"/>
          <w:szCs w:val="20"/>
          <w:color w:val="auto"/>
        </w:rPr>
      </w:pPr>
    </w:p>
    <w:p>
      <w:pPr>
        <w:ind w:right="80" w:firstLine="898"/>
        <w:spacing w:after="0" w:line="306" w:lineRule="auto"/>
        <w:rPr>
          <w:sz w:val="20"/>
          <w:szCs w:val="20"/>
          <w:color w:val="auto"/>
        </w:rPr>
      </w:pPr>
      <w:r>
        <w:rPr>
          <w:rFonts w:ascii="Arial" w:cs="Arial" w:eastAsia="Arial" w:hAnsi="Arial"/>
          <w:sz w:val="16"/>
          <w:szCs w:val="16"/>
          <w:color w:val="auto"/>
        </w:rPr>
        <w:t>In addition to using the above inputs in cash equivalents, investments and our Credit Facility valuations we employ the valuation policy approved by our board of directors that is consistent with ASC 820 (See Note 2 to the Consolidated Financial Statements). Consistent with our valuation policy, we evaluate the source of inputs, including any markets in which its investments are trading, in determining fair value.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At December 31, 2011 and September 30, 2011, our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color w:val="auto"/>
                <w:w w:val="95"/>
              </w:rPr>
              <w:t>Fair Value Measurements at December 31, 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106,412,539</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1,992,424</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104,420,115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12,439,583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12,439,583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10,370,731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3,403,000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105,491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129,328,344</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5,395,424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123,932,920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4,661,292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4,661,292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133,989,636</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4,661,292</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5,395,424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123,932,920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34,749,000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34,749,000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94"/>
              </w:rPr>
              <w:t>Fair Value Measurements at September 30, 2011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2,033,747</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92,299,379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1,155,000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101,985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110,724,241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6,987,450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6,987,450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6,987,450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20" w:firstLine="898"/>
        <w:spacing w:after="0" w:line="259" w:lineRule="auto"/>
        <w:rPr>
          <w:sz w:val="20"/>
          <w:szCs w:val="20"/>
          <w:color w:val="auto"/>
        </w:rPr>
      </w:pPr>
      <w:r>
        <w:rPr>
          <w:rFonts w:ascii="Arial" w:cs="Arial" w:eastAsia="Arial" w:hAnsi="Arial"/>
          <w:sz w:val="18"/>
          <w:szCs w:val="18"/>
          <w:color w:val="auto"/>
        </w:rPr>
        <w:t>The following table shows a reconciliation of the beginning and ending balances for fair valued investments measured using significant unobservable inputs (Level 3) for the three months ended December 31, 2011 and for the period from March 4, 2011 (commencement of operations) to September 30,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gridSpan w:val="14"/>
          </w:tcPr>
          <w:p>
            <w:pPr>
              <w:jc w:val="center"/>
              <w:ind w:right="180"/>
              <w:spacing w:after="0"/>
              <w:rPr>
                <w:sz w:val="20"/>
                <w:szCs w:val="20"/>
                <w:color w:val="auto"/>
              </w:rPr>
            </w:pPr>
            <w:r>
              <w:rPr>
                <w:rFonts w:ascii="Arial" w:cs="Arial" w:eastAsia="Arial" w:hAnsi="Arial"/>
                <w:sz w:val="13"/>
                <w:szCs w:val="13"/>
                <w:b w:val="1"/>
                <w:bCs w:val="1"/>
                <w:color w:val="auto"/>
                <w:w w:val="94"/>
              </w:rPr>
              <w:t>Three Months Ended December 31, 2011</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3"/>
          </w:tcPr>
          <w:p>
            <w:pPr>
              <w:jc w:val="center"/>
              <w:ind w:right="48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6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1"/>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gridSpan w:val="2"/>
            <w:vMerge w:val="continue"/>
          </w:tcPr>
          <w:p>
            <w:pPr>
              <w:spacing w:after="0"/>
              <w:rPr>
                <w:sz w:val="14"/>
                <w:szCs w:val="14"/>
                <w:color w:val="auto"/>
              </w:rPr>
            </w:pPr>
          </w:p>
        </w:tc>
        <w:tc>
          <w:tcPr>
            <w:tcW w:w="6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440"/>
              <w:spacing w:after="0" w:line="148" w:lineRule="exact"/>
              <w:rPr>
                <w:sz w:val="20"/>
                <w:szCs w:val="20"/>
                <w:color w:val="auto"/>
              </w:rPr>
            </w:pPr>
            <w:r>
              <w:rPr>
                <w:rFonts w:ascii="Arial" w:cs="Arial" w:eastAsia="Arial" w:hAnsi="Arial"/>
                <w:sz w:val="13"/>
                <w:szCs w:val="13"/>
                <w:b w:val="1"/>
                <w:bCs w:val="1"/>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center"/>
              <w:ind w:right="40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0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8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Beginning Balance, October 1, 2011 </w:t>
            </w:r>
            <w:r>
              <w:rPr>
                <w:rFonts w:ascii="Arial" w:cs="Arial" w:eastAsia="Arial" w:hAnsi="Arial"/>
                <w:sz w:val="11"/>
                <w:szCs w:val="11"/>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5"/>
              </w:rPr>
              <w:t>89,329,379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18,206,115</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5"/>
              </w:rPr>
              <w:t>107,535,494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gridSpan w:val="2"/>
          </w:tcPr>
          <w:p>
            <w:pPr>
              <w:ind w:left="260"/>
              <w:spacing w:after="0"/>
              <w:rPr>
                <w:sz w:val="20"/>
                <w:szCs w:val="20"/>
                <w:color w:val="auto"/>
              </w:rPr>
            </w:pPr>
            <w:r>
              <w:rPr>
                <w:rFonts w:ascii="Arial" w:cs="Arial" w:eastAsia="Arial" w:hAnsi="Arial"/>
                <w:sz w:val="18"/>
                <w:szCs w:val="18"/>
                <w:color w:val="auto"/>
              </w:rPr>
              <w:t>Realized gains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308,511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308,511</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Unrealized appreciation</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741,940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283,619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gridSpan w:val="2"/>
          </w:tcPr>
          <w:p>
            <w:pPr>
              <w:ind w:left="260"/>
              <w:spacing w:after="0"/>
              <w:rPr>
                <w:sz w:val="20"/>
                <w:szCs w:val="20"/>
                <w:color w:val="auto"/>
              </w:rPr>
            </w:pPr>
            <w:r>
              <w:rPr>
                <w:rFonts w:ascii="Arial" w:cs="Arial" w:eastAsia="Arial" w:hAnsi="Arial"/>
                <w:sz w:val="18"/>
                <w:szCs w:val="18"/>
                <w:color w:val="auto"/>
              </w:rPr>
              <w:t>Purchases, PIK and net discount accretion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36,280,783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1,023,071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37,303,854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Sales / repayments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(22,240,498)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(22,240,498)</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700" w:type="dxa"/>
            <w:vAlign w:val="bottom"/>
            <w:gridSpan w:val="2"/>
          </w:tcPr>
          <w:p>
            <w:pPr>
              <w:ind w:left="26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104,420,115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19,512,805</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123,932,920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90"/>
              </w:rPr>
              <w:t>Net change in unrealized appreciation for the three months ended December 31, 2011 reported</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gridSpan w:val="2"/>
          </w:tcPr>
          <w:p>
            <w:pPr>
              <w:ind w:left="40"/>
              <w:spacing w:after="0"/>
              <w:rPr>
                <w:sz w:val="20"/>
                <w:szCs w:val="20"/>
                <w:color w:val="auto"/>
              </w:rPr>
            </w:pPr>
            <w:r>
              <w:rPr>
                <w:rFonts w:ascii="Arial" w:cs="Arial" w:eastAsia="Arial" w:hAnsi="Arial"/>
                <w:sz w:val="18"/>
                <w:szCs w:val="18"/>
                <w:color w:val="auto"/>
                <w:w w:val="99"/>
              </w:rPr>
              <w:t>within the net change in unrealized appreciation on investments in our Consolidated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700" w:type="dxa"/>
            <w:vAlign w:val="bottom"/>
            <w:gridSpan w:val="2"/>
          </w:tcPr>
          <w:p>
            <w:pPr>
              <w:ind w:left="4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851,376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283,619</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1,134,995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1"/>
                <w:szCs w:val="11"/>
                <w:color w:val="auto"/>
              </w:rPr>
              <w:t>(1)</w:t>
            </w:r>
          </w:p>
        </w:tc>
        <w:tc>
          <w:tcPr>
            <w:tcW w:w="6700" w:type="dxa"/>
            <w:vAlign w:val="bottom"/>
            <w:gridSpan w:val="2"/>
            <w:vMerge w:val="restart"/>
          </w:tcPr>
          <w:p>
            <w:pPr>
              <w:ind w:left="280"/>
              <w:spacing w:after="0"/>
              <w:rPr>
                <w:sz w:val="20"/>
                <w:szCs w:val="20"/>
                <w:color w:val="auto"/>
              </w:rPr>
            </w:pPr>
            <w:r>
              <w:rPr>
                <w:rFonts w:ascii="Arial" w:cs="Arial" w:eastAsia="Arial" w:hAnsi="Arial"/>
                <w:sz w:val="18"/>
                <w:szCs w:val="18"/>
                <w:color w:val="auto"/>
              </w:rPr>
              <w:t>As-adjusted to conform to current year presentation.</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80" w:type="dxa"/>
            <w:vAlign w:val="bottom"/>
            <w:vMerge w:val="continue"/>
          </w:tcPr>
          <w:p>
            <w:pPr>
              <w:spacing w:after="0"/>
              <w:rPr>
                <w:sz w:val="24"/>
                <w:szCs w:val="24"/>
                <w:color w:val="auto"/>
              </w:rPr>
            </w:pPr>
          </w:p>
        </w:tc>
        <w:tc>
          <w:tcPr>
            <w:tcW w:w="6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67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gridSpan w:val="14"/>
          </w:tcPr>
          <w:p>
            <w:pPr>
              <w:jc w:val="center"/>
              <w:ind w:right="200"/>
              <w:spacing w:after="0"/>
              <w:rPr>
                <w:sz w:val="20"/>
                <w:szCs w:val="20"/>
                <w:color w:val="auto"/>
              </w:rPr>
            </w:pPr>
            <w:r>
              <w:rPr>
                <w:rFonts w:ascii="Arial" w:cs="Arial" w:eastAsia="Arial" w:hAnsi="Arial"/>
                <w:sz w:val="13"/>
                <w:szCs w:val="13"/>
                <w:b w:val="1"/>
                <w:bCs w:val="1"/>
                <w:color w:val="auto"/>
                <w:w w:val="93"/>
              </w:rPr>
              <w:t>March 4, 2011 (commencement of operations) to</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3"/>
                <w:szCs w:val="13"/>
                <w:b w:val="1"/>
                <w:bCs w:val="1"/>
                <w:color w:val="auto"/>
                <w:w w:val="92"/>
              </w:rPr>
              <w:t>September 30, 2011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center"/>
              <w:ind w:right="50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6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3"/>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gridSpan w:val="2"/>
            <w:vMerge w:val="continue"/>
          </w:tcPr>
          <w:p>
            <w:pPr>
              <w:spacing w:after="0"/>
              <w:rPr>
                <w:sz w:val="14"/>
                <w:szCs w:val="14"/>
                <w:color w:val="auto"/>
              </w:rPr>
            </w:pPr>
          </w:p>
        </w:tc>
        <w:tc>
          <w:tcPr>
            <w:tcW w:w="6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440"/>
              <w:spacing w:after="0" w:line="148" w:lineRule="exact"/>
              <w:rPr>
                <w:sz w:val="20"/>
                <w:szCs w:val="20"/>
                <w:color w:val="auto"/>
              </w:rPr>
            </w:pPr>
            <w:r>
              <w:rPr>
                <w:rFonts w:ascii="Arial" w:cs="Arial" w:eastAsia="Arial" w:hAnsi="Arial"/>
                <w:sz w:val="13"/>
                <w:szCs w:val="13"/>
                <w:b w:val="1"/>
                <w:bCs w:val="1"/>
                <w:color w:val="auto"/>
              </w:rPr>
              <w:t>First Lien</w:t>
            </w:r>
          </w:p>
        </w:tc>
        <w:tc>
          <w:tcPr>
            <w:tcW w:w="160" w:type="dxa"/>
            <w:vAlign w:val="bottom"/>
          </w:tcPr>
          <w:p>
            <w:pPr>
              <w:spacing w:after="0"/>
              <w:rPr>
                <w:sz w:val="14"/>
                <w:szCs w:val="14"/>
                <w:color w:val="auto"/>
              </w:rPr>
            </w:pPr>
          </w:p>
        </w:tc>
        <w:tc>
          <w:tcPr>
            <w:tcW w:w="1740" w:type="dxa"/>
            <w:vAlign w:val="bottom"/>
            <w:gridSpan w:val="5"/>
          </w:tcPr>
          <w:p>
            <w:pPr>
              <w:jc w:val="center"/>
              <w:ind w:right="400"/>
              <w:spacing w:after="0" w:line="148" w:lineRule="exact"/>
              <w:rPr>
                <w:sz w:val="20"/>
                <w:szCs w:val="20"/>
                <w:color w:val="auto"/>
              </w:rPr>
            </w:pPr>
            <w:r>
              <w:rPr>
                <w:rFonts w:ascii="Arial" w:cs="Arial" w:eastAsia="Arial" w:hAnsi="Arial"/>
                <w:sz w:val="13"/>
                <w:szCs w:val="13"/>
                <w:b w:val="1"/>
                <w:bCs w:val="1"/>
                <w:color w:val="auto"/>
                <w:w w:val="92"/>
              </w:rPr>
              <w:t>and equity 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8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gridSpan w:val="2"/>
          </w:tcPr>
          <w:p>
            <w:pPr>
              <w:ind w:left="260"/>
              <w:spacing w:after="0"/>
              <w:rPr>
                <w:sz w:val="20"/>
                <w:szCs w:val="20"/>
                <w:color w:val="auto"/>
              </w:rPr>
            </w:pPr>
            <w:r>
              <w:rPr>
                <w:rFonts w:ascii="Arial" w:cs="Arial" w:eastAsia="Arial" w:hAnsi="Arial"/>
                <w:sz w:val="18"/>
                <w:szCs w:val="18"/>
                <w:color w:val="auto"/>
              </w:rPr>
              <w:t>Realized gains (losses)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93,319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312,003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Unrealized appreciation</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(3,621,606)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gridSpan w:val="2"/>
          </w:tcPr>
          <w:p>
            <w:pPr>
              <w:ind w:left="260"/>
              <w:spacing w:after="0"/>
              <w:rPr>
                <w:sz w:val="20"/>
                <w:szCs w:val="20"/>
                <w:color w:val="auto"/>
              </w:rPr>
            </w:pPr>
            <w:r>
              <w:rPr>
                <w:rFonts w:ascii="Arial" w:cs="Arial" w:eastAsia="Arial" w:hAnsi="Arial"/>
                <w:sz w:val="18"/>
                <w:szCs w:val="18"/>
                <w:color w:val="auto"/>
              </w:rPr>
              <w:t>Purchases, PIK and net discount accretion</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124,246,206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19,766,732</w:t>
            </w:r>
          </w:p>
        </w:tc>
        <w:tc>
          <w:tcPr>
            <w:tcW w:w="3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144,012,938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Sales / repayments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(28,543,905)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(4,530,635)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700" w:type="dxa"/>
            <w:vAlign w:val="bottom"/>
            <w:gridSpan w:val="2"/>
          </w:tcPr>
          <w:p>
            <w:pPr>
              <w:ind w:left="26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92,299,379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15,236,115</w:t>
            </w:r>
          </w:p>
        </w:tc>
        <w:tc>
          <w:tcPr>
            <w:tcW w:w="3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107,535,494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90"/>
              </w:rPr>
              <w:t>Net change in unrealized appreciation (depreciation) for the year reported within the net change</w:t>
            </w: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gridSpan w:val="2"/>
          </w:tcPr>
          <w:p>
            <w:pPr>
              <w:ind w:left="40"/>
              <w:spacing w:after="0"/>
              <w:rPr>
                <w:sz w:val="20"/>
                <w:szCs w:val="20"/>
                <w:color w:val="auto"/>
              </w:rPr>
            </w:pPr>
            <w:r>
              <w:rPr>
                <w:rFonts w:ascii="Arial" w:cs="Arial" w:eastAsia="Arial" w:hAnsi="Arial"/>
                <w:sz w:val="18"/>
                <w:szCs w:val="18"/>
                <w:color w:val="auto"/>
                <w:w w:val="96"/>
              </w:rPr>
              <w:t>in unrealized depreciation on investments in our Consolidated Statement of Operations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700" w:type="dxa"/>
            <w:vAlign w:val="bottom"/>
            <w:gridSpan w:val="2"/>
          </w:tcPr>
          <w:p>
            <w:pPr>
              <w:ind w:left="4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(3,621,606)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(93,301)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700" w:type="dxa"/>
            <w:vAlign w:val="bottom"/>
            <w:gridSpan w:val="2"/>
            <w:vMerge w:val="restart"/>
          </w:tcPr>
          <w:p>
            <w:pPr>
              <w:ind w:left="53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0" w:type="dxa"/>
            <w:vAlign w:val="bottom"/>
          </w:tcPr>
          <w:p>
            <w:pPr>
              <w:spacing w:after="0"/>
              <w:rPr>
                <w:sz w:val="24"/>
                <w:szCs w:val="24"/>
                <w:color w:val="auto"/>
              </w:rPr>
            </w:pPr>
          </w:p>
        </w:tc>
        <w:tc>
          <w:tcPr>
            <w:tcW w:w="6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 for the three months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80" w:type="dxa"/>
            <w:vAlign w:val="bottom"/>
          </w:tcPr>
          <w:p>
            <w:pPr>
              <w:spacing w:after="0"/>
              <w:rPr>
                <w:sz w:val="13"/>
                <w:szCs w:val="13"/>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Carrying /</w:t>
            </w:r>
          </w:p>
        </w:tc>
      </w:tr>
      <w:tr>
        <w:trPr>
          <w:trHeight w:val="161"/>
        </w:trPr>
        <w:tc>
          <w:tcPr>
            <w:tcW w:w="8380" w:type="dxa"/>
            <w:vAlign w:val="bottom"/>
          </w:tcPr>
          <w:p>
            <w:pPr>
              <w:spacing w:after="0"/>
              <w:rPr>
                <w:sz w:val="20"/>
                <w:szCs w:val="20"/>
                <w:color w:val="auto"/>
              </w:rPr>
            </w:pPr>
            <w:r>
              <w:rPr>
                <w:rFonts w:ascii="Arial" w:cs="Arial" w:eastAsia="Arial" w:hAnsi="Arial"/>
                <w:sz w:val="13"/>
                <w:szCs w:val="13"/>
                <w:b w:val="1"/>
                <w:bCs w:val="1"/>
                <w:color w:val="auto"/>
              </w:rPr>
              <w:t>Long-Term Credit Facility</w:t>
            </w: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Fair Value</w:t>
            </w:r>
          </w:p>
        </w:tc>
      </w:tr>
      <w:tr>
        <w:trPr>
          <w:trHeight w:val="209"/>
        </w:trPr>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 (Cost – $24,650,000)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$ 24,650,000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(351,000)</w:t>
            </w:r>
          </w:p>
        </w:tc>
      </w:tr>
      <w:tr>
        <w:trPr>
          <w:trHeight w:val="216"/>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(12,550,000)</w:t>
            </w:r>
          </w:p>
        </w:tc>
      </w:tr>
      <w:tr>
        <w:trPr>
          <w:trHeight w:val="216"/>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Ending Balance, December 31, 2011 (Cost – $35,100,000)</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$ 34,749,000</w:t>
            </w:r>
          </w:p>
        </w:tc>
        <w:tc>
          <w:tcPr>
            <w:tcW w:w="10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2011, we had a net change in unrealized depreciation of $0.4 million. As of December 31, 2011 and September 30, 2011, the Credit Facility had unrealized depreciation of $0.4 million and no appreciation or depreciation, respectively. We use one or more nationally recognized independent valuation service to measure the fair value of the Credit Facility in a manner consistent with the valuation process that the board of directors uses to value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Three Months</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7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7300" w:type="dxa"/>
            <w:vAlign w:val="bottom"/>
            <w:vMerge w:val="continue"/>
          </w:tcPr>
          <w:p>
            <w:pPr>
              <w:spacing w:after="0"/>
              <w:rPr>
                <w:sz w:val="14"/>
                <w:szCs w:val="14"/>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December 31, 2011</w:t>
            </w:r>
          </w:p>
        </w:tc>
        <w:tc>
          <w:tcPr>
            <w:tcW w:w="0" w:type="dxa"/>
            <w:vAlign w:val="bottom"/>
          </w:tcPr>
          <w:p>
            <w:pPr>
              <w:spacing w:after="0"/>
              <w:rPr>
                <w:sz w:val="1"/>
                <w:szCs w:val="1"/>
                <w:color w:val="auto"/>
              </w:rPr>
            </w:pPr>
          </w:p>
        </w:tc>
      </w:tr>
      <w:tr>
        <w:trPr>
          <w:trHeight w:val="203"/>
        </w:trPr>
        <w:tc>
          <w:tcPr>
            <w:tcW w:w="8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3,105,165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right="20" w:firstLine="898"/>
        <w:spacing w:after="0" w:line="309" w:lineRule="auto"/>
        <w:rPr>
          <w:sz w:val="20"/>
          <w:szCs w:val="20"/>
          <w:color w:val="auto"/>
        </w:rPr>
      </w:pPr>
      <w:r>
        <w:rPr>
          <w:rFonts w:ascii="Arial" w:cs="Arial" w:eastAsia="Arial" w:hAnsi="Arial"/>
          <w:sz w:val="15"/>
          <w:szCs w:val="15"/>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2011 and September 30, 2011, cash equivalents consisted of $4.7 million and $7.0 million, including amounts in money market funds, respectively.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00" w:right="27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Our net assets and net asset value per share on December 31, 2011 were $93.7 million and $13.68, respectively. Below are the financial highlights for the three months ended December 31, 2011.</w:t>
      </w:r>
    </w:p>
    <w:p>
      <w:pPr>
        <w:spacing w:after="0" w:line="167"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320" w:type="dxa"/>
            <w:vAlign w:val="bottom"/>
            <w:gridSpan w:val="4"/>
          </w:tcPr>
          <w:p>
            <w:pPr>
              <w:ind w:left="1020"/>
              <w:spacing w:after="0"/>
              <w:rPr>
                <w:sz w:val="20"/>
                <w:szCs w:val="20"/>
                <w:color w:val="auto"/>
              </w:rPr>
            </w:pPr>
            <w:r>
              <w:rPr>
                <w:rFonts w:ascii="Arial" w:cs="Arial" w:eastAsia="Arial" w:hAnsi="Arial"/>
                <w:sz w:val="13"/>
                <w:szCs w:val="13"/>
                <w:b w:val="1"/>
                <w:bCs w:val="1"/>
                <w:color w:val="auto"/>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2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w:t>
            </w:r>
            <w:r>
              <w:rPr>
                <w:rFonts w:ascii="Arial" w:cs="Arial" w:eastAsia="Arial" w:hAnsi="Arial"/>
                <w:sz w:val="11"/>
                <w:szCs w:val="11"/>
                <w:color w:val="auto"/>
              </w:rPr>
              <w:t>(1)</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1"/>
                <w:szCs w:val="11"/>
                <w:color w:val="auto"/>
              </w:rPr>
              <w:t>(1), (2)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gridSpan w:val="2"/>
            <w:vMerge w:val="continue"/>
          </w:tcPr>
          <w:p>
            <w:pPr>
              <w:spacing w:after="0"/>
              <w:rPr>
                <w:sz w:val="18"/>
                <w:szCs w:val="18"/>
                <w:color w:val="auto"/>
              </w:rPr>
            </w:pPr>
          </w:p>
        </w:tc>
        <w:tc>
          <w:tcPr>
            <w:tcW w:w="112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 </w:t>
            </w:r>
            <w:r>
              <w:rPr>
                <w:rFonts w:ascii="Arial" w:cs="Arial" w:eastAsia="Arial" w:hAnsi="Arial"/>
                <w:sz w:val="11"/>
                <w:szCs w:val="11"/>
                <w:color w:val="auto"/>
              </w:rPr>
              <w:t>(3)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6,850,667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12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93,738,630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27,986,957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12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right="7500" w:firstLine="8"/>
        <w:spacing w:after="0" w:line="285" w:lineRule="auto"/>
        <w:tabs>
          <w:tab w:leader="none" w:pos="445"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period.</w:t>
      </w:r>
    </w:p>
    <w:p>
      <w:pPr>
        <w:spacing w:after="0" w:line="9"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200" w:hanging="452"/>
        <w:spacing w:after="0" w:line="26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On June 23, 2011, Funding I entered into a five-year senior secured revolving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December 31, 2011 and September 30, 2011, Funding I had $35.1 million and $24.7 million of outstanding borrowings under the Credit Facility, respectively, and carried an interest rate of 2.59% and 2.53%, respectively, excluding the 0.50% undrawn commitment fee, and had $64.9 million and $75.3 million available, respectively, subject to restrictions and covenants.</w:t>
      </w:r>
    </w:p>
    <w:p>
      <w:pPr>
        <w:spacing w:after="0" w:line="120"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ectPr>
          <w:pgSz w:w="11900" w:h="16838" w:orient="portrait"/>
          <w:cols w:equalWidth="0" w:num="1">
            <w:col w:w="11160"/>
          </w:cols>
          <w:pgMar w:left="320" w:top="459" w:right="419" w:bottom="1440" w:gutter="0" w:footer="0" w:header="0"/>
        </w:sectPr>
      </w:pPr>
    </w:p>
    <w:bookmarkStart w:id="23" w:name="page24"/>
    <w:bookmarkEnd w:id="23"/>
    <w:p>
      <w:pPr>
        <w:ind w:right="20" w:firstLine="898"/>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December 31, 2011, we were in compliance with the covenants relating to our Credit Facility.</w:t>
      </w:r>
    </w:p>
    <w:p>
      <w:pPr>
        <w:spacing w:after="0" w:line="118"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120" w:firstLine="898"/>
        <w:spacing w:after="0" w:line="28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w:t>
      </w:r>
    </w:p>
    <w:p>
      <w:pPr>
        <w:spacing w:after="0" w:line="1" w:lineRule="exact"/>
        <w:rPr>
          <w:sz w:val="20"/>
          <w:szCs w:val="20"/>
          <w:color w:val="auto"/>
        </w:rPr>
      </w:pPr>
    </w:p>
    <w:p>
      <w:pPr>
        <w:ind w:firstLine="8"/>
        <w:spacing w:after="0" w:line="260"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Subsidiary (collectively referred to as the “Company”), including the consolidated schedules of investments, as of December 31, 2011 and the consolidated statement of operations, changes in net assets, and cash flows for the three months ended December 31, 2011. These interim consolidated financial statements are the responsibility of the Company’s management.</w:t>
      </w:r>
    </w:p>
    <w:p>
      <w:pPr>
        <w:spacing w:after="0" w:line="14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consolidated statement of assets and liabilities of PennantPark Floating Rate Capital Ltd. and its Subsidiary,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834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345" cy="14605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9,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jc w:val="both"/>
        <w:ind w:right="160" w:firstLine="898"/>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40"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w:t>
      </w:r>
    </w:p>
    <w:p>
      <w:pPr>
        <w:spacing w:after="0" w:line="38" w:lineRule="exact"/>
        <w:rPr>
          <w:sz w:val="20"/>
          <w:szCs w:val="20"/>
          <w:color w:val="auto"/>
        </w:rPr>
      </w:pPr>
    </w:p>
    <w:p>
      <w:pPr>
        <w:ind w:right="160" w:firstLine="8"/>
        <w:spacing w:after="0" w:line="260" w:lineRule="auto"/>
        <w:tabs>
          <w:tab w:leader="none" w:pos="2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Securities Exchange Act of 1934, as amended, or the Exchange Act, the “safe harbor” provisions of the Private Securities Litigation Reform Act of 1995 do not apply to statements made in periodic reports we file under the Exchange Act.</w:t>
      </w:r>
    </w:p>
    <w:p>
      <w:pPr>
        <w:spacing w:after="0" w:line="139" w:lineRule="exact"/>
        <w:rPr>
          <w:sz w:val="20"/>
          <w:szCs w:val="20"/>
          <w:color w:val="auto"/>
        </w:rPr>
      </w:pPr>
    </w:p>
    <w:p>
      <w:pPr>
        <w:ind w:right="700" w:firstLine="898"/>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60" w:firstLine="898"/>
        <w:spacing w:after="0" w:line="256" w:lineRule="auto"/>
        <w:rPr>
          <w:sz w:val="20"/>
          <w:szCs w:val="20"/>
          <w:color w:val="auto"/>
        </w:rPr>
      </w:pPr>
      <w:r>
        <w:rPr>
          <w:rFonts w:ascii="Arial" w:cs="Arial" w:eastAsia="Arial" w:hAnsi="Arial"/>
          <w:sz w:val="18"/>
          <w:szCs w:val="18"/>
          <w:color w:val="auto"/>
        </w:rPr>
        <w:t>PennantPark Floating Rate Capital Ltd. is a business development company, or BDC, whose objective is to generate high current income by investing primarily in Floating Rate Loans and other investments made to private middle-market companies. Floating Rate Loans or variable rate investments are investments that pay interest at variable rates, which are determined periodically, on the basis of a floating base lending rate such as the London Interbank Offered Rate, or LIBOR, plus a fixed spread.</w:t>
      </w:r>
    </w:p>
    <w:p>
      <w:pPr>
        <w:sectPr>
          <w:pgSz w:w="11900" w:h="16838" w:orient="portrait"/>
          <w:cols w:equalWidth="0" w:num="1">
            <w:col w:w="11240"/>
          </w:cols>
          <w:pgMar w:left="320" w:top="459" w:right="339" w:bottom="1440" w:gutter="0" w:footer="0" w:header="0"/>
        </w:sectPr>
      </w:pPr>
    </w:p>
    <w:bookmarkStart w:id="27" w:name="page28"/>
    <w:bookmarkEnd w:id="27"/>
    <w:p>
      <w:pPr>
        <w:ind w:firstLine="898"/>
        <w:spacing w:after="0" w:line="287"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20" w:top="131"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898"/>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investments with similar economic characteristics, including cash equivalents invested in money market funds.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$2 million and $20 million, on average, although we expect that this investment size will vary proportionately with the size of our capital base.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90" w:lineRule="exact"/>
        <w:rPr>
          <w:sz w:val="20"/>
          <w:szCs w:val="20"/>
          <w:color w:val="auto"/>
        </w:rPr>
      </w:pPr>
    </w:p>
    <w:p>
      <w:pPr>
        <w:ind w:right="40" w:firstLine="898"/>
        <w:spacing w:after="0" w:line="290" w:lineRule="auto"/>
        <w:rPr>
          <w:sz w:val="20"/>
          <w:szCs w:val="20"/>
          <w:color w:val="auto"/>
        </w:rPr>
      </w:pPr>
      <w:r>
        <w:rPr>
          <w:rFonts w:ascii="Arial" w:cs="Arial" w:eastAsia="Arial" w:hAnsi="Arial"/>
          <w:sz w:val="16"/>
          <w:szCs w:val="16"/>
          <w:color w:val="auto"/>
        </w:rPr>
        <w:t>PennantPark Floating Rate Capital Ltd., a Maryland corporation organized on October 28, 2010, is a closed-end, externally managed, non-diversified investment company that has elected to be treated as a BDC under the Investment Company Act of 1940, or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be treated, and intend to qualify annually, as a Regulated Investment Company, or RIC, under the Internal Revenue Code, or the Code, commencing with our first fiscal year ending September 30, 2011.</w:t>
      </w:r>
    </w:p>
    <w:p>
      <w:pPr>
        <w:spacing w:after="0" w:line="118"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Our investment activities are managed by PennantPark Investment Advisers, or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or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180" w:firstLine="898"/>
        <w:spacing w:after="0" w:line="310" w:lineRule="auto"/>
        <w:rPr>
          <w:sz w:val="20"/>
          <w:szCs w:val="20"/>
          <w:color w:val="auto"/>
        </w:rPr>
      </w:pPr>
      <w:r>
        <w:rPr>
          <w:rFonts w:ascii="Arial" w:cs="Arial" w:eastAsia="Arial" w:hAnsi="Arial"/>
          <w:sz w:val="15"/>
          <w:szCs w:val="15"/>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senior secured revolving credit agreement, or the Credit Facility. We bear all other direct or indirect costs and expenses of our operations and transactions, including:</w:t>
      </w:r>
    </w:p>
    <w:p>
      <w:pPr>
        <w:spacing w:after="0" w:line="66" w:lineRule="exact"/>
        <w:rPr>
          <w:sz w:val="20"/>
          <w:szCs w:val="20"/>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440" w:right="200" w:hanging="433"/>
        <w:spacing w:after="0" w:line="268"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440" w:right="60" w:hanging="433"/>
        <w:spacing w:after="0" w:line="298" w:lineRule="auto"/>
        <w:tabs>
          <w:tab w:leader="none" w:pos="1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ectPr>
          <w:pgSz w:w="11900" w:h="16838" w:orient="portrait"/>
          <w:cols w:equalWidth="0" w:num="1">
            <w:col w:w="11200"/>
          </w:cols>
          <w:pgMar w:left="320" w:top="459" w:right="379" w:bottom="136" w:gutter="0" w:footer="0" w:header="0"/>
        </w:sectPr>
      </w:pP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00"/>
          </w:cols>
          <w:pgMar w:left="320" w:top="459" w:right="379" w:bottom="136"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60" w:firstLine="898"/>
        <w:spacing w:after="0" w:line="294" w:lineRule="auto"/>
        <w:rPr>
          <w:sz w:val="20"/>
          <w:szCs w:val="20"/>
          <w:color w:val="auto"/>
        </w:rPr>
      </w:pPr>
      <w:r>
        <w:rPr>
          <w:rFonts w:ascii="Arial" w:cs="Arial" w:eastAsia="Arial" w:hAnsi="Arial"/>
          <w:sz w:val="16"/>
          <w:szCs w:val="16"/>
          <w:color w:val="auto"/>
        </w:rPr>
        <w:t>As of December 31, 2011, our portfolio totaled $129.3 million and consisted of $106.4 million of senior secured loans, $12.4 million of second lien secured debt, $10.5 million of subordinated debt, preferred and common equity investments. Our portfolio consisted of 84% variable-rate investments (including 78% with a LIBOR or prime floor) and 16% fixed-rate investments. Overall, the portfolio had an unrealized depreciation of $3.0 million. Our overall portfolio consisted of 45 companies with an average investment size of $2.9 million, a weighted average yield on debt investments of 8.3%, and was invested 82% in senior secured loans, 10% in second lien secured debt and 8% in subordinated debt, preferred and common equity investments.</w:t>
      </w:r>
    </w:p>
    <w:p>
      <w:pPr>
        <w:spacing w:after="0" w:line="115"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5"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For the three months ended December 31, 2011, we invested $39.3 million in 13 new portfolio companies and 2 existing portfolio companies with a weighted average yield on debt investments of 9.4%. Sales and repayments of long-term investments for the three months ended December 31, 2011 totaled $22.3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898"/>
        <w:spacing w:after="0" w:line="288"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80" w:firstLine="898"/>
        <w:spacing w:after="0" w:line="314" w:lineRule="auto"/>
        <w:rPr>
          <w:sz w:val="20"/>
          <w:szCs w:val="20"/>
          <w:color w:val="auto"/>
        </w:rPr>
      </w:pPr>
      <w:r>
        <w:rPr>
          <w:rFonts w:ascii="Arial" w:cs="Arial" w:eastAsia="Arial" w:hAnsi="Arial"/>
          <w:sz w:val="15"/>
          <w:szCs w:val="15"/>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4"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20" w:hanging="561"/>
        <w:spacing w:after="0" w:line="268"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ectPr>
          <w:pgSz w:w="11900" w:h="16838" w:orient="portrait"/>
          <w:cols w:equalWidth="0" w:num="1">
            <w:col w:w="11240"/>
          </w:cols>
          <w:pgMar w:left="320" w:top="459" w:right="3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459"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Fair value, as defined under Accounting Standards Codification,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2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2011, our ability to observe valuation inputs has resulted in no reclassification of assets from Level 3 to 2. There were no investments transferred between Levels 1 and 2 during the same period.</w:t>
      </w:r>
    </w:p>
    <w:p>
      <w:pPr>
        <w:spacing w:after="0" w:line="147" w:lineRule="exact"/>
        <w:rPr>
          <w:sz w:val="20"/>
          <w:szCs w:val="20"/>
          <w:color w:val="auto"/>
        </w:rPr>
      </w:pPr>
    </w:p>
    <w:p>
      <w:pPr>
        <w:ind w:right="40" w:firstLine="898"/>
        <w:spacing w:after="0" w:line="306" w:lineRule="auto"/>
        <w:rPr>
          <w:sz w:val="20"/>
          <w:szCs w:val="20"/>
          <w:color w:val="auto"/>
        </w:rPr>
      </w:pPr>
      <w:r>
        <w:rPr>
          <w:rFonts w:ascii="Arial" w:cs="Arial" w:eastAsia="Arial" w:hAnsi="Arial"/>
          <w:sz w:val="16"/>
          <w:szCs w:val="16"/>
          <w:color w:val="auto"/>
        </w:rPr>
        <w:t>In addition to using the above inputs in cash equivalents, investments and our Credit Facility valuations, we employ the valuation policy approved by our board of directors that is consistent with ASC 820 (See Note 2 to the Consolidated Financial Statements). Consistent with our valuation policy, we evaluate the source of inputs, including any markets in which its investments are trading, in determining fair value.</w:t>
      </w:r>
    </w:p>
    <w:p>
      <w:pPr>
        <w:sectPr>
          <w:pgSz w:w="11900" w:h="16838" w:orient="portrait"/>
          <w:cols w:equalWidth="0" w:num="1">
            <w:col w:w="11220"/>
          </w:cols>
          <w:pgMar w:left="320" w:top="459" w:right="359" w:bottom="1440" w:gutter="0" w:footer="0" w:header="0"/>
        </w:sectPr>
      </w:pPr>
    </w:p>
    <w:bookmarkStart w:id="31" w:name="page32"/>
    <w:bookmarkEnd w:id="31"/>
    <w:p>
      <w:pPr>
        <w:ind w:firstLine="898"/>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2011, we had a net change in unrealized depreciation of $0.4 million. As of December 31, 2011 and September 30, 2011, the Credit Facility had unrealized depreciation of $0.4 million and no appreciation or depreciation, respectively. We use one or more nationally recognized independent valuation services to measure the fair value of the Credit Facility in a manner consistent with the valuation process that the board of directors uses to value investments.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31"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898"/>
        <w:spacing w:after="0" w:line="302" w:lineRule="auto"/>
        <w:rPr>
          <w:sz w:val="20"/>
          <w:szCs w:val="20"/>
          <w:color w:val="auto"/>
        </w:rPr>
      </w:pPr>
      <w:r>
        <w:rPr>
          <w:rFonts w:ascii="Arial" w:cs="Arial" w:eastAsia="Arial" w:hAnsi="Arial"/>
          <w:sz w:val="15"/>
          <w:szCs w:val="15"/>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w:t>
      </w:r>
    </w:p>
    <w:p>
      <w:pPr>
        <w:spacing w:after="0" w:line="1" w:lineRule="exact"/>
        <w:rPr>
          <w:sz w:val="20"/>
          <w:szCs w:val="20"/>
          <w:color w:val="auto"/>
        </w:rPr>
      </w:pPr>
    </w:p>
    <w:p>
      <w:pPr>
        <w:ind w:right="100" w:firstLine="8"/>
        <w:spacing w:after="0" w:line="253"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 forth below are the results of operations for the three months ended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jc w:val="both"/>
        <w:ind w:right="340" w:firstLine="898"/>
        <w:spacing w:after="0" w:line="259" w:lineRule="auto"/>
        <w:rPr>
          <w:sz w:val="20"/>
          <w:szCs w:val="20"/>
          <w:color w:val="auto"/>
        </w:rPr>
      </w:pPr>
      <w:r>
        <w:rPr>
          <w:rFonts w:ascii="Arial" w:cs="Arial" w:eastAsia="Arial" w:hAnsi="Arial"/>
          <w:sz w:val="18"/>
          <w:szCs w:val="18"/>
          <w:color w:val="auto"/>
        </w:rPr>
        <w:t>Investment income for the three months ended December 31, 2011 was $2.5 million and was primarily attributable to $2.0 million from senior secured loans, $0.3 million from second lien secured debt investments and $0.2 million from subordinated debt investments. We continue to find attractive investment opportunities and will rotate out of lower rate investments to higher rate 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280" w:firstLine="898"/>
        <w:spacing w:after="0" w:line="259" w:lineRule="auto"/>
        <w:rPr>
          <w:sz w:val="20"/>
          <w:szCs w:val="20"/>
          <w:color w:val="auto"/>
        </w:rPr>
      </w:pPr>
      <w:r>
        <w:rPr>
          <w:rFonts w:ascii="Arial" w:cs="Arial" w:eastAsia="Arial" w:hAnsi="Arial"/>
          <w:sz w:val="18"/>
          <w:szCs w:val="18"/>
          <w:color w:val="auto"/>
        </w:rPr>
        <w:t>Expenses for the three months ended December 31, 2011 totaled $1.1 million. Base management fees for the same period totaled $0.3 million, Credit Facility related expenses totaled $0.3 million and general and administrative expenses totaled $0.5 million. We expect our base management fees and Credit Facility expenses to continue to increase as a result of growth in our portfolio and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Net investment income totaled $1.4 million, or $0.20 per share, for the three months ended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Sales and repayments of investments for the three months ended December 31, 2011 totaled $22.3 million and realized gains totaled $0.3 million due to sales and repayments of our debt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For the three months ended December 31, 2011, we reported unrealized depreciation of $1.1 million. As of December 31, 2011 and September 30, 2011, net unrealized depreciation on investments totaled $3.0 million and $4.1 million, respectively.</w:t>
      </w:r>
    </w:p>
    <w:p>
      <w:pPr>
        <w:spacing w:after="0" w:line="132"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For the three months ended December 31, 2011, our long-term Credit Facility value increased by $0.4 million. As of December 31, 2011, net unrealized depreciation on our long-term Credit Facility totaled $0.4 million. As of September 30, 2011, we had no appreciation or depreciation on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180" w:firstLine="898"/>
        <w:spacing w:after="0" w:line="331" w:lineRule="auto"/>
        <w:rPr>
          <w:sz w:val="20"/>
          <w:szCs w:val="20"/>
          <w:color w:val="auto"/>
        </w:rPr>
      </w:pPr>
      <w:r>
        <w:rPr>
          <w:rFonts w:ascii="Arial" w:cs="Arial" w:eastAsia="Arial" w:hAnsi="Arial"/>
          <w:sz w:val="16"/>
          <w:szCs w:val="16"/>
          <w:color w:val="auto"/>
        </w:rPr>
        <w:t>Net increase in net assets resulting from operations totaled $3.1 million, or $0.45 per share, for the three months ended December 31, 2011. This increase in net assets from operations is due to the continued growth in net investment income as a result of the growth in our portfolio.</w:t>
      </w:r>
    </w:p>
    <w:p>
      <w:pPr>
        <w:sectPr>
          <w:pgSz w:w="11900" w:h="16838" w:orient="portrait"/>
          <w:cols w:equalWidth="0" w:num="1">
            <w:col w:w="11240"/>
          </w:cols>
          <w:pgMar w:left="320" w:top="459" w:right="339" w:bottom="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31"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12" w:lineRule="exact"/>
        <w:rPr>
          <w:sz w:val="20"/>
          <w:szCs w:val="20"/>
          <w:color w:val="auto"/>
        </w:rPr>
      </w:pPr>
    </w:p>
    <w:p>
      <w:pPr>
        <w:ind w:right="280" w:firstLine="898"/>
        <w:spacing w:after="0" w:line="254" w:lineRule="auto"/>
        <w:rPr>
          <w:sz w:val="20"/>
          <w:szCs w:val="20"/>
          <w:color w:val="auto"/>
        </w:rPr>
      </w:pPr>
      <w:r>
        <w:rPr>
          <w:rFonts w:ascii="Arial" w:cs="Arial" w:eastAsia="Arial" w:hAnsi="Arial"/>
          <w:sz w:val="18"/>
          <w:szCs w:val="18"/>
          <w:color w:val="auto"/>
        </w:rPr>
        <w:t>On June 23, 2011, Funding I entered into the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December 31, 2011 and September 30, 2011, Funding I had $35.1 million and $24.7 million of outstanding borrowings under the Credit Facility, respectively, had an interest rate of 2.59% and 2.53%, respectively, excluding the 0.50% undrawn commitment fee, and had $64.9 million and $75.3 million available, respectively, subject to restrictions and covenants.</w:t>
      </w:r>
    </w:p>
    <w:p>
      <w:pPr>
        <w:spacing w:after="0" w:line="144" w:lineRule="exact"/>
        <w:rPr>
          <w:sz w:val="20"/>
          <w:szCs w:val="20"/>
          <w:color w:val="auto"/>
        </w:rPr>
      </w:pPr>
    </w:p>
    <w:p>
      <w:pPr>
        <w:ind w:right="140" w:firstLine="898"/>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2" w:lineRule="exact"/>
        <w:rPr>
          <w:sz w:val="20"/>
          <w:szCs w:val="20"/>
          <w:color w:val="auto"/>
        </w:rPr>
      </w:pPr>
    </w:p>
    <w:p>
      <w:pPr>
        <w:ind w:right="40" w:firstLine="898"/>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December 31, 2011, we were in compliance with our covenants relating to our Credit Facility.</w:t>
      </w:r>
    </w:p>
    <w:p>
      <w:pPr>
        <w:spacing w:after="0" w:line="118" w:lineRule="exact"/>
        <w:rPr>
          <w:sz w:val="20"/>
          <w:szCs w:val="20"/>
          <w:color w:val="auto"/>
        </w:rPr>
      </w:pPr>
    </w:p>
    <w:p>
      <w:pPr>
        <w:ind w:right="100" w:firstLine="898"/>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140" w:firstLine="898"/>
        <w:spacing w:after="0" w:line="28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w:t>
      </w:r>
    </w:p>
    <w:p>
      <w:pPr>
        <w:spacing w:after="0" w:line="1" w:lineRule="exact"/>
        <w:rPr>
          <w:sz w:val="20"/>
          <w:szCs w:val="20"/>
          <w:color w:val="auto"/>
        </w:rPr>
      </w:pPr>
    </w:p>
    <w:p>
      <w:pPr>
        <w:ind w:right="20" w:firstLine="8"/>
        <w:spacing w:after="0" w:line="260"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39" w:lineRule="exact"/>
        <w:rPr>
          <w:sz w:val="20"/>
          <w:szCs w:val="20"/>
          <w:color w:val="auto"/>
        </w:rPr>
      </w:pPr>
    </w:p>
    <w:p>
      <w:pPr>
        <w:ind w:right="360" w:firstLine="898"/>
        <w:spacing w:after="0" w:line="298" w:lineRule="auto"/>
        <w:rPr>
          <w:sz w:val="20"/>
          <w:szCs w:val="20"/>
          <w:color w:val="auto"/>
        </w:rPr>
      </w:pPr>
      <w:r>
        <w:rPr>
          <w:rFonts w:ascii="Arial" w:cs="Arial" w:eastAsia="Arial" w:hAnsi="Arial"/>
          <w:sz w:val="16"/>
          <w:szCs w:val="16"/>
          <w:color w:val="auto"/>
        </w:rPr>
        <w:t>We may raise equity or debt capital through both registered offerings and by private offerings of securities,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2" w:lineRule="exact"/>
        <w:rPr>
          <w:sz w:val="20"/>
          <w:szCs w:val="20"/>
          <w:color w:val="auto"/>
        </w:rPr>
      </w:pPr>
    </w:p>
    <w:p>
      <w:pPr>
        <w:ind w:right="220" w:firstLine="898"/>
        <w:spacing w:after="0" w:line="268" w:lineRule="auto"/>
        <w:rPr>
          <w:sz w:val="20"/>
          <w:szCs w:val="20"/>
          <w:color w:val="auto"/>
        </w:rPr>
      </w:pPr>
      <w:r>
        <w:rPr>
          <w:rFonts w:ascii="Arial" w:cs="Arial" w:eastAsia="Arial" w:hAnsi="Arial"/>
          <w:sz w:val="18"/>
          <w:szCs w:val="18"/>
          <w:color w:val="auto"/>
        </w:rPr>
        <w:t>At December 31, 2011, we had cash equivalents of $4.7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jc w:val="both"/>
        <w:ind w:right="140" w:firstLine="898"/>
        <w:spacing w:after="0" w:line="259" w:lineRule="auto"/>
        <w:rPr>
          <w:sz w:val="20"/>
          <w:szCs w:val="20"/>
          <w:color w:val="auto"/>
        </w:rPr>
      </w:pPr>
      <w:r>
        <w:rPr>
          <w:rFonts w:ascii="Arial" w:cs="Arial" w:eastAsia="Arial" w:hAnsi="Arial"/>
          <w:sz w:val="18"/>
          <w:szCs w:val="18"/>
          <w:color w:val="auto"/>
        </w:rPr>
        <w:t>Our operating activities used cash of $11.3 million for the three months ended December 31, 2011, and our financing activities provided net cash proceeds of $9.0 million for the same period. Our operating activities used cash primarily for net investing that was provided from net draws under the Credit Facility.</w:t>
      </w:r>
    </w:p>
    <w:p>
      <w:pPr>
        <w:sectPr>
          <w:pgSz w:w="11900" w:h="16838" w:orient="portrait"/>
          <w:cols w:equalWidth="0" w:num="1">
            <w:col w:w="11220"/>
          </w:cols>
          <w:pgMar w:left="320" w:top="45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summary of our significant contractual payment obligations including, but not limited to, borrowings under our Credit Facility maturing in June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2016 and other contractual obligations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w w:val="93"/>
              </w:rPr>
              <w:t>Payments due by period (millions)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8"/>
              </w:rPr>
              <w:t>Less than</w:t>
            </w:r>
          </w:p>
        </w:tc>
        <w:tc>
          <w:tcPr>
            <w:tcW w:w="5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1-3</w:t>
            </w:r>
          </w:p>
        </w:tc>
        <w:tc>
          <w:tcPr>
            <w:tcW w:w="660" w:type="dxa"/>
            <w:vAlign w:val="bottom"/>
            <w:gridSpan w:val="2"/>
          </w:tcPr>
          <w:p>
            <w:pPr>
              <w:jc w:val="center"/>
              <w:ind w:left="202"/>
              <w:spacing w:after="0" w:line="129" w:lineRule="exact"/>
              <w:rPr>
                <w:sz w:val="20"/>
                <w:szCs w:val="20"/>
                <w:color w:val="auto"/>
              </w:rPr>
            </w:pPr>
            <w:r>
              <w:rPr>
                <w:rFonts w:ascii="Arial" w:cs="Arial" w:eastAsia="Arial" w:hAnsi="Arial"/>
                <w:sz w:val="13"/>
                <w:szCs w:val="13"/>
                <w:b w:val="1"/>
                <w:bCs w:val="1"/>
                <w:color w:val="auto"/>
                <w:w w:val="95"/>
              </w:rPr>
              <w:t>3-5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rPr>
              <w:t>1 year</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2"/>
              </w:rPr>
              <w:t>years</w:t>
            </w:r>
          </w:p>
        </w:tc>
        <w:tc>
          <w:tcPr>
            <w:tcW w:w="26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209"/>
        </w:trPr>
        <w:tc>
          <w:tcPr>
            <w:tcW w:w="2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Credit Facility </w:t>
            </w:r>
            <w:r>
              <w:rPr>
                <w:rFonts w:ascii="Arial" w:cs="Arial" w:eastAsia="Arial" w:hAnsi="Arial"/>
                <w:sz w:val="11"/>
                <w:szCs w:val="11"/>
                <w:color w:val="auto"/>
              </w:rPr>
              <w:t>(1), (2)</w:t>
            </w: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$35.1</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(3)</w:t>
            </w:r>
          </w:p>
        </w:tc>
        <w:tc>
          <w:tcPr>
            <w:tcW w:w="9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December 31, 2011, we had $64.9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December 31, 2011 was 2.59% exclusive of the fee on the undrawn commitment of 0.50% on the Credit Facility.</w:t>
      </w:r>
    </w:p>
    <w:p>
      <w:pPr>
        <w:ind w:left="460" w:right="480" w:hanging="452"/>
        <w:spacing w:after="0" w:line="26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subordinated debt.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31"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firstLine="898"/>
        <w:spacing w:after="0" w:line="294"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approved by the board of directors and a majority of our independent directors in March 2011, PennantPark Investment Advisers serves as our Investment Adviser in accordance with the terms of that Investment Management Agreement. Payments under our Investment Management Agreement in each reporting period are equal to: (1) a management fee equal to a percentage of the value of our gross assets and (2) an incentive fee based on our performance. See Note 3 to the Consolidated Financial Statements for more information.</w:t>
      </w:r>
    </w:p>
    <w:p>
      <w:pPr>
        <w:spacing w:after="0" w:line="115" w:lineRule="exact"/>
        <w:rPr>
          <w:sz w:val="20"/>
          <w:szCs w:val="20"/>
          <w:color w:val="auto"/>
        </w:rPr>
      </w:pPr>
    </w:p>
    <w:p>
      <w:pPr>
        <w:ind w:right="80" w:firstLine="898"/>
        <w:spacing w:after="0" w:line="290" w:lineRule="auto"/>
        <w:rPr>
          <w:sz w:val="20"/>
          <w:szCs w:val="20"/>
          <w:color w:val="auto"/>
        </w:rPr>
      </w:pPr>
      <w:r>
        <w:rPr>
          <w:rFonts w:ascii="Arial" w:cs="Arial" w:eastAsia="Arial" w:hAnsi="Arial"/>
          <w:sz w:val="16"/>
          <w:szCs w:val="16"/>
          <w:color w:val="auto"/>
        </w:rPr>
        <w:t>Under our Administration Agreement, approved by the board of directors and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 for more information.</w:t>
      </w:r>
    </w:p>
    <w:p>
      <w:pPr>
        <w:spacing w:after="0" w:line="118" w:lineRule="exact"/>
        <w:rPr>
          <w:sz w:val="20"/>
          <w:szCs w:val="20"/>
          <w:color w:val="auto"/>
        </w:rPr>
      </w:pPr>
    </w:p>
    <w:p>
      <w:pPr>
        <w:jc w:val="both"/>
        <w:ind w:right="100" w:firstLine="898"/>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4" w:lineRule="exact"/>
        <w:rPr>
          <w:sz w:val="20"/>
          <w:szCs w:val="20"/>
          <w:color w:val="auto"/>
        </w:rPr>
      </w:pPr>
    </w:p>
    <w:p>
      <w:pPr>
        <w:jc w:val="both"/>
        <w:ind w:right="380" w:firstLine="898"/>
        <w:spacing w:after="0" w:line="259" w:lineRule="auto"/>
        <w:rPr>
          <w:sz w:val="20"/>
          <w:szCs w:val="20"/>
          <w:color w:val="auto"/>
        </w:rPr>
      </w:pPr>
      <w:r>
        <w:rPr>
          <w:rFonts w:ascii="Arial" w:cs="Arial" w:eastAsia="Arial" w:hAnsi="Arial"/>
          <w:sz w:val="18"/>
          <w:szCs w:val="18"/>
          <w:color w:val="auto"/>
        </w:rPr>
        <w:t>During the three months ended December 31, 2011, we declared to stockholders distributions of $0.21 per share for total distributions of $1.4 million. Distributions are paid from taxable earnings and may include a return of capital and/or capital gains. Tax characteristics of all distributions will be reported to stockholders on Form 1099-DIV after the end of the calendar year.</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intend to continue to distribute monthly distributions to our stockholders. Our monthly distributions, if any, are determined by our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65" w:lineRule="exact"/>
        <w:rPr>
          <w:sz w:val="20"/>
          <w:szCs w:val="20"/>
          <w:color w:val="auto"/>
        </w:rPr>
      </w:pPr>
    </w:p>
    <w:p>
      <w:pPr>
        <w:jc w:val="both"/>
        <w:ind w:right="120" w:firstLine="898"/>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jc w:val="both"/>
        <w:ind w:right="100" w:firstLine="898"/>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898"/>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ectPr>
          <w:pgSz w:w="11900" w:h="16838" w:orient="portrait"/>
          <w:cols w:equalWidth="0" w:num="1">
            <w:col w:w="11240"/>
          </w:cols>
          <w:pgMar w:left="320" w:top="459" w:right="339" w:bottom="1440" w:gutter="0" w:footer="0" w:header="0"/>
        </w:sectPr>
      </w:pPr>
    </w:p>
    <w:bookmarkStart w:id="37" w:name="page38"/>
    <w:bookmarkEnd w:id="37"/>
    <w:p>
      <w:pPr>
        <w:ind w:firstLine="898"/>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320" w:top="131"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December 31, 2011, our portfolio consisted of 84% variable-rate investments (including 78% with a LIBOR or prime floor) and 16% fixed-rate investments.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5" w:lineRule="exact"/>
        <w:rPr>
          <w:sz w:val="20"/>
          <w:szCs w:val="20"/>
          <w:color w:val="auto"/>
        </w:rPr>
      </w:pPr>
    </w:p>
    <w:p>
      <w:pPr>
        <w:ind w:right="40" w:firstLine="898"/>
        <w:spacing w:after="0" w:line="294" w:lineRule="auto"/>
        <w:rPr>
          <w:sz w:val="20"/>
          <w:szCs w:val="20"/>
          <w:color w:val="auto"/>
        </w:rPr>
      </w:pPr>
      <w:r>
        <w:rPr>
          <w:rFonts w:ascii="Arial" w:cs="Arial" w:eastAsia="Arial" w:hAnsi="Arial"/>
          <w:sz w:val="16"/>
          <w:szCs w:val="16"/>
          <w:color w:val="auto"/>
        </w:rPr>
        <w:t>Assuming that the balance sheet as of December 31,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320" w:firstLine="89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2011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2011,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198" w:lineRule="exact"/>
        <w:rPr>
          <w:sz w:val="20"/>
          <w:szCs w:val="20"/>
          <w:color w:val="auto"/>
        </w:rPr>
      </w:pPr>
    </w:p>
    <w:p>
      <w:pPr>
        <w:ind w:left="880" w:right="24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 3 to the Registration Statement on Form N-2 (File No. 333-170243), filed on March 29,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Registrant (Incorporated by reference to the Registrant’s Annual Report on Form 10-K (File No. 814-</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00891), filed on November 17, 2011).</w:t>
      </w:r>
    </w:p>
    <w:p>
      <w:pPr>
        <w:spacing w:after="0" w:line="111"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the Registrant’s Pre-Effective Amendment No. 5 to the Registration Statement on Form 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right="54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5380" w:val="left"/>
          <w:tab w:leader="none" w:pos="7700" w:val="left"/>
          <w:tab w:leader="none" w:pos="8040" w:val="left"/>
        </w:tabs>
        <w:rPr>
          <w:sz w:val="20"/>
          <w:szCs w:val="20"/>
          <w:color w:val="auto"/>
        </w:rPr>
      </w:pPr>
      <w:r>
        <w:rPr>
          <w:rFonts w:ascii="Arial" w:cs="Arial" w:eastAsia="Arial" w:hAnsi="Arial"/>
          <w:sz w:val="18"/>
          <w:szCs w:val="18"/>
          <w:color w:val="auto"/>
        </w:rPr>
        <w:t>Date: February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9" w:lineRule="exact"/>
        <w:rPr>
          <w:sz w:val="20"/>
          <w:szCs w:val="20"/>
          <w:color w:val="auto"/>
        </w:rPr>
      </w:pPr>
    </w:p>
    <w:p>
      <w:pPr>
        <w:spacing w:after="0"/>
        <w:tabs>
          <w:tab w:leader="none" w:pos="5380" w:val="left"/>
          <w:tab w:leader="none" w:pos="7880" w:val="left"/>
          <w:tab w:leader="none" w:pos="8200" w:val="left"/>
        </w:tabs>
        <w:rPr>
          <w:sz w:val="20"/>
          <w:szCs w:val="20"/>
          <w:color w:val="auto"/>
        </w:rPr>
      </w:pPr>
      <w:r>
        <w:rPr>
          <w:rFonts w:ascii="Arial" w:cs="Arial" w:eastAsia="Arial" w:hAnsi="Arial"/>
          <w:sz w:val="18"/>
          <w:szCs w:val="18"/>
          <w:color w:val="auto"/>
        </w:rPr>
        <w:t>Date: February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Floating Rate Capital Ltd., certify that:</w:t>
      </w:r>
    </w:p>
    <w:p>
      <w:pPr>
        <w:spacing w:after="0" w:line="1" w:lineRule="exact"/>
        <w:rPr>
          <w:sz w:val="20"/>
          <w:szCs w:val="20"/>
          <w:color w:val="auto"/>
        </w:rPr>
      </w:pPr>
    </w:p>
    <w:p>
      <w:pPr>
        <w:ind w:left="640" w:hanging="18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9" w:lineRule="exact"/>
        <w:rPr>
          <w:rFonts w:ascii="Arial" w:cs="Arial" w:eastAsia="Arial" w:hAnsi="Arial"/>
          <w:sz w:val="18"/>
          <w:szCs w:val="18"/>
          <w:color w:val="auto"/>
        </w:rPr>
      </w:pPr>
    </w:p>
    <w:p>
      <w:pPr>
        <w:ind w:right="120" w:firstLine="906"/>
        <w:spacing w:after="0" w:line="259" w:lineRule="auto"/>
        <w:tabs>
          <w:tab w:leader="none" w:pos="10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60" w:firstLine="906"/>
        <w:spacing w:after="0" w:line="331" w:lineRule="auto"/>
        <w:tabs>
          <w:tab w:leader="none" w:pos="107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60" w:firstLine="906"/>
        <w:spacing w:after="0" w:line="331" w:lineRule="auto"/>
        <w:tabs>
          <w:tab w:leader="none" w:pos="108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6"/>
          <w:szCs w:val="16"/>
          <w:color w:val="auto"/>
        </w:rPr>
      </w:pPr>
    </w:p>
    <w:p>
      <w:pPr>
        <w:ind w:right="300" w:firstLine="457"/>
        <w:spacing w:after="0" w:line="331" w:lineRule="auto"/>
        <w:tabs>
          <w:tab w:leader="none" w:pos="6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Floating Rate Capital Ltd., certify that:</w:t>
      </w:r>
    </w:p>
    <w:p>
      <w:pPr>
        <w:spacing w:after="0" w:line="1" w:lineRule="exact"/>
        <w:rPr>
          <w:sz w:val="20"/>
          <w:szCs w:val="20"/>
          <w:color w:val="auto"/>
        </w:rPr>
      </w:pPr>
    </w:p>
    <w:p>
      <w:pPr>
        <w:ind w:left="640" w:hanging="18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400" w:firstLine="457"/>
        <w:spacing w:after="0" w:line="259"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139" w:lineRule="exact"/>
        <w:rPr>
          <w:rFonts w:ascii="Arial" w:cs="Arial" w:eastAsia="Arial" w:hAnsi="Arial"/>
          <w:sz w:val="18"/>
          <w:szCs w:val="18"/>
          <w:color w:val="auto"/>
        </w:rPr>
      </w:pPr>
    </w:p>
    <w:p>
      <w:pPr>
        <w:ind w:right="120" w:firstLine="906"/>
        <w:spacing w:after="0" w:line="259" w:lineRule="auto"/>
        <w:tabs>
          <w:tab w:leader="none" w:pos="10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60" w:firstLine="906"/>
        <w:spacing w:after="0" w:line="331" w:lineRule="auto"/>
        <w:tabs>
          <w:tab w:leader="none" w:pos="1079"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60" w:firstLine="906"/>
        <w:spacing w:after="0" w:line="331" w:lineRule="auto"/>
        <w:tabs>
          <w:tab w:leader="none" w:pos="1088"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6"/>
          <w:szCs w:val="16"/>
          <w:color w:val="auto"/>
        </w:rPr>
      </w:pPr>
    </w:p>
    <w:p>
      <w:pPr>
        <w:ind w:right="300" w:firstLine="457"/>
        <w:spacing w:after="0" w:line="331" w:lineRule="auto"/>
        <w:tabs>
          <w:tab w:leader="none" w:pos="6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2011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9, 2012</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right="20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2011 (the “Report”) of PennantPark Floating Rate Capital Ltd.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9, 2012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lvl w:ilvl="1">
      <w:lvlJc w:val="left"/>
      <w:lvlText w:val="(%2)"/>
      <w:numFmt w:val="lowerLetter"/>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upperLetter"/>
      <w:start w:val="2"/>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2020-05-05T12:05:47Z</dcterms:created>
  <dcterms:modified xsi:type="dcterms:W3CDTF">2020-05-05T12:05:47Z</dcterms:modified>
</cp:coreProperties>
</file>