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21, 2024, PennantPark Floating Rate Capital Ltd. issued a press release a copy of which is furnished as Exhibit 99.1 to this Form 8-K.</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420" w:right="9340" w:hanging="412"/>
        <w:spacing w:after="0" w:line="461" w:lineRule="auto"/>
        <w:tabs>
          <w:tab w:leader="none" w:pos="27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20" w:right="8440" w:hanging="412"/>
        <w:spacing w:after="0" w:line="453"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20" w:right="8820" w:hanging="412"/>
        <w:spacing w:after="0" w:line="461"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dated May 21,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510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2024</w:t>
            </w:r>
          </w:p>
        </w:tc>
        <w:tc>
          <w:tcPr>
            <w:tcW w:w="510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PennantPark Floating Rate Capital Ltd.’s Unconsolidated Joint Venture, PennantPark Senior Secured Loan Fund I LLC Completes the Refinancing of $300.7 Million CLO, Marking Continued Support of PennantPark’s Middle Market CLO Platform</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MIAMI, May 21, 2024 (GLOBE NEWSWIRE) -- PennantPark Floating Rate Capital Ltd.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(NYSE: PFLT) today announced that PennantPark Senior Secured Loan Fund I LLC (“</w:t>
      </w:r>
      <w:r>
        <w:rPr>
          <w:rFonts w:ascii="Times New Roman" w:cs="Times New Roman" w:eastAsia="Times New Roman" w:hAnsi="Times New Roman"/>
          <w:sz w:val="22"/>
          <w:szCs w:val="22"/>
          <w:i w:val="1"/>
          <w:iCs w:val="1"/>
          <w:color w:val="auto"/>
        </w:rPr>
        <w:t>PSSL</w:t>
      </w:r>
      <w:r>
        <w:rPr>
          <w:rFonts w:ascii="Times New Roman" w:cs="Times New Roman" w:eastAsia="Times New Roman" w:hAnsi="Times New Roman"/>
          <w:sz w:val="22"/>
          <w:szCs w:val="22"/>
          <w:color w:val="auto"/>
        </w:rPr>
        <w:t>”) through PSSL’s wholly-owned and consolidated subsidiary, PennantPark CLO II, Ltd (“</w:t>
      </w:r>
      <w:r>
        <w:rPr>
          <w:rFonts w:ascii="Times New Roman" w:cs="Times New Roman" w:eastAsia="Times New Roman" w:hAnsi="Times New Roman"/>
          <w:sz w:val="22"/>
          <w:szCs w:val="22"/>
          <w:i w:val="1"/>
          <w:iCs w:val="1"/>
          <w:color w:val="auto"/>
        </w:rPr>
        <w:t>CLO II</w:t>
      </w:r>
      <w:r>
        <w:rPr>
          <w:rFonts w:ascii="Times New Roman" w:cs="Times New Roman" w:eastAsia="Times New Roman" w:hAnsi="Times New Roman"/>
          <w:sz w:val="22"/>
          <w:szCs w:val="22"/>
          <w:color w:val="auto"/>
        </w:rPr>
        <w:t>”) has closed the refinancing of a four-year reinvestment period, twelve-year final maturity $300.7 million debt securitization in the form of a collateralized loan obligation (“</w:t>
      </w:r>
      <w:r>
        <w:rPr>
          <w:rFonts w:ascii="Times New Roman" w:cs="Times New Roman" w:eastAsia="Times New Roman" w:hAnsi="Times New Roman"/>
          <w:sz w:val="22"/>
          <w:szCs w:val="22"/>
          <w:i w:val="1"/>
          <w:iCs w:val="1"/>
          <w:color w:val="auto"/>
        </w:rPr>
        <w:t>CLO</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debt issued in the CLO (the “</w:t>
      </w:r>
      <w:r>
        <w:rPr>
          <w:rFonts w:ascii="Times New Roman" w:cs="Times New Roman" w:eastAsia="Times New Roman" w:hAnsi="Times New Roman"/>
          <w:sz w:val="22"/>
          <w:szCs w:val="22"/>
          <w:i w:val="1"/>
          <w:iCs w:val="1"/>
          <w:color w:val="auto"/>
        </w:rPr>
        <w:t>Debt</w:t>
      </w:r>
      <w:r>
        <w:rPr>
          <w:rFonts w:ascii="Times New Roman" w:cs="Times New Roman" w:eastAsia="Times New Roman" w:hAnsi="Times New Roman"/>
          <w:sz w:val="22"/>
          <w:szCs w:val="22"/>
          <w:color w:val="auto"/>
        </w:rPr>
        <w:t>”) is structured in the following manner: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2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Par Amount</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 of Capital</w:t>
            </w:r>
          </w:p>
        </w:tc>
        <w:tc>
          <w:tcPr>
            <w:tcW w:w="2140" w:type="dxa"/>
            <w:vAlign w:val="bottom"/>
          </w:tcPr>
          <w:p>
            <w:pPr>
              <w:spacing w:after="0"/>
              <w:rPr>
                <w:sz w:val="22"/>
                <w:szCs w:val="22"/>
                <w:color w:val="auto"/>
              </w:rPr>
            </w:pP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8"/>
              </w:rPr>
              <w:t>Expected Rating</w:t>
            </w:r>
          </w:p>
        </w:tc>
        <w:tc>
          <w:tcPr>
            <w:tcW w:w="1820" w:type="dxa"/>
            <w:vAlign w:val="bottom"/>
          </w:tcPr>
          <w:p>
            <w:pPr>
              <w:spacing w:after="0"/>
              <w:rPr>
                <w:sz w:val="22"/>
                <w:szCs w:val="22"/>
                <w:color w:val="auto"/>
              </w:rPr>
            </w:pPr>
          </w:p>
        </w:tc>
      </w:tr>
      <w:tr>
        <w:trPr>
          <w:trHeight w:val="283"/>
        </w:trPr>
        <w:tc>
          <w:tcPr>
            <w:tcW w:w="18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2"/>
                <w:szCs w:val="22"/>
                <w:color w:val="auto"/>
              </w:rPr>
              <w:t>Class</w:t>
            </w:r>
          </w:p>
        </w:tc>
        <w:tc>
          <w:tcPr>
            <w:tcW w:w="2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 in millions)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Structure</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Coupon</w:t>
            </w:r>
          </w:p>
        </w:tc>
        <w:tc>
          <w:tcPr>
            <w:tcW w:w="18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22"/>
                <w:szCs w:val="22"/>
                <w:color w:val="auto"/>
                <w:w w:val="99"/>
              </w:rPr>
              <w:t>(S&amp;P)</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Issuance Price</w:t>
            </w:r>
          </w:p>
        </w:tc>
      </w:tr>
      <w:tr>
        <w:trPr>
          <w:trHeight w:val="250"/>
        </w:trPr>
        <w:tc>
          <w:tcPr>
            <w:tcW w:w="18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A-1-R Loans</w:t>
            </w:r>
          </w:p>
        </w:tc>
        <w:tc>
          <w:tcPr>
            <w:tcW w:w="2160" w:type="dxa"/>
            <w:vAlign w:val="bottom"/>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$103,000,000</w:t>
            </w:r>
          </w:p>
        </w:tc>
        <w:tc>
          <w:tcPr>
            <w:tcW w:w="146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8"/>
              </w:rPr>
              <w:t>34.3%</w:t>
            </w:r>
          </w:p>
        </w:tc>
        <w:tc>
          <w:tcPr>
            <w:tcW w:w="214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9"/>
              </w:rPr>
              <w:t>3 Mo SOFR + 1.93%</w:t>
            </w:r>
          </w:p>
        </w:tc>
        <w:tc>
          <w:tcPr>
            <w:tcW w:w="1800" w:type="dxa"/>
            <w:vAlign w:val="bottom"/>
          </w:tcPr>
          <w:p>
            <w:pPr>
              <w:jc w:val="center"/>
              <w:ind w:right="52"/>
              <w:spacing w:after="0" w:line="250" w:lineRule="exact"/>
              <w:rPr>
                <w:sz w:val="20"/>
                <w:szCs w:val="20"/>
                <w:color w:val="auto"/>
              </w:rPr>
            </w:pPr>
            <w:r>
              <w:rPr>
                <w:rFonts w:ascii="Times New Roman" w:cs="Times New Roman" w:eastAsia="Times New Roman" w:hAnsi="Times New Roman"/>
                <w:sz w:val="22"/>
                <w:szCs w:val="22"/>
                <w:color w:val="auto"/>
              </w:rPr>
              <w:t>AAA</w:t>
            </w:r>
          </w:p>
        </w:tc>
        <w:tc>
          <w:tcPr>
            <w:tcW w:w="182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A-1-R Notes</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71,000,000</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23.6%</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+ 1.93%</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rPr>
              <w:t>AAA</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A-2-R Notes</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5,000,000</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1.7%</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+ 2.20%</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rPr>
              <w:t>AAA</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B-R Notes</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25,000,000</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8.3%</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+ 2.35%</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rPr>
              <w:t>AA</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C-R Notes</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24,000,000</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8.0%</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+ 3.10%</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rPr>
              <w:t>A</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D-R Notes</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18,000,000</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6.0%</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+ 4.95%</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rPr>
              <w:t>BBB-</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E-R Notes</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18,000,000</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6.0%</w:t>
            </w:r>
          </w:p>
        </w:tc>
        <w:tc>
          <w:tcPr>
            <w:tcW w:w="2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+ 7.50%</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8"/>
              </w:rPr>
              <w:t>BB-</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N/A</w:t>
            </w:r>
          </w:p>
        </w:tc>
      </w:tr>
      <w:tr>
        <w:trPr>
          <w:trHeight w:val="283"/>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Preferred Shares</w:t>
            </w:r>
          </w:p>
        </w:tc>
        <w:tc>
          <w:tcPr>
            <w:tcW w:w="2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36,700,000</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12.1%</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N/A</w:t>
            </w:r>
          </w:p>
        </w:tc>
        <w:tc>
          <w:tcPr>
            <w:tcW w:w="18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w w:val="98"/>
              </w:rPr>
              <w:t>NR</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N/A</w:t>
            </w:r>
          </w:p>
        </w:tc>
      </w:tr>
      <w:tr>
        <w:trPr>
          <w:trHeight w:val="277"/>
        </w:trPr>
        <w:tc>
          <w:tcPr>
            <w:tcW w:w="1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$300,700,000</w:t>
            </w:r>
          </w:p>
        </w:tc>
        <w:tc>
          <w:tcPr>
            <w:tcW w:w="1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1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track record and high quality loan portfolio have combined to create a market-leading cost of capital for our platform and a lower cost of debt capital for PFLT and PSSL,” said Arthur Penn, Chief Executive Officer. “We are particularly pleased to enhance the strong capital position of our platform and to participate in today’s excellent vintage of opportunities. PennantPark currently manages approximately $2.8 billion in CLO middle market assets, and we look forward to continued growth with the support of our current and new investors.”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PSSL will continue to retain the Preferred Shares and Class E-R Notes through a consolidated subsidiary. The maturity of the replacement Debt is now extended to April 2036. The replacement Debt is expected to be approximately 100% funded at close. In addition, PSSL continues to act as retention holder in the transaction to retain exposure to the performance of the securitized assets. Capital One Securities, Inc. acted as the Initial Purchaser and Lead Placement Agent, and GreensLedge Capital Markets LLC acted as Co Placement Agent on the CLO refinancing transaction.</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notes offered as part of the term debt securitization have not been and will not be registered under the Securities Act of 1933, as amended (the “</w:t>
      </w:r>
      <w:r>
        <w:rPr>
          <w:rFonts w:ascii="Times New Roman" w:cs="Times New Roman" w:eastAsia="Times New Roman" w:hAnsi="Times New Roman"/>
          <w:sz w:val="21"/>
          <w:szCs w:val="21"/>
          <w:i w:val="1"/>
          <w:iCs w:val="1"/>
          <w:color w:val="auto"/>
        </w:rPr>
        <w:t>Securities Act</w:t>
      </w:r>
      <w:r>
        <w:rPr>
          <w:rFonts w:ascii="Times New Roman" w:cs="Times New Roman" w:eastAsia="Times New Roman" w:hAnsi="Times New Roman"/>
          <w:sz w:val="21"/>
          <w:szCs w:val="21"/>
          <w:color w:val="auto"/>
        </w:rPr>
        <w:t>”), or any state “blue sky” laws, and may not be offered or sold in the United States absent registration under Section 5 of the Securities Act or an applicable exemption from such registration requirements. The CLO is a form of secured financing incurred and consolidated by PSSL. This press release shall not constitute an offer to sell or a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 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SENIOR SECURED LOAN FUND I LLC</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Senior Secured Loan Fund I LLC, is a joint venture between PennantPark Floating Rate Capital Ltd. and a subsidiary of Kemper Corporation (NYSE: KMPR), Trinity Universal Insurance Company, and primarily invests in U.S. middle market companies whose debt is rated below investment grade.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is a leading middle market credit platform, managing approximately $7.5 billion of investable capital, including available leverage. Since its inception in 2007, PennantPark has provided investors access to middle market credit by offering private equity firms and their portfolio companies as well as other middle market borrowers a comprehensive range of creative and flexible financing solutions. PennantPark is headquartered in Miami, and has offices in New York, Chicago, Houston, Los Angeles and Amsterdam.</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(the “</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2024-05-21T16:11:58Z</dcterms:created>
  <dcterms:modified xsi:type="dcterms:W3CDTF">2024-05-21T16:11:58Z</dcterms:modified>
</cp:coreProperties>
</file>