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0125.htm"/>
      <w:bookmarkStart w:id="1" w:name="ksf8k_0701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July 2, 2025, PennantPark Floating Rate Capital Ltd. issued a press release announcing its monthly distribution. A copy of the press release is furnished as Exhibit 99.1 to this Form 8-K.</w:t>
      </w:r>
    </w:p>
    <w:p>
      <w:pPr>
        <w:pStyle w:val="TextBody"/>
        <w:bidi w:val="0"/>
        <w:spacing w:before="0" w:after="0"/>
        <w:ind w:left="0" w:right="0" w:hanging="1"/>
        <w:jc w:val="left"/>
        <w:rPr/>
      </w:pPr>
      <w:r>
        <w:rPr/>
        <w:t> </w:t>
      </w:r>
    </w:p>
    <w:p>
      <w:pPr>
        <w:pStyle w:val="TextBody"/>
        <w:bidi w:val="0"/>
        <w:spacing w:before="0" w:after="0"/>
        <w:ind w:left="0" w:right="0" w:hanging="1"/>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rStyle w:val="StrongEmphasis"/>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w:t>
      </w:r>
      <w:r>
        <w:rPr>
          <w:sz w:val="20"/>
        </w:rPr>
        <w:t xml:space="preserve"> </w:t>
      </w:r>
      <w:r>
        <w:rPr>
          <w:rStyle w:val="StrongEmphasis"/>
          <w:sz w:val="20"/>
        </w:rPr>
        <w:t>Financial statements:</w:t>
      </w:r>
    </w:p>
    <w:p>
      <w:pPr>
        <w:pStyle w:val="TextBody"/>
        <w:bidi w:val="0"/>
        <w:spacing w:before="0" w:after="0"/>
        <w:ind w:left="1011" w:right="0" w:hanging="0"/>
        <w:jc w:val="left"/>
        <w:rPr>
          <w:sz w:val="20"/>
        </w:rPr>
      </w:pPr>
      <w:r>
        <w:rPr>
          <w:sz w:val="20"/>
        </w:rPr>
        <w:t>None</w:t>
      </w:r>
    </w:p>
    <w:p>
      <w:pPr>
        <w:pStyle w:val="TextBody"/>
        <w:bidi w:val="0"/>
        <w:spacing w:before="0" w:after="0"/>
        <w:jc w:val="left"/>
        <w:rPr>
          <w:b/>
          <w:sz w:val="20"/>
        </w:rPr>
      </w:pPr>
      <w:r>
        <w:rPr>
          <w:b/>
          <w:sz w:val="20"/>
        </w:rPr>
        <w:t>(b) Pro forma financial information:</w:t>
      </w:r>
    </w:p>
    <w:p>
      <w:pPr>
        <w:pStyle w:val="TextBody"/>
        <w:bidi w:val="0"/>
        <w:spacing w:before="0" w:after="0"/>
        <w:ind w:left="1011" w:right="0" w:hanging="0"/>
        <w:jc w:val="left"/>
        <w:rPr>
          <w:sz w:val="20"/>
        </w:rPr>
      </w:pPr>
      <w:r>
        <w:rPr>
          <w:sz w:val="20"/>
        </w:rPr>
        <w:t>None</w:t>
      </w:r>
    </w:p>
    <w:p>
      <w:pPr>
        <w:pStyle w:val="TextBody"/>
        <w:bidi w:val="0"/>
        <w:spacing w:before="0" w:after="0"/>
        <w:jc w:val="left"/>
        <w:rPr>
          <w:b/>
          <w:sz w:val="20"/>
        </w:rPr>
      </w:pPr>
      <w:r>
        <w:rPr>
          <w:b/>
          <w:sz w:val="20"/>
        </w:rPr>
        <w:t>(c) Shell company transactions:</w:t>
      </w:r>
    </w:p>
    <w:p>
      <w:pPr>
        <w:pStyle w:val="TextBody"/>
        <w:bidi w:val="0"/>
        <w:spacing w:before="0" w:after="0"/>
        <w:ind w:left="1011" w:right="0" w:hanging="0"/>
        <w:jc w:val="left"/>
        <w:rPr>
          <w:sz w:val="20"/>
        </w:rPr>
      </w:pPr>
      <w:r>
        <w:rPr>
          <w:sz w:val="20"/>
        </w:rPr>
        <w:t>None</w:t>
      </w:r>
    </w:p>
    <w:p>
      <w:pPr>
        <w:pStyle w:val="TextBody"/>
        <w:bidi w:val="0"/>
        <w:spacing w:before="0" w:after="0"/>
        <w:jc w:val="left"/>
        <w:rPr>
          <w:b/>
          <w:sz w:val="20"/>
        </w:rPr>
      </w:pPr>
      <w:r>
        <w:rPr>
          <w:b/>
          <w:sz w:val="20"/>
        </w:rPr>
        <w:t>(d) Exhibits</w:t>
      </w:r>
    </w:p>
    <w:tbl>
      <w:tblPr>
        <w:tblW w:w="6970" w:type="dxa"/>
        <w:jc w:val="left"/>
        <w:tblInd w:w="0" w:type="dxa"/>
        <w:tblLayout w:type="fixed"/>
        <w:tblCellMar>
          <w:top w:w="0" w:type="dxa"/>
          <w:left w:w="0" w:type="dxa"/>
          <w:bottom w:w="0" w:type="dxa"/>
          <w:right w:w="0" w:type="dxa"/>
        </w:tblCellMar>
      </w:tblPr>
      <w:tblGrid>
        <w:gridCol w:w="60"/>
        <w:gridCol w:w="380"/>
        <w:gridCol w:w="60"/>
        <w:gridCol w:w="64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July 2, 2025</w:t>
              </w:r>
            </w:hyperlink>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899" w:type="dxa"/>
        <w:jc w:val="left"/>
        <w:tblInd w:w="0" w:type="dxa"/>
        <w:tblLayout w:type="fixed"/>
        <w:tblCellMar>
          <w:top w:w="0" w:type="dxa"/>
          <w:left w:w="0" w:type="dxa"/>
          <w:bottom w:w="0" w:type="dxa"/>
          <w:right w:w="0" w:type="dxa"/>
        </w:tblCellMar>
      </w:tblPr>
      <w:tblGrid>
        <w:gridCol w:w="1505"/>
        <w:gridCol w:w="383"/>
        <w:gridCol w:w="3011"/>
      </w:tblGrid>
      <w:tr>
        <w:trPr/>
        <w:tc>
          <w:tcPr>
            <w:tcW w:w="150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5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20"/>
              </w:rPr>
            </w:pPr>
            <w:r>
              <w:rPr>
                <w:sz w:val="20"/>
              </w:rPr>
              <w:t>Date: July 2,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5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5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July 02, 2025 (GLOBE NEWSWIRE) -- PennantPark Floating Rate Capital Ltd. (the "Company") (NYSE: PFLT) declares its monthly distribution for July 2025 of $0.1025 per share, payable on August 1, 2025 to stockholders of record as of July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1330</Words>
  <Characters>7607</Characters>
  <CharactersWithSpaces>8895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