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25"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8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200" w:right="80" w:hanging="598"/>
        <w:spacing w:after="0" w:line="277" w:lineRule="auto"/>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92"/>
        <w:spacing w:after="0" w:line="298" w:lineRule="auto"/>
        <w:tabs>
          <w:tab w:leader="none" w:pos="6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-2720340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-2454275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-2051050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-1785620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-1519555</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-704850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-438785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-173355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92075</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220" w:right="5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205803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71805"/>
                    </a:xfrm>
                    <a:prstGeom prst="rect">
                      <a:avLst/>
                    </a:prstGeom>
                    <a:noFill/>
                  </pic:spPr>
                </pic:pic>
              </a:graphicData>
            </a:graphic>
          </wp:anchor>
        </w:drawing>
        <w:t>December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You are cordially invited to attend the 2019 Annual Meeting of Stockholders of PennantPark Floating Rate Capital Ltd. (“PFLT” or the “Company”) to be held on February 5, 2019 at 9:45 a.m., Eastern Time, at the offices of Dechert LLP, located at 1095 Avenue of the Americas, New York, New York.</w:t>
      </w:r>
    </w:p>
    <w:p>
      <w:pPr>
        <w:spacing w:after="0" w:line="124"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The Notice of Annual Meeting of Stockholders and the Proxy Statement of the Company, which is accessible on the Internet or by request, provides an outline of the business to be conducted at the Annual Meeting of Stockholders. At the meeting, you will be asked to: (1) elect two directors of the Company and (2) ratify the selection of RSM US LLP to serve as the Company’s independent registered public accounting firm for the fiscal year ending September 30, 2019. I will also report on the progress of the Company during the past year and respond to stockholders’ questions.</w:t>
      </w:r>
    </w:p>
    <w:p>
      <w:pPr>
        <w:spacing w:after="0" w:line="171" w:lineRule="exact"/>
        <w:rPr>
          <w:sz w:val="20"/>
          <w:szCs w:val="20"/>
          <w:color w:val="auto"/>
        </w:rPr>
      </w:pPr>
    </w:p>
    <w:p>
      <w:pPr>
        <w:ind w:right="20" w:firstLine="598"/>
        <w:spacing w:after="0" w:line="262" w:lineRule="auto"/>
        <w:rPr>
          <w:sz w:val="20"/>
          <w:szCs w:val="20"/>
          <w:color w:val="auto"/>
        </w:rPr>
      </w:pPr>
      <w:r>
        <w:rPr>
          <w:rFonts w:ascii="Arial" w:cs="Arial" w:eastAsia="Arial" w:hAnsi="Arial"/>
          <w:sz w:val="18"/>
          <w:szCs w:val="18"/>
          <w:color w:val="auto"/>
        </w:rPr>
        <w:t>It is important that your shares be represented at the Annual Meeting of Stockholders. If you are unable to attend the meeting in person, I urge stockholders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vote your proxy by returning your proxy card to us after you request the hard copy materials. If you hold your shares through a TASE member, please follow the voting instructions in the Proxy Statement, which are otherwise different to that of other stockholders.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2" w:name="page3"/>
    <w:bookmarkEnd w:id="2"/>
    <w:p>
      <w:pPr>
        <w:ind w:left="36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5, 2019</w:t>
      </w:r>
    </w:p>
    <w:p>
      <w:pPr>
        <w:spacing w:after="0" w:line="9"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December 6, 2018</w:t>
      </w:r>
    </w:p>
    <w:p>
      <w:pPr>
        <w:spacing w:after="0" w:line="234"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Notice is hereby given to the owners of shares of common stock (the “Stockholders”) of PennantPark Floating Rate Capital Ltd. (“PFLT” or the “Company”) that: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2019 Annual Meeting of Stockholders of the Company (the “Annual Meeting”) will be held at the offices of Dechert LLP, located at 1095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Avenue of the Americas, New York, New York, on February 5, 2019 at 9:45 a.m., Eastern Time, for the following purposes:</w:t>
      </w:r>
    </w:p>
    <w:p>
      <w:pPr>
        <w:spacing w:after="0" w:line="103" w:lineRule="exact"/>
        <w:rPr>
          <w:sz w:val="20"/>
          <w:szCs w:val="20"/>
          <w:color w:val="auto"/>
        </w:rPr>
      </w:pPr>
    </w:p>
    <w:p>
      <w:pPr>
        <w:ind w:left="1200" w:right="8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the Board of Directors of the Company, who will each serve until the 2022 annual meeting of stockholders and until his successor is duly elected and qualifies; and</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w:t>
      </w:r>
    </w:p>
    <w:p>
      <w:pPr>
        <w:spacing w:after="0" w:line="170"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You have the right to receive notice of, and to vote at, the Annual Meeting if you were a stockholder of record of the Company at the close of business on November 19, 2018.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73"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8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47" w:lineRule="exact"/>
        <w:rPr>
          <w:sz w:val="20"/>
          <w:szCs w:val="20"/>
          <w:color w:val="auto"/>
        </w:rPr>
      </w:pPr>
    </w:p>
    <w:p>
      <w:pPr>
        <w:jc w:val="both"/>
        <w:ind w:left="140" w:right="160"/>
        <w:spacing w:after="0" w:line="314"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-454660</wp:posOffset>
            </wp:positionV>
            <wp:extent cx="724662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ind w:left="36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9" w:lineRule="exact"/>
        <w:rPr>
          <w:rFonts w:ascii="Arial" w:cs="Arial" w:eastAsia="Arial" w:hAnsi="Arial"/>
          <w:sz w:val="18"/>
          <w:szCs w:val="18"/>
          <w:b w:val="1"/>
          <w:bCs w:val="1"/>
          <w:color w:val="auto"/>
        </w:rPr>
      </w:pPr>
    </w:p>
    <w:p>
      <w:pPr>
        <w:ind w:left="5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February 5, 2019</w:t>
      </w:r>
    </w:p>
    <w:p>
      <w:pPr>
        <w:spacing w:after="0" w:line="211"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4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PennantPark Floating Rate Capital Ltd. (“PFLT”, the “Company,” “we,” “us” or “our”) for use at the Company’s 2019 Annual Meeting of Stockholders (the “Meeting”) to be held on Tuesday, February 5, 2019 at 9:45 a.m., Eastern Time, at the offices of Dechert LLP, located at 1095 Avenue of the Americas, New York, New York, and at any postponements or adjournments thereof. This Proxy Statement and the Company’s Annual Report for the fiscal year ended September 30, 2018 are being provided to the stockholders thereof (the “Stockholders”) via the Internet on or about December 10, 2018. In addition, a Notice of Annual Meeting and a Notice of Internet Availability of Proxy Materials are being sent to Stockholders of record of the Company as of November 19, 2018 (the “Record Date”).</w:t>
      </w:r>
    </w:p>
    <w:p>
      <w:pPr>
        <w:spacing w:after="0" w:line="165"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71"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239" w:lineRule="exact"/>
        <w:rPr>
          <w:sz w:val="20"/>
          <w:szCs w:val="20"/>
          <w:color w:val="auto"/>
        </w:rPr>
      </w:pPr>
    </w:p>
    <w:p>
      <w:pPr>
        <w:ind w:left="1200" w:right="8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to the Board, who will each serve until the 2022 annual meeting of stockholders and until his successor is duly elected and qualifies (“Proposal 1”); and</w:t>
      </w:r>
    </w:p>
    <w:p>
      <w:pPr>
        <w:spacing w:after="0" w:line="62"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 (“Proposal 2”).</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You may vote your shares at the Meeting only if you were a Stockholder of record of the Company at the close of business on November 19, 2018. There were 38,772,074 shares of the Company’s common stock (the “Common Stock”) outstanding on the Record Date. Stockholders are entitled to one vote for each share of Common Stock held.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For the Company to conduct business at the Meeting, a quorum of Stockholders for the Company must be present at the Meeting. The presence at the Meeting, in person or by proxy, of the holders of a majority of the shares of Common Stock of the Company outstanding on the Record Date will constitute a quorum of the Company. Abstentions and Broker Non-Votes (as defined below) will be treated as shares present at the Meeting for quorum purposes. If there are not enough votes for a quorum of the Company, the chairman of the Meeting will adjourn the Meeting to permit the further solicitation of proxies.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160" w:firstLine="598"/>
        <w:spacing w:after="0" w:line="259" w:lineRule="auto"/>
        <w:rPr>
          <w:sz w:val="20"/>
          <w:szCs w:val="20"/>
          <w:color w:val="auto"/>
        </w:rPr>
      </w:pPr>
      <w:r>
        <w:rPr>
          <w:rFonts w:ascii="Arial" w:cs="Arial" w:eastAsia="Arial" w:hAnsi="Arial"/>
          <w:sz w:val="18"/>
          <w:szCs w:val="18"/>
          <w:color w:val="auto"/>
        </w:rPr>
        <w:t>The election of a director to the Board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The affirmative vote of a majority of the votes cast at the Meeting in person or by proxy is required to ratify the appointment of RSM US LLP to serve as the Company’s independent registered public accounting firm. Abstentions will not be included in determining the number of votes cast and, as a result, will have no effect on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w:t>
      </w:r>
    </w:p>
    <w:p>
      <w:pPr>
        <w:spacing w:after="0" w:line="183"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Accordingly, if you are a Stockholder and you do not vote or give your Broker specific instructions on how to vote for you, your shares will have no effect on the result of Proposal 1.</w:t>
      </w:r>
    </w:p>
    <w:p>
      <w:pPr>
        <w:spacing w:after="0" w:line="166"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If there appears not to be enough votes to approve a proposal at the Meeting, the chairman of the Meeting may adjourn the Meeting to permit further solicitation of proxies.</w:t>
      </w:r>
    </w:p>
    <w:p>
      <w:pPr>
        <w:spacing w:after="0" w:line="170"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We will bear the expense of the solicitation of proxies for the Meeting, including the portion of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combine any mailings for multiple accounts going to a single household, which is commonly referred to as “householding,” by delivering to that address a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transmission by directors or officers of the Company, officers or employees of PennantPark Investment Advisers, LLC, our investment adviser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“Adviser”), PennantPark Investment Administration, LLC, our administrator (the “Administrator”), and/or by a retained solicitor. No additional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paid to such directors, officers or regular employees for such services. If we retain a solicitor, we have estimated that we will pay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 for such services. If we engage a solicitor, you could be contacted by telephone on behalf of the Company and be urged to vote. The solicitor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attempt to influence how you vote your shares, but will only ask that you take the time to cast a vote. You may also be asked if you would like to vote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telephone and to have your vote transmitted to our proxy tabulation firm. The address of each of the Adviser and the Administrator is 590 Madison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1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 xml:space="preserve">Stockholders, other than those who hold shares through a Tel Aviv Stock Exchange (“TASE”) member,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205"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If your shares of Common Stock are held by a TASE member, please complete, sign and date the form of proxy card that we filed via MAGNA and attach to it an ownership certificate from the TASE member through which your shares are registered (i.e., your broker, bank or other nominee) indicating that you were the beneficial owner of the shares on November 19, 2018, the record date for voting, and return the proxy card along with the ownership certificate, to the Company’s Israeli counsel, Goldfarb Seligman &amp; Co., c/o Daniel Kahn, 98 Yigal Alon Street, 36th Floor, Tel Aviv 6789141, Israel (email: daniel.kahn@goldfarb.com). The proxy card and ownership certificate must be received no later than January 31, 2019, to be included in the tally of shares voted.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 w:name="page7"/>
    <w:bookmarkEnd w:id="6"/>
    <w:p>
      <w:pPr>
        <w:ind w:right="100" w:firstLine="598"/>
        <w:spacing w:after="0" w:line="264" w:lineRule="auto"/>
        <w:rPr>
          <w:sz w:val="20"/>
          <w:szCs w:val="20"/>
          <w:color w:val="auto"/>
        </w:rPr>
      </w:pPr>
      <w:r>
        <w:rPr>
          <w:rFonts w:ascii="Arial" w:cs="Arial" w:eastAsia="Arial" w:hAnsi="Arial"/>
          <w:sz w:val="18"/>
          <w:szCs w:val="18"/>
          <w:color w:val="auto"/>
        </w:rPr>
        <w:t>If a Stockholder, other than those who hold shares through a TASE member,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If your shares of Common Stock are held by a TASE member, and you wish to participate in the Meeting, you need to bring an ownership certificate from the TASE member through which your shares are registered (i.e., your broker, bank or other nominee) indicating that you were the beneficial owner of the shares on November 19, 2018, the record date for voting.</w:t>
      </w:r>
    </w:p>
    <w:p>
      <w:pPr>
        <w:spacing w:after="0" w:line="18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Company’s Secretary on any business day before the date of the Meeting.</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5" w:right="3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the Company.</w:t>
      </w:r>
    </w:p>
    <w:p>
      <w:pPr>
        <w:spacing w:after="0" w:line="170"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70"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following table sets forth, as of December 3, 2018,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Name and address</w:t>
            </w:r>
            <w:r>
              <w:rPr>
                <w:rFonts w:ascii="Arial" w:cs="Arial" w:eastAsia="Arial" w:hAnsi="Arial"/>
                <w:sz w:val="12"/>
                <w:szCs w:val="12"/>
                <w:b w:val="1"/>
                <w:bCs w:val="1"/>
                <w:color w:val="auto"/>
                <w:w w:val="90"/>
              </w:rPr>
              <w:t>(1)</w:t>
            </w:r>
          </w:p>
        </w:tc>
        <w:tc>
          <w:tcPr>
            <w:tcW w:w="4500" w:type="dxa"/>
            <w:vAlign w:val="bottom"/>
            <w:vMerge w:val="restart"/>
          </w:tcPr>
          <w:p>
            <w:pPr>
              <w:spacing w:after="0"/>
              <w:rPr>
                <w:sz w:val="12"/>
                <w:szCs w:val="12"/>
                <w:color w:val="auto"/>
              </w:rPr>
            </w:pPr>
          </w:p>
        </w:tc>
        <w:tc>
          <w:tcPr>
            <w:tcW w:w="21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1040" w:type="dxa"/>
            <w:vAlign w:val="bottom"/>
            <w:gridSpan w:val="3"/>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84"/>
        </w:trPr>
        <w:tc>
          <w:tcPr>
            <w:tcW w:w="1280" w:type="dxa"/>
            <w:vAlign w:val="bottom"/>
            <w:tcBorders>
              <w:bottom w:val="single" w:sz="8" w:color="auto"/>
            </w:tcBorders>
            <w:gridSpan w:val="2"/>
            <w:vMerge w:val="continue"/>
          </w:tcPr>
          <w:p>
            <w:pPr>
              <w:spacing w:after="0"/>
              <w:rPr>
                <w:sz w:val="16"/>
                <w:szCs w:val="16"/>
                <w:color w:val="auto"/>
              </w:rPr>
            </w:pPr>
          </w:p>
        </w:tc>
        <w:tc>
          <w:tcPr>
            <w:tcW w:w="4500" w:type="dxa"/>
            <w:vAlign w:val="bottom"/>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040" w:type="dxa"/>
            <w:vAlign w:val="bottom"/>
            <w:gridSpan w:val="3"/>
          </w:tcPr>
          <w:p>
            <w:pPr>
              <w:ind w:left="200"/>
              <w:spacing w:after="0" w:line="125" w:lineRule="exact"/>
              <w:rPr>
                <w:sz w:val="20"/>
                <w:szCs w:val="20"/>
                <w:color w:val="auto"/>
              </w:rPr>
            </w:pPr>
            <w:r>
              <w:rPr>
                <w:rFonts w:ascii="Arial" w:cs="Arial" w:eastAsia="Arial" w:hAnsi="Arial"/>
                <w:sz w:val="14"/>
                <w:szCs w:val="14"/>
                <w:b w:val="1"/>
                <w:bCs w:val="1"/>
                <w:color w:val="auto"/>
              </w:rPr>
              <w:t>Owned</w:t>
            </w:r>
          </w:p>
        </w:tc>
        <w:tc>
          <w:tcPr>
            <w:tcW w:w="13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10"/>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Adam K. Bernstein</w:t>
            </w:r>
          </w:p>
        </w:tc>
        <w:tc>
          <w:tcPr>
            <w:tcW w:w="21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Record/Beneficial</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ind w:left="240"/>
              <w:spacing w:after="0"/>
              <w:rPr>
                <w:sz w:val="20"/>
                <w:szCs w:val="20"/>
                <w:color w:val="auto"/>
              </w:rPr>
            </w:pPr>
            <w:r>
              <w:rPr>
                <w:rFonts w:ascii="Arial" w:cs="Arial" w:eastAsia="Arial" w:hAnsi="Arial"/>
                <w:sz w:val="18"/>
                <w:szCs w:val="18"/>
                <w:color w:val="auto"/>
              </w:rPr>
              <w:t>Marshall Brozost</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Record/Beneficial</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Jeffrey Flug</w:t>
            </w:r>
          </w:p>
        </w:tc>
        <w:tc>
          <w:tcPr>
            <w:tcW w:w="21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Record/Beneficial</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ind w:left="240"/>
              <w:spacing w:after="0"/>
              <w:rPr>
                <w:sz w:val="20"/>
                <w:szCs w:val="20"/>
                <w:color w:val="auto"/>
              </w:rPr>
            </w:pPr>
            <w:r>
              <w:rPr>
                <w:rFonts w:ascii="Arial" w:cs="Arial" w:eastAsia="Arial" w:hAnsi="Arial"/>
                <w:sz w:val="18"/>
                <w:szCs w:val="18"/>
                <w:color w:val="auto"/>
              </w:rPr>
              <w:t>Samuel L. Katz</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Record/Beneficial</w:t>
            </w:r>
          </w:p>
        </w:tc>
        <w:tc>
          <w:tcPr>
            <w:tcW w:w="880" w:type="dxa"/>
            <w:vAlign w:val="bottom"/>
          </w:tcPr>
          <w:p>
            <w:pPr>
              <w:jc w:val="right"/>
              <w:spacing w:after="0"/>
              <w:rPr>
                <w:sz w:val="20"/>
                <w:szCs w:val="20"/>
                <w:color w:val="auto"/>
              </w:rPr>
            </w:pPr>
            <w:r>
              <w:rPr>
                <w:rFonts w:ascii="Arial" w:cs="Arial" w:eastAsia="Arial" w:hAnsi="Arial"/>
                <w:sz w:val="18"/>
                <w:szCs w:val="18"/>
                <w:color w:val="auto"/>
              </w:rPr>
              <w:t>147,100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Interested director</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ind w:left="2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Record/Beneficial</w:t>
            </w:r>
          </w:p>
        </w:tc>
        <w:tc>
          <w:tcPr>
            <w:tcW w:w="880" w:type="dxa"/>
            <w:vAlign w:val="bottom"/>
          </w:tcPr>
          <w:p>
            <w:pPr>
              <w:jc w:val="right"/>
              <w:spacing w:after="0"/>
              <w:rPr>
                <w:sz w:val="20"/>
                <w:szCs w:val="20"/>
                <w:color w:val="auto"/>
              </w:rPr>
            </w:pPr>
            <w:r>
              <w:rPr>
                <w:rFonts w:ascii="Arial" w:cs="Arial" w:eastAsia="Arial" w:hAnsi="Arial"/>
                <w:sz w:val="18"/>
                <w:szCs w:val="18"/>
                <w:color w:val="auto"/>
              </w:rPr>
              <w:t>184,709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Executive officer</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Aviv Efrat</w:t>
            </w:r>
          </w:p>
        </w:tc>
        <w:tc>
          <w:tcPr>
            <w:tcW w:w="2120" w:type="dxa"/>
            <w:vAlign w:val="bottom"/>
            <w:tcBorders>
              <w:bottom w:val="single" w:sz="8" w:color="CFF0FC"/>
            </w:tcBorders>
            <w:gridSpan w:val="2"/>
          </w:tcPr>
          <w:p>
            <w:pPr>
              <w:ind w:left="340"/>
              <w:spacing w:after="0"/>
              <w:rPr>
                <w:sz w:val="20"/>
                <w:szCs w:val="20"/>
                <w:color w:val="auto"/>
              </w:rPr>
            </w:pPr>
            <w:r>
              <w:rPr>
                <w:rFonts w:ascii="Arial" w:cs="Arial" w:eastAsia="Arial" w:hAnsi="Arial"/>
                <w:sz w:val="18"/>
                <w:szCs w:val="18"/>
                <w:color w:val="auto"/>
              </w:rPr>
              <w:t>Record/Beneficial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381,059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Mr. Penn is the Managing Member of the Adviser and may therefore be deemed to own beneficially the 184,709 shares held by the Adviser.</w:t>
      </w:r>
    </w:p>
    <w:p>
      <w:pPr>
        <w:spacing w:after="0" w:line="20" w:lineRule="exact"/>
        <w:rPr>
          <w:rFonts w:ascii="Arial" w:cs="Arial" w:eastAsia="Arial" w:hAnsi="Arial"/>
          <w:sz w:val="17"/>
          <w:szCs w:val="17"/>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3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Pursuant to Section 16(a) of the Securities Exchange Act of 1934, as amended (the “Exchange Act”), the Company’s directors and other executive officer and any persons holding more than 10% of the Company’s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other executive officer, the Company believes that, during the fiscal year ended September 30, 2018, all Section 16(a) filing requirements applicable to such persons were met in a timely manner.</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The following table sets forth the dollar range of (i) the Company’s Common Stock and (ii) the common stock of the Fund Complex beneficially owned by each of our directors as of December 3, 2018. Information as to beneficial ownership is based on information furnished to the Company by such persons. For purposes of this proxy statement, the term “Fund Complex” is defined to include the Company and PennantPark Investment Corporation (“PNNT”).</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 of the Company</w:t>
            </w:r>
          </w:p>
        </w:tc>
        <w:tc>
          <w:tcPr>
            <w:tcW w:w="3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 Range of the Common Stock of the</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Dollar Range of the Common Stock of</w:t>
            </w:r>
          </w:p>
        </w:tc>
        <w:tc>
          <w:tcPr>
            <w:tcW w:w="0" w:type="dxa"/>
            <w:vAlign w:val="bottom"/>
          </w:tcPr>
          <w:p>
            <w:pPr>
              <w:spacing w:after="0"/>
              <w:rPr>
                <w:sz w:val="1"/>
                <w:szCs w:val="1"/>
                <w:color w:val="auto"/>
              </w:rPr>
            </w:pPr>
          </w:p>
        </w:tc>
      </w:tr>
      <w:tr>
        <w:trPr>
          <w:trHeight w:val="158"/>
        </w:trPr>
        <w:tc>
          <w:tcPr>
            <w:tcW w:w="5220" w:type="dxa"/>
            <w:vAlign w:val="bottom"/>
            <w:gridSpan w:val="3"/>
            <w:vMerge w:val="continue"/>
          </w:tcPr>
          <w:p>
            <w:pPr>
              <w:spacing w:after="0"/>
              <w:rPr>
                <w:sz w:val="13"/>
                <w:szCs w:val="13"/>
                <w:color w:val="auto"/>
              </w:rPr>
            </w:pPr>
          </w:p>
        </w:tc>
        <w:tc>
          <w:tcPr>
            <w:tcW w:w="3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Company</w:t>
            </w:r>
            <w:r>
              <w:rPr>
                <w:rFonts w:ascii="Arial" w:cs="Arial" w:eastAsia="Arial" w:hAnsi="Arial"/>
                <w:sz w:val="12"/>
                <w:szCs w:val="12"/>
                <w:b w:val="1"/>
                <w:bCs w:val="1"/>
                <w:color w:val="auto"/>
                <w:w w:val="94"/>
              </w:rPr>
              <w:t>(1)</w:t>
            </w:r>
          </w:p>
        </w:tc>
        <w:tc>
          <w:tcPr>
            <w:tcW w:w="3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the Fund Complex</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Adam K. Bernstein</w:t>
            </w:r>
          </w:p>
        </w:tc>
        <w:tc>
          <w:tcPr>
            <w:tcW w:w="280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rPr>
              <w:t>$50,001 - $100,000</w:t>
            </w:r>
          </w:p>
        </w:tc>
        <w:tc>
          <w:tcPr>
            <w:tcW w:w="200" w:type="dxa"/>
            <w:vAlign w:val="bottom"/>
            <w:shd w:val="clear" w:color="auto" w:fill="CFF0FC"/>
          </w:tcPr>
          <w:p>
            <w:pPr>
              <w:spacing w:after="0"/>
              <w:rPr>
                <w:sz w:val="19"/>
                <w:szCs w:val="19"/>
                <w:color w:val="auto"/>
              </w:rPr>
            </w:pPr>
          </w:p>
        </w:tc>
        <w:tc>
          <w:tcPr>
            <w:tcW w:w="3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Arial" w:cs="Arial" w:eastAsia="Arial" w:hAnsi="Arial"/>
                <w:sz w:val="18"/>
                <w:szCs w:val="18"/>
                <w:color w:val="auto"/>
              </w:rPr>
              <w:t>Marshall Brozost</w:t>
            </w:r>
          </w:p>
        </w:tc>
        <w:tc>
          <w:tcPr>
            <w:tcW w:w="30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None</w:t>
            </w:r>
          </w:p>
        </w:tc>
        <w:tc>
          <w:tcPr>
            <w:tcW w:w="31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Jeffrey Flug</w:t>
            </w:r>
          </w:p>
        </w:tc>
        <w:tc>
          <w:tcPr>
            <w:tcW w:w="2800" w:type="dxa"/>
            <w:vAlign w:val="bottom"/>
            <w:shd w:val="clear" w:color="auto" w:fill="CFF0FC"/>
          </w:tcPr>
          <w:p>
            <w:pPr>
              <w:jc w:val="right"/>
              <w:ind w:right="575"/>
              <w:spacing w:after="0"/>
              <w:rPr>
                <w:sz w:val="20"/>
                <w:szCs w:val="20"/>
                <w:color w:val="auto"/>
              </w:rPr>
            </w:pPr>
            <w:r>
              <w:rPr>
                <w:rFonts w:ascii="Arial" w:cs="Arial" w:eastAsia="Arial" w:hAnsi="Arial"/>
                <w:sz w:val="18"/>
                <w:szCs w:val="18"/>
                <w:color w:val="auto"/>
              </w:rPr>
              <w:t>$100,001 - $500,000</w:t>
            </w:r>
          </w:p>
        </w:tc>
        <w:tc>
          <w:tcPr>
            <w:tcW w:w="200" w:type="dxa"/>
            <w:vAlign w:val="bottom"/>
            <w:shd w:val="clear" w:color="auto" w:fill="CFF0FC"/>
          </w:tcPr>
          <w:p>
            <w:pPr>
              <w:spacing w:after="0"/>
              <w:rPr>
                <w:sz w:val="19"/>
                <w:szCs w:val="19"/>
                <w:color w:val="auto"/>
              </w:rPr>
            </w:pPr>
          </w:p>
        </w:tc>
        <w:tc>
          <w:tcPr>
            <w:tcW w:w="3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Arial" w:cs="Arial" w:eastAsia="Arial" w:hAnsi="Arial"/>
                <w:sz w:val="18"/>
                <w:szCs w:val="18"/>
                <w:color w:val="auto"/>
              </w:rPr>
              <w:t>Samuel L. Katz</w:t>
            </w:r>
          </w:p>
        </w:tc>
        <w:tc>
          <w:tcPr>
            <w:tcW w:w="3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3160" w:type="dxa"/>
            <w:vAlign w:val="bottom"/>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Interested director</w:t>
            </w:r>
          </w:p>
        </w:tc>
        <w:tc>
          <w:tcPr>
            <w:tcW w:w="2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2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3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3160" w:type="dxa"/>
            <w:vAlign w:val="bottom"/>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 II and III directors will expire in 2021, 2022 and 2020, respectively. Each director will hold office for the term to which he is elected and until a successor is duly elected and qualifies.</w:t>
      </w:r>
    </w:p>
    <w:p>
      <w:pPr>
        <w:spacing w:after="0" w:line="18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A Stockholder can vote for, or withhold his or her vote from, any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its nominees will be unable or unwilling to serve.</w:t>
      </w:r>
    </w:p>
    <w:p>
      <w:pPr>
        <w:spacing w:after="0" w:line="183" w:lineRule="exact"/>
        <w:rPr>
          <w:sz w:val="20"/>
          <w:szCs w:val="20"/>
          <w:color w:val="auto"/>
        </w:rPr>
      </w:pPr>
    </w:p>
    <w:p>
      <w:pPr>
        <w:ind w:right="560" w:firstLine="598"/>
        <w:spacing w:after="0" w:line="282"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THE ELECTION OF THE NOMINEES NAMED IN THIS PROXY STATEMENT.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225"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66"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Each of Mr. Adam Bernstein and Mr. Jeffrey Flug has been nominated for election as a Class II director of the Company for a three-year term expiring in 2022. Neither Mr. Bernstein nor Mr. Flug is being proposed for election pursuant to any agreement or understanding between either Mr. Bernstein or Mr. Flug and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 of Office</w:t>
            </w:r>
          </w:p>
        </w:tc>
        <w:tc>
          <w:tcPr>
            <w:tcW w:w="1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Companies in Fund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Served</w:t>
            </w:r>
          </w:p>
        </w:tc>
        <w:tc>
          <w:tcPr>
            <w:tcW w:w="120" w:type="dxa"/>
            <w:vAlign w:val="bottom"/>
          </w:tcPr>
          <w:p>
            <w:pPr>
              <w:spacing w:after="0"/>
              <w:rPr>
                <w:sz w:val="14"/>
                <w:szCs w:val="14"/>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Past 5 Years</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by Director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41"/>
        </w:trPr>
        <w:tc>
          <w:tcPr>
            <w:tcW w:w="22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Independent Directors</w:t>
            </w: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60" w:type="dxa"/>
            <w:vAlign w:val="bottom"/>
          </w:tcPr>
          <w:p>
            <w:pPr>
              <w:spacing w:after="0"/>
              <w:rPr>
                <w:sz w:val="20"/>
                <w:szCs w:val="20"/>
                <w:color w:val="auto"/>
              </w:rPr>
            </w:pPr>
            <w:r>
              <w:rPr>
                <w:rFonts w:ascii="Arial" w:cs="Arial" w:eastAsia="Arial" w:hAnsi="Arial"/>
                <w:sz w:val="17"/>
                <w:szCs w:val="17"/>
                <w:color w:val="auto"/>
              </w:rPr>
              <w:t>Adam K. Bernstein (55)</w:t>
            </w: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PFLT - Class II</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President of The Bernstein</w:t>
            </w: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Two</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Nominee</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Director since</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9"/>
              </w:rPr>
              <w:t>Companies, a Washington, D.C.-</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October 2010;</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9"/>
              </w:rPr>
              <w:t>based real estate investment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Term Expires, if</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7"/>
              </w:rPr>
              <w:t>development firm, since 1995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elected, 2022</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President and Chief Executive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Officer of Consortium Atlantic</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Realty Trust, Inc., a private real</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3"/>
              </w:rPr>
              <w:t>estate investment trust operating in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the Mid-Atlantic region, from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2006. Also, Mr. Bernstein has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7"/>
              </w:rPr>
              <w:t>served on the Board of Overseers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5"/>
              </w:rPr>
              <w:t>of the School of Arts and Sciences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at the University of Pennsylvania</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since 2012.</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0" w:name="page11"/>
    <w:bookmarkEnd w:id="10"/>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 of Office</w:t>
            </w:r>
          </w:p>
        </w:tc>
        <w:tc>
          <w:tcPr>
            <w:tcW w:w="12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least, the</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Served</w:t>
            </w:r>
          </w:p>
        </w:tc>
        <w:tc>
          <w:tcPr>
            <w:tcW w:w="12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0" w:type="dxa"/>
            <w:vAlign w:val="bottom"/>
          </w:tcPr>
          <w:p>
            <w:pPr>
              <w:spacing w:after="0"/>
              <w:rPr>
                <w:sz w:val="1"/>
                <w:szCs w:val="1"/>
                <w:color w:val="auto"/>
              </w:rPr>
            </w:pPr>
          </w:p>
        </w:tc>
      </w:tr>
      <w:tr>
        <w:trPr>
          <w:trHeight w:val="327"/>
        </w:trPr>
        <w:tc>
          <w:tcPr>
            <w:tcW w:w="2260" w:type="dxa"/>
            <w:vAlign w:val="bottom"/>
          </w:tcPr>
          <w:p>
            <w:pPr>
              <w:spacing w:after="0"/>
              <w:rPr>
                <w:sz w:val="20"/>
                <w:szCs w:val="20"/>
                <w:color w:val="auto"/>
              </w:rPr>
            </w:pPr>
            <w:r>
              <w:rPr>
                <w:rFonts w:ascii="Arial" w:cs="Arial" w:eastAsia="Arial" w:hAnsi="Arial"/>
                <w:sz w:val="17"/>
                <w:szCs w:val="17"/>
                <w:color w:val="auto"/>
              </w:rPr>
              <w:t>Marshall Brozost (51)</w:t>
            </w: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PFLT - Class I</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Partner at Orrick, Herrington &amp;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Director since</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6"/>
              </w:rPr>
              <w:t>Sutcliffe LLP, where he practices</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October 2010;</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in the real estate and 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w w:val="94"/>
              </w:rPr>
              <w:t>Term Expires, 2021</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equity groups, since July 2016.</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Prior to Orrick, Herrington &amp;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Sutcliffe LLP Mr. Brozost</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practiced law at Schulte Roth &amp;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Zabel from May 2012 to July</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2016 and at Dewey &amp; LeBoeuf</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LLP from 2005 to 2012.</w:t>
            </w:r>
          </w:p>
        </w:tc>
        <w:tc>
          <w:tcPr>
            <w:tcW w:w="0" w:type="dxa"/>
            <w:vAlign w:val="bottom"/>
          </w:tcPr>
          <w:p>
            <w:pPr>
              <w:spacing w:after="0"/>
              <w:rPr>
                <w:sz w:val="1"/>
                <w:szCs w:val="1"/>
                <w:color w:val="auto"/>
              </w:rPr>
            </w:pPr>
          </w:p>
        </w:tc>
      </w:tr>
      <w:tr>
        <w:trPr>
          <w:trHeight w:val="337"/>
        </w:trPr>
        <w:tc>
          <w:tcPr>
            <w:tcW w:w="2260" w:type="dxa"/>
            <w:vAlign w:val="bottom"/>
          </w:tcPr>
          <w:p>
            <w:pPr>
              <w:spacing w:after="0"/>
              <w:rPr>
                <w:sz w:val="20"/>
                <w:szCs w:val="20"/>
                <w:color w:val="auto"/>
              </w:rPr>
            </w:pPr>
            <w:r>
              <w:rPr>
                <w:rFonts w:ascii="Arial" w:cs="Arial" w:eastAsia="Arial" w:hAnsi="Arial"/>
                <w:sz w:val="17"/>
                <w:szCs w:val="17"/>
                <w:color w:val="auto"/>
              </w:rPr>
              <w:t>Jeffrey Flug (56)</w:t>
            </w: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PFLT - Class II</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8"/>
              </w:rPr>
              <w:t>Mr. Flug was President of Union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Nominee</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Director since</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Square Hospitality Group, an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October 2010;</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exclusive chain of restaurants,</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Term Expires, if</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4"/>
              </w:rPr>
              <w:t>from 2009 to June 2015. Mr. Flug</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elected, 2022</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4"/>
              </w:rPr>
              <w:t>served as Chief Executive Officer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and Executive Director of</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Millennium Promise Alliance,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Inc., a non-profit organization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whose mission is to eradicate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2"/>
              </w:rPr>
              <w:t>extreme global poverty, from 2006</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7"/>
              </w:rPr>
              <w:t>to 2008. From 2000 to 2006, Mr.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1"/>
              </w:rPr>
              <w:t>Flug was a Managing Director and</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Head of North American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4"/>
              </w:rPr>
              <w:t>Institutional Sales at JP Morgan’s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Investment Bank.</w:t>
            </w:r>
          </w:p>
        </w:tc>
        <w:tc>
          <w:tcPr>
            <w:tcW w:w="0" w:type="dxa"/>
            <w:vAlign w:val="bottom"/>
          </w:tcPr>
          <w:p>
            <w:pPr>
              <w:spacing w:after="0"/>
              <w:rPr>
                <w:sz w:val="1"/>
                <w:szCs w:val="1"/>
                <w:color w:val="auto"/>
              </w:rPr>
            </w:pPr>
          </w:p>
        </w:tc>
      </w:tr>
      <w:tr>
        <w:trPr>
          <w:trHeight w:val="571"/>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2"/>
          </w:tcPr>
          <w:p>
            <w:pPr>
              <w:ind w:left="3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Companies in Fund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41"/>
        </w:trPr>
        <w:tc>
          <w:tcPr>
            <w:tcW w:w="19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Two</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80"/>
        <w:spacing w:after="0"/>
        <w:tabs>
          <w:tab w:leader="none" w:pos="19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Shake Shack Inc.,</w:t>
      </w:r>
    </w:p>
    <w:p>
      <w:pPr>
        <w:spacing w:after="0" w:line="3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since September</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2014; Sears</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Hometown and Outlet</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Stores, Inc., from</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October 2012 to</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September 2015.</w:t>
      </w:r>
    </w:p>
    <w:p>
      <w:pPr>
        <w:sectPr>
          <w:pgSz w:w="11900" w:h="16838" w:orient="portrait"/>
          <w:cols w:equalWidth="0" w:num="2">
            <w:col w:w="7800" w:space="100"/>
            <w:col w:w="3520"/>
          </w:cols>
          <w:pgMar w:left="240" w:top="131" w:right="239" w:bottom="1440" w:gutter="0" w:footer="0" w:header="0"/>
        </w:sectPr>
      </w:pPr>
    </w:p>
    <w:bookmarkStart w:id="11" w:name="page12"/>
    <w:bookmarkEnd w:id="1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 of Office</w:t>
            </w:r>
          </w:p>
        </w:tc>
        <w:tc>
          <w:tcPr>
            <w:tcW w:w="12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least, the</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Served</w:t>
            </w:r>
          </w:p>
        </w:tc>
        <w:tc>
          <w:tcPr>
            <w:tcW w:w="12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0" w:type="dxa"/>
            <w:vAlign w:val="bottom"/>
          </w:tcPr>
          <w:p>
            <w:pPr>
              <w:spacing w:after="0"/>
              <w:rPr>
                <w:sz w:val="1"/>
                <w:szCs w:val="1"/>
                <w:color w:val="auto"/>
              </w:rPr>
            </w:pPr>
          </w:p>
        </w:tc>
      </w:tr>
      <w:tr>
        <w:trPr>
          <w:trHeight w:val="327"/>
        </w:trPr>
        <w:tc>
          <w:tcPr>
            <w:tcW w:w="2260" w:type="dxa"/>
            <w:vAlign w:val="bottom"/>
          </w:tcPr>
          <w:p>
            <w:pPr>
              <w:spacing w:after="0"/>
              <w:rPr>
                <w:sz w:val="20"/>
                <w:szCs w:val="20"/>
                <w:color w:val="auto"/>
              </w:rPr>
            </w:pPr>
            <w:r>
              <w:rPr>
                <w:rFonts w:ascii="Arial" w:cs="Arial" w:eastAsia="Arial" w:hAnsi="Arial"/>
                <w:sz w:val="17"/>
                <w:szCs w:val="17"/>
                <w:color w:val="auto"/>
              </w:rPr>
              <w:t>Samuel L. Katz (53)</w:t>
            </w: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PFLT - Class I</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7"/>
              </w:rPr>
              <w:t>Managing Partner of TZP Group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Director since</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7"/>
              </w:rPr>
              <w:t>LLC, a private equity fund, since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October 2010;</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7"/>
              </w:rPr>
              <w:t>2007. Before joining TZP Group,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w w:val="97"/>
              </w:rPr>
              <w:t>Term Expires 2021</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Mr. Katz was Chief Executive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6"/>
              </w:rPr>
              <w:t>Officer of MacAndrews &amp; Forbes</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Acquisition Holdings, Inc. from</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2006 to 2007. Prior to that</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7"/>
              </w:rPr>
              <w:t>position, Mr. Katz was Chairman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3"/>
              </w:rPr>
              <w:t>and Chief Executive Officer of the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Cendant Travel Distribution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Services Division from 2001 to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r>
        <w:trPr>
          <w:trHeight w:val="436"/>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2"/>
          </w:tcPr>
          <w:p>
            <w:pPr>
              <w:ind w:left="3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Companies in Fund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41"/>
        </w:trPr>
        <w:tc>
          <w:tcPr>
            <w:tcW w:w="19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Two</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bl>
    <w:p>
      <w:pPr>
        <w:sectPr>
          <w:pgSz w:w="11900" w:h="16838" w:orient="portrait"/>
          <w:cols w:equalWidth="0" w:num="2">
            <w:col w:w="7800" w:space="100"/>
            <w:col w:w="3520"/>
          </w:cols>
          <w:pgMar w:left="240" w:top="13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 of Office</w:t>
            </w:r>
          </w:p>
        </w:tc>
        <w:tc>
          <w:tcPr>
            <w:tcW w:w="1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Companies in Fund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Served</w:t>
            </w:r>
          </w:p>
        </w:tc>
        <w:tc>
          <w:tcPr>
            <w:tcW w:w="120" w:type="dxa"/>
            <w:vAlign w:val="bottom"/>
          </w:tcPr>
          <w:p>
            <w:pPr>
              <w:spacing w:after="0"/>
              <w:rPr>
                <w:sz w:val="14"/>
                <w:szCs w:val="14"/>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Past 5 Years</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by Director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41"/>
        </w:trPr>
        <w:tc>
          <w:tcPr>
            <w:tcW w:w="22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Interested Director</w:t>
            </w: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60" w:type="dxa"/>
            <w:vAlign w:val="bottom"/>
          </w:tcPr>
          <w:p>
            <w:pPr>
              <w:spacing w:after="0"/>
              <w:rPr>
                <w:sz w:val="20"/>
                <w:szCs w:val="20"/>
                <w:color w:val="auto"/>
              </w:rPr>
            </w:pPr>
            <w:r>
              <w:rPr>
                <w:rFonts w:ascii="Arial" w:cs="Arial" w:eastAsia="Arial" w:hAnsi="Arial"/>
                <w:sz w:val="17"/>
                <w:szCs w:val="17"/>
                <w:color w:val="auto"/>
              </w:rPr>
              <w:t>Arthur H. Penn (55)</w:t>
            </w:r>
            <w:r>
              <w:rPr>
                <w:rFonts w:ascii="Arial" w:cs="Arial" w:eastAsia="Arial" w:hAnsi="Arial"/>
                <w:sz w:val="14"/>
                <w:szCs w:val="14"/>
                <w:color w:val="auto"/>
              </w:rPr>
              <w:t>(3)</w:t>
            </w: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PFLT - Class III</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Founder, Chairman and Chief</w:t>
            </w: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Two</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Chief Executive</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Director since</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7"/>
              </w:rPr>
              <w:t>Executive Officer of the Company</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Officer and</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October 2010;</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from its inception in 2010. Mr.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Chairman of the</w:t>
            </w: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w w:val="97"/>
              </w:rPr>
              <w:t>Term Expires 2020</w:t>
            </w: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Penn also is the Founder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Board of</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7"/>
              </w:rPr>
              <w:t>Managing Member of the Adviser.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color w:val="auto"/>
              </w:rPr>
              <w:t>Directors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9"/>
              </w:rPr>
              <w:t>Before founding PNNT, Mr. Penn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was the Co-Founder of Apollo</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Investment Management, where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he was a Managing Partner from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2004 to 2006. He also served as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Chief Operating Officer of Apollo</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Investment Corporation from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inception in 2004 to 2006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served as President and Chief</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Operating Officer in 2006. He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9"/>
              </w:rPr>
              <w:t>formerly was a Managing Partner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of Apollo Value Fund L.P.</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(formerly Apollo Distressed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w w:val="97"/>
              </w:rPr>
              <w:t>Investment Fund, L.P.) from 2003</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20" w:type="dxa"/>
            <w:vAlign w:val="bottom"/>
            <w:gridSpan w:val="3"/>
          </w:tcPr>
          <w:p>
            <w:pPr>
              <w:ind w:left="120"/>
              <w:spacing w:after="0"/>
              <w:rPr>
                <w:sz w:val="20"/>
                <w:szCs w:val="20"/>
                <w:color w:val="auto"/>
              </w:rPr>
            </w:pPr>
            <w:r>
              <w:rPr>
                <w:rFonts w:ascii="Arial" w:cs="Arial" w:eastAsia="Arial" w:hAnsi="Arial"/>
                <w:sz w:val="17"/>
                <w:szCs w:val="17"/>
                <w:color w:val="auto"/>
              </w:rPr>
              <w:t>to 2006.</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1"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80"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67"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 w:name="page15"/>
    <w:bookmarkEnd w:id="14"/>
    <w:p>
      <w:pPr>
        <w:ind w:right="200"/>
        <w:spacing w:after="0" w:line="302" w:lineRule="auto"/>
        <w:rPr>
          <w:sz w:val="20"/>
          <w:szCs w:val="20"/>
          <w:color w:val="auto"/>
        </w:rPr>
      </w:pPr>
      <w:r>
        <w:rPr>
          <w:rFonts w:ascii="Arial" w:cs="Arial" w:eastAsia="Arial" w:hAnsi="Arial"/>
          <w:sz w:val="16"/>
          <w:szCs w:val="16"/>
          <w:color w:val="auto"/>
        </w:rPr>
        <w:t>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54"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93"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Company</w:t>
      </w:r>
    </w:p>
    <w:p>
      <w:pPr>
        <w:spacing w:after="0" w:line="12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Board believes that, collectively, the directors have balanced and diverse experience, qualifications, attributes and skills, which allow the Board to operate effectively in governing the Company and protecting the interests of its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Mr. Brozost brings to the Board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225"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The Board has established an Audit Committee, a Nominating and Corporate Governance Committee and a Compensation Committee. For the fiscal year ended September 30, 2018, the Board held seven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its quarterly report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78"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6"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its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60" w:firstLine="598"/>
        <w:spacing w:after="0" w:line="293"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225"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Position(s) held</w:t>
            </w:r>
          </w:p>
        </w:tc>
        <w:tc>
          <w:tcPr>
            <w:tcW w:w="68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with the Company</w:t>
            </w:r>
          </w:p>
        </w:tc>
        <w:tc>
          <w:tcPr>
            <w:tcW w:w="6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Aviv Efrat (54)</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Financial Officer and</w:t>
            </w:r>
          </w:p>
        </w:tc>
        <w:tc>
          <w:tcPr>
            <w:tcW w:w="180" w:type="dxa"/>
            <w:vAlign w:val="bottom"/>
          </w:tcPr>
          <w:p>
            <w:pPr>
              <w:spacing w:after="0"/>
              <w:rPr>
                <w:sz w:val="16"/>
                <w:szCs w:val="16"/>
                <w:color w:val="auto"/>
              </w:rPr>
            </w:pPr>
          </w:p>
        </w:tc>
        <w:tc>
          <w:tcPr>
            <w:tcW w:w="6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Chief Financial Officer and Treasurer of PNNT and the Company from their inception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Treasurer</w:t>
            </w:r>
          </w:p>
        </w:tc>
        <w:tc>
          <w:tcPr>
            <w:tcW w:w="6800" w:type="dxa"/>
            <w:vAlign w:val="bottom"/>
          </w:tcPr>
          <w:p>
            <w:pPr>
              <w:spacing w:after="0"/>
              <w:rPr>
                <w:sz w:val="20"/>
                <w:szCs w:val="20"/>
                <w:color w:val="auto"/>
              </w:rPr>
            </w:pPr>
            <w:r>
              <w:rPr>
                <w:rFonts w:ascii="Arial" w:cs="Arial" w:eastAsia="Arial" w:hAnsi="Arial"/>
                <w:sz w:val="18"/>
                <w:szCs w:val="18"/>
                <w:color w:val="auto"/>
                <w:w w:val="92"/>
              </w:rPr>
              <w:t>2007 and 2010, respectively. Managing Director of the Administrator from inception in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Mr. 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6"/>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8"/>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American Institute of Certified Public Accountants and the New York State Society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Certified Public Accountants.</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40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CCO who is not a director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30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84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300" w:type="dxa"/>
            <w:vAlign w:val="bottom"/>
          </w:tcPr>
          <w:p>
            <w:pPr>
              <w:jc w:val="center"/>
              <w:ind w:left="42"/>
              <w:spacing w:after="0"/>
              <w:rPr>
                <w:sz w:val="20"/>
                <w:szCs w:val="20"/>
                <w:color w:val="auto"/>
              </w:rPr>
            </w:pPr>
            <w:r>
              <w:rPr>
                <w:rFonts w:ascii="Arial" w:cs="Arial" w:eastAsia="Arial" w:hAnsi="Arial"/>
                <w:sz w:val="14"/>
                <w:szCs w:val="14"/>
                <w:b w:val="1"/>
                <w:bCs w:val="1"/>
                <w:color w:val="auto"/>
                <w:w w:val="94"/>
              </w:rPr>
              <w:t>with the Company</w:t>
            </w:r>
          </w:p>
        </w:tc>
        <w:tc>
          <w:tcPr>
            <w:tcW w:w="120" w:type="dxa"/>
            <w:vAlign w:val="bottom"/>
          </w:tcPr>
          <w:p>
            <w:pPr>
              <w:spacing w:after="0"/>
              <w:rPr>
                <w:sz w:val="14"/>
                <w:szCs w:val="14"/>
                <w:color w:val="auto"/>
              </w:rPr>
            </w:pPr>
          </w:p>
        </w:tc>
        <w:tc>
          <w:tcPr>
            <w:tcW w:w="6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(63)</w:t>
            </w:r>
          </w:p>
        </w:tc>
        <w:tc>
          <w:tcPr>
            <w:tcW w:w="100" w:type="dxa"/>
            <w:vAlign w:val="bottom"/>
          </w:tcPr>
          <w:p>
            <w:pPr>
              <w:spacing w:after="0"/>
              <w:rPr>
                <w:sz w:val="16"/>
                <w:szCs w:val="16"/>
                <w:color w:val="auto"/>
              </w:rPr>
            </w:pPr>
          </w:p>
        </w:tc>
        <w:tc>
          <w:tcPr>
            <w:tcW w:w="23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Chief Compliance Officer of PNNT and the Company from May 2008 and March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4"/>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4"/>
              </w:rPr>
              <w:t>investment advisers, private funds and investment companies from 2004 when he founded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407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225"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Joint Code of Conduct, which is posted on the Company’s website (http://www.pennantpark.com). The Joint Code of Conduct applies to the directors, officers and staff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9" w:name="page20"/>
    <w:bookmarkEnd w:id="19"/>
    <w:p>
      <w:pPr>
        <w:ind w:firstLine="598"/>
        <w:spacing w:after="0" w:line="255" w:lineRule="auto"/>
        <w:rPr>
          <w:sz w:val="20"/>
          <w:szCs w:val="20"/>
          <w:color w:val="auto"/>
        </w:rPr>
      </w:pPr>
      <w:r>
        <w:rPr>
          <w:rFonts w:ascii="Arial" w:cs="Arial" w:eastAsia="Arial" w:hAnsi="Arial"/>
          <w:sz w:val="18"/>
          <w:szCs w:val="18"/>
          <w:color w:val="auto"/>
        </w:rPr>
        <w:t>As required by the 1940 Act, the Company, together with PNNT,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its Annual Report on Form 10-K, filed with the SEC on November 14, 2018. You may access the Joint Code of Ethics via the Internet site of the SEC (http://www.sec.gov) or our website (http://www.pennantpark.com). The Company intends to disclose any material amendments to or waivers of required provisions of its Joint Code of Conduct or its Joint Code of Ethics on Form 8-K.</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right="120" w:firstLine="598"/>
        <w:spacing w:after="0" w:line="290" w:lineRule="auto"/>
        <w:rPr>
          <w:sz w:val="20"/>
          <w:szCs w:val="20"/>
          <w:color w:val="auto"/>
        </w:rPr>
      </w:pPr>
      <w:r>
        <w:rPr>
          <w:rFonts w:ascii="Arial" w:cs="Arial" w:eastAsia="Arial" w:hAnsi="Arial"/>
          <w:sz w:val="16"/>
          <w:szCs w:val="16"/>
          <w:color w:val="auto"/>
        </w:rPr>
        <w:t>Each Independent Director receives an annual payment of $70,000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2018. No compensation is paid directly by the Company to any interested director or executive officer of the Company.</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Pension 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Total paid to</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benefits accrued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director/officer</w:t>
            </w:r>
          </w:p>
        </w:tc>
        <w:tc>
          <w:tcPr>
            <w:tcW w:w="0" w:type="dxa"/>
            <w:vAlign w:val="bottom"/>
          </w:tcPr>
          <w:p>
            <w:pPr>
              <w:spacing w:after="0"/>
              <w:rPr>
                <w:sz w:val="1"/>
                <w:szCs w:val="1"/>
                <w:color w:val="auto"/>
              </w:rPr>
            </w:pPr>
          </w:p>
        </w:tc>
      </w:tr>
      <w:tr>
        <w:trPr>
          <w:trHeight w:val="149"/>
        </w:trPr>
        <w:tc>
          <w:tcPr>
            <w:tcW w:w="29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from the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our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from the Fund</w:t>
            </w:r>
          </w:p>
        </w:tc>
        <w:tc>
          <w:tcPr>
            <w:tcW w:w="0" w:type="dxa"/>
            <w:vAlign w:val="bottom"/>
          </w:tcPr>
          <w:p>
            <w:pPr>
              <w:spacing w:after="0"/>
              <w:rPr>
                <w:sz w:val="1"/>
                <w:szCs w:val="1"/>
                <w:color w:val="auto"/>
              </w:rPr>
            </w:pPr>
          </w:p>
        </w:tc>
      </w:tr>
      <w:tr>
        <w:trPr>
          <w:trHeight w:val="158"/>
        </w:trPr>
        <w:tc>
          <w:tcPr>
            <w:tcW w:w="2920" w:type="dxa"/>
            <w:vAlign w:val="bottom"/>
            <w:gridSpan w:val="6"/>
            <w:vMerge w:val="continue"/>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Company</w:t>
            </w: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5"/>
              </w:rPr>
              <w:t>from the Company</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Complex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Adam K. Bernstein</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92"/>
              </w:rPr>
              <w:t>None</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auto"/>
              </w:rPr>
              <w:t>Marshall Brozost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83,750</w:t>
            </w:r>
          </w:p>
        </w:tc>
        <w:tc>
          <w:tcPr>
            <w:tcW w:w="2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w w:val="92"/>
              </w:rPr>
              <w:t>None</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83,750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Jeffrey Flug</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86,250</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92"/>
              </w:rPr>
              <w:t>None</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86,250</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auto"/>
              </w:rPr>
              <w:t>Samuel L. Katz</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86,250</w:t>
            </w:r>
          </w:p>
        </w:tc>
        <w:tc>
          <w:tcPr>
            <w:tcW w:w="2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w w:val="92"/>
              </w:rPr>
              <w:t>None</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86,250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Arthur H. Penn</w:t>
            </w:r>
          </w:p>
        </w:tc>
        <w:tc>
          <w:tcPr>
            <w:tcW w:w="1480" w:type="dxa"/>
            <w:vAlign w:val="bottom"/>
            <w:tcBorders>
              <w:top w:val="single" w:sz="8" w:color="CFF0FC"/>
            </w:tcBorders>
            <w:gridSpan w:val="2"/>
          </w:tcPr>
          <w:p>
            <w:pPr>
              <w:spacing w:after="0"/>
              <w:rPr>
                <w:sz w:val="19"/>
                <w:szCs w:val="19"/>
                <w:color w:val="auto"/>
              </w:rPr>
            </w:pPr>
          </w:p>
        </w:tc>
        <w:tc>
          <w:tcPr>
            <w:tcW w:w="12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tcBorders>
              <w:top w:val="single" w:sz="8" w:color="CFF0FC"/>
            </w:tcBorders>
          </w:tcPr>
          <w:p>
            <w:pPr>
              <w:ind w:left="1220"/>
              <w:spacing w:after="0"/>
              <w:rPr>
                <w:sz w:val="20"/>
                <w:szCs w:val="20"/>
                <w:color w:val="auto"/>
              </w:rPr>
            </w:pPr>
            <w:r>
              <w:rPr>
                <w:rFonts w:ascii="Arial" w:cs="Arial" w:eastAsia="Arial" w:hAnsi="Arial"/>
                <w:sz w:val="18"/>
                <w:szCs w:val="18"/>
                <w:color w:val="auto"/>
                <w:w w:val="92"/>
              </w:rPr>
              <w:t>None</w:t>
            </w: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None</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48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7"/>
              </w:rPr>
              <w:t>Executive officer</w:t>
            </w:r>
          </w:p>
        </w:tc>
        <w:tc>
          <w:tcPr>
            <w:tcW w:w="1620" w:type="dxa"/>
            <w:vAlign w:val="bottom"/>
            <w:tcBorders>
              <w:bottom w:val="single" w:sz="8" w:color="CFF0FC"/>
            </w:tcBorders>
            <w:gridSpan w:val="3"/>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tcPr>
          <w:p>
            <w:pPr>
              <w:ind w:left="1220"/>
              <w:spacing w:after="0"/>
              <w:rPr>
                <w:sz w:val="20"/>
                <w:szCs w:val="20"/>
                <w:color w:val="auto"/>
              </w:rPr>
            </w:pPr>
            <w:r>
              <w:rPr>
                <w:rFonts w:ascii="Arial" w:cs="Arial" w:eastAsia="Arial" w:hAnsi="Arial"/>
                <w:sz w:val="18"/>
                <w:szCs w:val="18"/>
                <w:color w:val="auto"/>
                <w:w w:val="92"/>
              </w:rPr>
              <w:t>None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Company’s investment activities are managed by the Adviser and supervised by the Board, of which 80% of the members are Independent Directors. The Company’s Investment Management Agreement with the Adviser was re-approved by the Board, including a majority of the Independent Directors, in February 2018. Under the Company’s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2018, the Adviser earned a base management fee of $8.4 million and an incentive fee of $3.5 million (before $(0.1) million on realized gains and $(1.0) million on net unrealized gains accrued but not payable) from the Company.</w:t>
      </w:r>
    </w:p>
    <w:p>
      <w:pPr>
        <w:spacing w:after="0" w:line="189"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The Company’s Administration Agreement with the Administrator was re-approved by the Board, including a majority of the Independent Directors, in February 2018. Under the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the Managing Director of the Administrator. For the fiscal year ended September 30, 2018, the Adviser and the Administrator, collectively, were reimbursed $1.3 million from the Company for the services described above.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860" w:firstLine="598"/>
        <w:spacing w:after="0" w:line="342" w:lineRule="auto"/>
        <w:rPr>
          <w:sz w:val="20"/>
          <w:szCs w:val="20"/>
          <w:color w:val="auto"/>
        </w:rPr>
      </w:pPr>
      <w:r>
        <w:rPr>
          <w:rFonts w:ascii="Arial" w:cs="Arial" w:eastAsia="Arial" w:hAnsi="Arial"/>
          <w:sz w:val="16"/>
          <w:szCs w:val="16"/>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the Company and its subsidiaries on and during the Company’s fiscal year ending September 30, 2019. RSM was selected by the Audit Committee, and that selection was ratified by a majority of the Board, including all of the Independent Directors, by a vote cast in person.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aggregate fees by RSM were billed to the Company for work attributed to audit, tax and other services provided to the Company for the fiscal years ended September 30,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00" w:type="dxa"/>
            <w:vAlign w:val="bottom"/>
            <w:tcBorders>
              <w:bottom w:val="single" w:sz="8" w:color="CFF0FC"/>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September 30, 2017</w:t>
            </w:r>
          </w:p>
        </w:tc>
        <w:tc>
          <w:tcPr>
            <w:tcW w:w="100" w:type="dxa"/>
            <w:vAlign w:val="bottom"/>
            <w:tcBorders>
              <w:bottom w:val="single" w:sz="8" w:color="CFF0FC"/>
            </w:tcBorders>
          </w:tcPr>
          <w:p>
            <w:pPr>
              <w:spacing w:after="0"/>
              <w:rPr>
                <w:sz w:val="15"/>
                <w:szCs w:val="15"/>
                <w:color w:val="auto"/>
              </w:rPr>
            </w:pPr>
          </w:p>
        </w:tc>
        <w:tc>
          <w:tcPr>
            <w:tcW w:w="980" w:type="dxa"/>
            <w:vAlign w:val="bottom"/>
            <w:tcBorders>
              <w:top w:val="single" w:sz="8" w:color="auto"/>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auto"/>
            </w:tcBorders>
          </w:tcPr>
          <w:p>
            <w:pPr>
              <w:spacing w:after="0"/>
              <w:rPr>
                <w:sz w:val="15"/>
                <w:szCs w:val="15"/>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440,052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417,609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Audit Related Fees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17,855</w:t>
            </w:r>
          </w:p>
        </w:tc>
        <w:tc>
          <w:tcPr>
            <w:tcW w:w="13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All Other Fees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760</w:t>
            </w:r>
          </w:p>
        </w:tc>
        <w:tc>
          <w:tcPr>
            <w:tcW w:w="1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1,846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458,666</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427,030</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2018 were approved by the Audit Committee in accordance with such policy.</w:t>
      </w:r>
    </w:p>
    <w:p>
      <w:pPr>
        <w:spacing w:after="0" w:line="173"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39" w:right="179" w:bottom="1440" w:gutter="0" w:footer="0" w:header="0"/>
        </w:sectPr>
      </w:pPr>
    </w:p>
    <w:bookmarkStart w:id="22" w:name="page23"/>
    <w:bookmarkEnd w:id="22"/>
    <w:p>
      <w:pPr>
        <w:ind w:right="180"/>
        <w:spacing w:after="0" w:line="266"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the fiscal year ended September 30, 2018.</w:t>
      </w:r>
    </w:p>
    <w:p>
      <w:pPr>
        <w:spacing w:after="0" w:line="170"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65"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6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(and the Board has approved) that the Company’s audited financial statements be included in the Company’s Annual Report on Form 10-K for the fiscal year ended September 30, 2018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65" w:lineRule="exact"/>
        <w:rPr>
          <w:sz w:val="20"/>
          <w:szCs w:val="20"/>
          <w:color w:val="auto"/>
        </w:rPr>
      </w:pPr>
    </w:p>
    <w:p>
      <w:pPr>
        <w:jc w:val="both"/>
        <w:ind w:left="600" w:hanging="59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840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Board knows of no other matter that is likely to come before the Meeting or that may properly come before the Meeting, apart from the consideration of an adjournment or postponement.</w:t>
      </w:r>
    </w:p>
    <w:p>
      <w:pPr>
        <w:spacing w:after="0" w:line="170"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expects to hold its 2020 Annual Meeting of Stockholders in February 2020, but the exact date, time and location of such meeting have yet to be determined. A Stockholder of the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Notices of intention to present proposals, including nomination of a director, at the 2020 Annual Meeting of Stockholders must be received by the Company between July 10, 2019 and August 9, 2019.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7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You are cordially invited to attend our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11910" cy="403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119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6079490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3447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34000" cy="3447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4715510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3447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334000" cy="3447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4570095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3447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34000" cy="3447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5393055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3447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334000" cy="3447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585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585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5768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ind w:left="3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PROXY CARD FOR SHAREHOLDERS WHO HOLD SHARES VIA TASE MEMBERS</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February 5, 2019 at 9:45 a.m., Eastern</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appoints Mr. Arthur H. Penn or his designated substitute to act as attorney and proxy for the undersigned to vote all the shares of Common Stock of PennantPark Floating Rate Capital Ltd. (the "Company") which the undersigned is entitled to vote at the Annual Meeting of Stockholders of the Company (the “Meeting”) to be held at the offices of Dechert LLP, located at 1095 Avenue of the Americas, New York, New York, on February 5, 2019 at 9:45 a.m., Eastern time, and at all adjournments thereof, as indicated on this proxy.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If no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Please sign and date this proxy card and return it promptly, together with an Ownership Certificate from the TASE member through which your shares are registered, to the Company's Israeli counsel, Goldfarb Seligman &amp; Co., c/o Daniel Kahn, 98 Yigal Alon Street, 36th Floor, Tel Aviv 6789141, Israel (email: </w:t>
      </w:r>
      <w:r>
        <w:rPr>
          <w:rFonts w:ascii="Arial" w:cs="Arial" w:eastAsia="Arial" w:hAnsi="Arial"/>
          <w:sz w:val="17"/>
          <w:szCs w:val="17"/>
          <w:b w:val="1"/>
          <w:bCs w:val="1"/>
          <w:u w:val="single" w:color="auto"/>
          <w:color w:val="auto"/>
        </w:rPr>
        <w:t>daniel.kahn@goldfarb.com</w:t>
      </w:r>
      <w:r>
        <w:rPr>
          <w:rFonts w:ascii="Arial" w:cs="Arial" w:eastAsia="Arial" w:hAnsi="Arial"/>
          <w:sz w:val="17"/>
          <w:szCs w:val="17"/>
          <w:b w:val="1"/>
          <w:bCs w:val="1"/>
          <w:color w:val="auto"/>
        </w:rPr>
        <w:t>) so your shares may be represented at the Meeting. The proxy card and Ownership Certificate must be received no later than January 31, 2019 to be validly included in the tally of shares voted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Continued and to be signed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Board of Directors recommends you vote FOR the following:</w:t>
      </w:r>
    </w:p>
    <w:p>
      <w:pPr>
        <w:spacing w:after="0" w:line="248"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Election of directors</w:t>
      </w:r>
    </w:p>
    <w:p>
      <w:pPr>
        <w:sectPr>
          <w:pgSz w:w="11900" w:h="16838" w:orient="portrait"/>
          <w:cols w:equalWidth="0" w:num="1">
            <w:col w:w="11420"/>
          </w:cols>
          <w:pgMar w:left="240" w:top="139" w:right="239" w:bottom="1440" w:gutter="0" w:footer="0" w:header="0"/>
        </w:sectPr>
      </w:pP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Nominees: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01 Mr. Adam Bernstein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02 Mr. Jeffrey Flug</w:t>
      </w:r>
    </w:p>
    <w:p>
      <w:pPr>
        <w:spacing w:after="0" w:line="46" w:lineRule="exact"/>
        <w:rPr>
          <w:sz w:val="20"/>
          <w:szCs w:val="20"/>
          <w:color w:val="auto"/>
        </w:rPr>
      </w:pPr>
    </w:p>
    <w:p>
      <w:pPr>
        <w:sectPr>
          <w:pgSz w:w="11900" w:h="16838" w:orient="portrait"/>
          <w:cols w:equalWidth="0" w:num="3">
            <w:col w:w="1380" w:space="420"/>
            <w:col w:w="1700" w:space="400"/>
            <w:col w:w="7520"/>
          </w:cols>
          <w:pgMar w:left="240" w:top="139" w:right="239" w:bottom="1440" w:gutter="0" w:footer="0" w:header="0"/>
          <w:type w:val="continuous"/>
        </w:sectPr>
      </w:pPr>
    </w:p>
    <w:p>
      <w:pPr>
        <w:ind w:left="24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ALL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WITHHOLD ALL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ALL EXCEPT</w:t>
      </w:r>
    </w:p>
    <w:p>
      <w:pPr>
        <w:spacing w:after="0" w:line="200" w:lineRule="exact"/>
        <w:rPr>
          <w:sz w:val="20"/>
          <w:szCs w:val="20"/>
          <w:color w:val="auto"/>
        </w:rPr>
      </w:pPr>
    </w:p>
    <w:p>
      <w:pPr>
        <w:sectPr>
          <w:pgSz w:w="11900" w:h="16838" w:orient="portrait"/>
          <w:cols w:equalWidth="0" w:num="6">
            <w:col w:w="2580" w:space="100"/>
            <w:col w:w="540" w:space="400"/>
            <w:col w:w="180" w:space="80"/>
            <w:col w:w="1000" w:space="440"/>
            <w:col w:w="180" w:space="80"/>
            <w:col w:w="5840"/>
          </w:cols>
          <w:pgMar w:left="240" w:top="139" w:right="239" w:bottom="1440" w:gutter="0" w:footer="0" w:header="0"/>
          <w:type w:val="continuous"/>
        </w:sectPr>
      </w:pPr>
    </w:p>
    <w:p>
      <w:pPr>
        <w:spacing w:after="0" w:line="4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To withhold authority to vote for any individual nominee(s), mark "For All Except" and write the number(s) of the nominee(s) on the line below</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160655</wp:posOffset>
            </wp:positionV>
            <wp:extent cx="10718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40" w:lineRule="exact"/>
        <w:rPr>
          <w:sz w:val="20"/>
          <w:szCs w:val="20"/>
          <w:color w:val="auto"/>
        </w:rPr>
      </w:pPr>
    </w:p>
    <w:p>
      <w:pPr>
        <w:ind w:left="600" w:hanging="592"/>
        <w:spacing w:after="0" w:line="258"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w:t>
      </w:r>
    </w:p>
    <w:p>
      <w:pPr>
        <w:spacing w:after="0" w:line="1" w:lineRule="exact"/>
        <w:rPr>
          <w:sz w:val="20"/>
          <w:szCs w:val="20"/>
          <w:color w:val="auto"/>
        </w:rPr>
      </w:pPr>
    </w:p>
    <w:p>
      <w:pPr>
        <w:ind w:left="2420"/>
        <w:spacing w:after="0" w:line="242" w:lineRule="exact"/>
        <w:tabs>
          <w:tab w:leader="none" w:pos="2700" w:val="left"/>
          <w:tab w:leader="none" w:pos="3360" w:val="left"/>
          <w:tab w:leader="none" w:pos="4620" w:val="left"/>
        </w:tabs>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12"/>
          <w:szCs w:val="12"/>
          <w:b w:val="1"/>
          <w:bCs w:val="1"/>
          <w:color w:val="auto"/>
        </w:rPr>
        <w:tab/>
        <w:t>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AGAINST</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ABSTAIN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if you plan to attend this meeting</w:t>
      </w:r>
    </w:p>
    <w:p>
      <w:pPr>
        <w:spacing w:after="0" w:line="192" w:lineRule="exact"/>
        <w:rPr>
          <w:sz w:val="20"/>
          <w:szCs w:val="20"/>
          <w:color w:val="auto"/>
        </w:rPr>
      </w:pPr>
    </w:p>
    <w:p>
      <w:pPr>
        <w:ind w:left="2420"/>
        <w:spacing w:after="0" w:line="221" w:lineRule="exact"/>
        <w:tabs>
          <w:tab w:leader="none" w:pos="33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5"/>
          <w:szCs w:val="15"/>
          <w:b w:val="1"/>
          <w:bCs w:val="1"/>
          <w:color w:val="auto"/>
        </w:rPr>
        <w:t xml:space="preserve"> YES</w:t>
      </w:r>
      <w:r>
        <w:rPr>
          <w:sz w:val="20"/>
          <w:szCs w:val="20"/>
          <w:color w:val="auto"/>
        </w:rPr>
        <w:tab/>
      </w:r>
      <w:r>
        <w:rPr>
          <w:rFonts w:ascii="MS PGothic" w:cs="MS PGothic" w:eastAsia="MS PGothic" w:hAnsi="MS PGothic"/>
          <w:sz w:val="22"/>
          <w:szCs w:val="22"/>
          <w:color w:val="auto"/>
          <w:highlight w:val="black"/>
        </w:rPr>
        <w:t xml:space="preserve">☐ </w:t>
      </w:r>
      <w:r>
        <w:rPr>
          <w:rFonts w:ascii="Arial" w:cs="Arial" w:eastAsia="Arial" w:hAnsi="Arial"/>
          <w:sz w:val="14"/>
          <w:szCs w:val="14"/>
          <w:b w:val="1"/>
          <w:bCs w:val="1"/>
          <w:color w:val="auto"/>
        </w:rPr>
        <w:t>NO</w:t>
      </w:r>
    </w:p>
    <w:p>
      <w:pPr>
        <w:spacing w:after="0" w:line="2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sign exactly as your name(s) appear(s) on the ownership confirmation issued by your TASE member. When signing as attorney, executor, administrator, or other fiduciary, please give full title as such. Joint holders should each sign personally. All holders must sign. If a corporation or partnership, please sign in full corporate or partnership name by duly authorized officer.</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color w:val="auto"/>
              </w:rPr>
              <w:t>Print name</w:t>
            </w:r>
          </w:p>
        </w:tc>
        <w:tc>
          <w:tcPr>
            <w:tcW w:w="100" w:type="dxa"/>
            <w:vAlign w:val="bottom"/>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Signature</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color w:val="auto"/>
                <w:w w:val="87"/>
              </w:rPr>
              <w:t>Date</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1700" w:type="dxa"/>
            <w:vAlign w:val="bottom"/>
            <w:tcBorders>
              <w:bottom w:val="single" w:sz="8" w:color="auto"/>
            </w:tcBorders>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700" w:type="dxa"/>
            <w:vAlign w:val="bottom"/>
          </w:tcPr>
          <w:p>
            <w:pPr>
              <w:ind w:left="120"/>
              <w:spacing w:after="0"/>
              <w:rPr>
                <w:sz w:val="20"/>
                <w:szCs w:val="20"/>
                <w:color w:val="auto"/>
              </w:rPr>
            </w:pPr>
            <w:r>
              <w:rPr>
                <w:rFonts w:ascii="Arial" w:cs="Arial" w:eastAsia="Arial" w:hAnsi="Arial"/>
                <w:sz w:val="13"/>
                <w:szCs w:val="13"/>
                <w:color w:val="auto"/>
              </w:rPr>
              <w:t>Print name</w:t>
            </w:r>
          </w:p>
        </w:tc>
        <w:tc>
          <w:tcPr>
            <w:tcW w:w="120" w:type="dxa"/>
            <w:vAlign w:val="bottom"/>
            <w:gridSpan w:val="2"/>
            <w:vMerge w:val="continue"/>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(Joint Owners)</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6"/>
              </w:rPr>
              <w:t>Signature</w:t>
            </w: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ind w:left="7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1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2019-12-07T21:03:08Z</dcterms:created>
  <dcterms:modified xsi:type="dcterms:W3CDTF">2019-12-07T21:03:08Z</dcterms:modified>
</cp:coreProperties>
</file>