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(Mark One)</w:t>
      </w:r>
    </w:p>
    <w:p>
      <w:pPr>
        <w:spacing w:after="0" w:line="1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2014</w:t>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5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ind w:left="3280"/>
              <w:spacing w:after="0"/>
              <w:rPr>
                <w:sz w:val="20"/>
                <w:szCs w:val="20"/>
                <w:color w:val="auto"/>
              </w:rPr>
            </w:pPr>
            <w:r>
              <w:rPr>
                <w:rFonts w:ascii="Arial" w:cs="Arial" w:eastAsia="Arial" w:hAnsi="Arial"/>
                <w:sz w:val="18"/>
                <w:szCs w:val="18"/>
                <w:b w:val="1"/>
                <w:bCs w:val="1"/>
                <w:color w:val="auto"/>
              </w:rPr>
              <w:t>FOR THE TRANSITION PERIOD FROM</w:t>
            </w:r>
          </w:p>
        </w:tc>
        <w:tc>
          <w:tcPr>
            <w:tcW w:w="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ind w:left="20"/>
              <w:spacing w:after="0"/>
              <w:rPr>
                <w:sz w:val="20"/>
                <w:szCs w:val="20"/>
                <w:color w:val="auto"/>
              </w:rPr>
            </w:pPr>
            <w:r>
              <w:rPr>
                <w:rFonts w:ascii="Arial" w:cs="Arial" w:eastAsia="Arial" w:hAnsi="Arial"/>
                <w:sz w:val="18"/>
                <w:szCs w:val="18"/>
                <w:b w:val="1"/>
                <w:bCs w:val="1"/>
                <w:color w:val="auto"/>
              </w:rPr>
              <w:t>TO</w:t>
            </w:r>
          </w:p>
        </w:tc>
        <w:tc>
          <w:tcPr>
            <w:tcW w:w="3640" w:type="dxa"/>
            <w:vAlign w:val="bottom"/>
          </w:tcPr>
          <w:p>
            <w:pPr>
              <w:spacing w:after="0"/>
              <w:rPr>
                <w:sz w:val="17"/>
                <w:szCs w:val="17"/>
                <w:color w:val="auto"/>
              </w:rPr>
            </w:pPr>
          </w:p>
        </w:tc>
      </w:tr>
      <w:tr>
        <w:trPr>
          <w:trHeight w:val="396"/>
        </w:trPr>
        <w:tc>
          <w:tcPr>
            <w:tcW w:w="7600" w:type="dxa"/>
            <w:vAlign w:val="bottom"/>
            <w:gridSpan w:val="4"/>
          </w:tcPr>
          <w:p>
            <w:pPr>
              <w:jc w:val="center"/>
              <w:ind w:left="3563"/>
              <w:spacing w:after="0"/>
              <w:rPr>
                <w:sz w:val="20"/>
                <w:szCs w:val="20"/>
                <w:color w:val="auto"/>
              </w:rPr>
            </w:pPr>
            <w:r>
              <w:rPr>
                <w:rFonts w:ascii="Arial" w:cs="Arial" w:eastAsia="Arial" w:hAnsi="Arial"/>
                <w:sz w:val="18"/>
                <w:szCs w:val="18"/>
                <w:b w:val="1"/>
                <w:bCs w:val="1"/>
                <w:color w:val="auto"/>
                <w:w w:val="96"/>
              </w:rPr>
              <w:t>COMMISSION FILE NUMBER: 814-00891</w:t>
            </w:r>
          </w:p>
        </w:tc>
        <w:tc>
          <w:tcPr>
            <w:tcW w:w="3640" w:type="dxa"/>
            <w:vAlign w:val="bottom"/>
          </w:tcPr>
          <w:p>
            <w:pPr>
              <w:spacing w:after="0"/>
              <w:rPr>
                <w:sz w:val="24"/>
                <w:szCs w:val="24"/>
                <w:color w:val="auto"/>
              </w:rPr>
            </w:pPr>
          </w:p>
        </w:tc>
      </w:tr>
      <w:tr>
        <w:trPr>
          <w:trHeight w:val="245"/>
        </w:trPr>
        <w:tc>
          <w:tcPr>
            <w:tcW w:w="65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4140" w:type="dxa"/>
            <w:vAlign w:val="bottom"/>
            <w:tcBorders>
              <w:bottom w:val="single" w:sz="8" w:color="auto"/>
            </w:tcBorders>
            <w:gridSpan w:val="3"/>
          </w:tcPr>
          <w:p>
            <w:pPr>
              <w:spacing w:after="0"/>
              <w:rPr>
                <w:sz w:val="21"/>
                <w:szCs w:val="21"/>
                <w:color w:val="auto"/>
              </w:rPr>
            </w:pPr>
          </w:p>
        </w:tc>
      </w:tr>
      <w:tr>
        <w:trPr>
          <w:trHeight w:val="426"/>
        </w:trPr>
        <w:tc>
          <w:tcPr>
            <w:tcW w:w="11240" w:type="dxa"/>
            <w:vAlign w:val="bottom"/>
            <w:gridSpan w:val="5"/>
          </w:tcPr>
          <w:p>
            <w:pPr>
              <w:jc w:val="center"/>
              <w:spacing w:after="0"/>
              <w:rPr>
                <w:sz w:val="20"/>
                <w:szCs w:val="20"/>
                <w:color w:val="auto"/>
              </w:rPr>
            </w:pPr>
            <w:r>
              <w:rPr>
                <w:rFonts w:ascii="Arial" w:cs="Arial" w:eastAsia="Arial" w:hAnsi="Arial"/>
                <w:sz w:val="32"/>
                <w:szCs w:val="32"/>
                <w:b w:val="1"/>
                <w:bCs w:val="1"/>
                <w:color w:val="auto"/>
              </w:rPr>
              <w:t>PENNANTPARK FLOATING RATE CAPITAL LTD.</w:t>
            </w:r>
          </w:p>
        </w:tc>
      </w:tr>
      <w:tr>
        <w:trPr>
          <w:trHeight w:val="174"/>
        </w:trPr>
        <w:tc>
          <w:tcPr>
            <w:tcW w:w="7120" w:type="dxa"/>
            <w:vAlign w:val="bottom"/>
            <w:gridSpan w:val="3"/>
          </w:tcPr>
          <w:p>
            <w:pPr>
              <w:jc w:val="center"/>
              <w:ind w:left="4063"/>
              <w:spacing w:after="0"/>
              <w:rPr>
                <w:sz w:val="20"/>
                <w:szCs w:val="20"/>
                <w:color w:val="auto"/>
              </w:rPr>
            </w:pPr>
            <w:r>
              <w:rPr>
                <w:rFonts w:ascii="Arial" w:cs="Arial" w:eastAsia="Arial" w:hAnsi="Arial"/>
                <w:sz w:val="13"/>
                <w:szCs w:val="13"/>
                <w:b w:val="1"/>
                <w:bCs w:val="1"/>
                <w:color w:val="auto"/>
                <w:w w:val="93"/>
              </w:rPr>
              <w:t>(Exact name of registrant as specified in its charter)</w:t>
            </w:r>
          </w:p>
        </w:tc>
        <w:tc>
          <w:tcPr>
            <w:tcW w:w="480" w:type="dxa"/>
            <w:vAlign w:val="bottom"/>
          </w:tcPr>
          <w:p>
            <w:pPr>
              <w:spacing w:after="0"/>
              <w:rPr>
                <w:sz w:val="15"/>
                <w:szCs w:val="15"/>
                <w:color w:val="auto"/>
              </w:rPr>
            </w:pPr>
          </w:p>
        </w:tc>
        <w:tc>
          <w:tcPr>
            <w:tcW w:w="3640" w:type="dxa"/>
            <w:vAlign w:val="bottom"/>
          </w:tcPr>
          <w:p>
            <w:pPr>
              <w:spacing w:after="0"/>
              <w:rPr>
                <w:sz w:val="15"/>
                <w:szCs w:val="15"/>
                <w:color w:val="auto"/>
              </w:rPr>
            </w:pPr>
          </w:p>
        </w:tc>
      </w:tr>
      <w:tr>
        <w:trPr>
          <w:trHeight w:val="217"/>
        </w:trPr>
        <w:tc>
          <w:tcPr>
            <w:tcW w:w="65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tcPr>
          <w:p>
            <w:pPr>
              <w:spacing w:after="0"/>
              <w:rPr>
                <w:sz w:val="18"/>
                <w:szCs w:val="18"/>
                <w:color w:val="auto"/>
              </w:rPr>
            </w:pPr>
          </w:p>
        </w:tc>
      </w:tr>
      <w:tr>
        <w:trPr>
          <w:trHeight w:val="237"/>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rPr>
              <w:t>MARYLAND</w:t>
            </w:r>
          </w:p>
        </w:tc>
        <w:tc>
          <w:tcPr>
            <w:tcW w:w="480" w:type="dxa"/>
            <w:vAlign w:val="bottom"/>
          </w:tcPr>
          <w:p>
            <w:pPr>
              <w:spacing w:after="0"/>
              <w:rPr>
                <w:sz w:val="20"/>
                <w:szCs w:val="20"/>
                <w:color w:val="auto"/>
              </w:rPr>
            </w:pPr>
          </w:p>
        </w:tc>
        <w:tc>
          <w:tcPr>
            <w:tcW w:w="3640" w:type="dxa"/>
            <w:vAlign w:val="bottom"/>
          </w:tcPr>
          <w:p>
            <w:pPr>
              <w:jc w:val="right"/>
              <w:ind w:right="2333"/>
              <w:spacing w:after="0"/>
              <w:rPr>
                <w:sz w:val="20"/>
                <w:szCs w:val="20"/>
                <w:color w:val="auto"/>
              </w:rPr>
            </w:pPr>
            <w:r>
              <w:rPr>
                <w:rFonts w:ascii="Arial" w:cs="Arial" w:eastAsia="Arial" w:hAnsi="Arial"/>
                <w:sz w:val="13"/>
                <w:szCs w:val="13"/>
                <w:b w:val="1"/>
                <w:bCs w:val="1"/>
                <w:color w:val="auto"/>
              </w:rPr>
              <w:t>27-3794690</w:t>
            </w:r>
          </w:p>
        </w:tc>
      </w:tr>
      <w:tr>
        <w:trPr>
          <w:trHeight w:val="149"/>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4"/>
              </w:rPr>
              <w:t>(State or other jurisdiction of</w:t>
            </w:r>
          </w:p>
        </w:tc>
        <w:tc>
          <w:tcPr>
            <w:tcW w:w="480" w:type="dxa"/>
            <w:vAlign w:val="bottom"/>
          </w:tcPr>
          <w:p>
            <w:pPr>
              <w:spacing w:after="0"/>
              <w:rPr>
                <w:sz w:val="12"/>
                <w:szCs w:val="12"/>
                <w:color w:val="auto"/>
              </w:rPr>
            </w:pPr>
          </w:p>
        </w:tc>
        <w:tc>
          <w:tcPr>
            <w:tcW w:w="3640" w:type="dxa"/>
            <w:vAlign w:val="bottom"/>
          </w:tcPr>
          <w:p>
            <w:pPr>
              <w:jc w:val="center"/>
              <w:ind w:right="1753"/>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4"/>
              </w:rPr>
              <w:t>incorporation or organization)</w:t>
            </w:r>
          </w:p>
        </w:tc>
        <w:tc>
          <w:tcPr>
            <w:tcW w:w="480" w:type="dxa"/>
            <w:vAlign w:val="bottom"/>
          </w:tcPr>
          <w:p>
            <w:pPr>
              <w:spacing w:after="0"/>
              <w:rPr>
                <w:sz w:val="15"/>
                <w:szCs w:val="15"/>
                <w:color w:val="auto"/>
              </w:rPr>
            </w:pPr>
          </w:p>
        </w:tc>
        <w:tc>
          <w:tcPr>
            <w:tcW w:w="3640" w:type="dxa"/>
            <w:vAlign w:val="bottom"/>
          </w:tcPr>
          <w:p>
            <w:pPr>
              <w:jc w:val="center"/>
              <w:ind w:right="1753"/>
              <w:spacing w:after="0"/>
              <w:rPr>
                <w:sz w:val="20"/>
                <w:szCs w:val="20"/>
                <w:color w:val="auto"/>
              </w:rPr>
            </w:pPr>
            <w:r>
              <w:rPr>
                <w:rFonts w:ascii="Arial" w:cs="Arial" w:eastAsia="Arial" w:hAnsi="Arial"/>
                <w:sz w:val="13"/>
                <w:szCs w:val="13"/>
                <w:b w:val="1"/>
                <w:bCs w:val="1"/>
                <w:color w:val="auto"/>
                <w:w w:val="96"/>
              </w:rPr>
              <w:t>Identification No.)</w:t>
            </w:r>
          </w:p>
        </w:tc>
      </w:tr>
      <w:tr>
        <w:trPr>
          <w:trHeight w:val="338"/>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3"/>
              </w:rPr>
              <w:t>590 Madison Avenue,</w:t>
            </w: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76"/>
        </w:trPr>
        <w:tc>
          <w:tcPr>
            <w:tcW w:w="7120" w:type="dxa"/>
            <w:vAlign w:val="bottom"/>
            <w:gridSpan w:val="3"/>
          </w:tcPr>
          <w:p>
            <w:pPr>
              <w:jc w:val="center"/>
              <w:ind w:right="1440"/>
              <w:spacing w:after="0" w:line="176" w:lineRule="exact"/>
              <w:rPr>
                <w:sz w:val="20"/>
                <w:szCs w:val="20"/>
                <w:color w:val="auto"/>
              </w:rPr>
            </w:pPr>
            <w:r>
              <w:rPr>
                <w:rFonts w:ascii="Arial" w:cs="Arial" w:eastAsia="Arial" w:hAnsi="Arial"/>
                <w:sz w:val="12"/>
                <w:szCs w:val="12"/>
                <w:b w:val="1"/>
                <w:bCs w:val="1"/>
                <w:color w:val="auto"/>
              </w:rPr>
              <w:t>15</w:t>
            </w:r>
            <w:r>
              <w:rPr>
                <w:rFonts w:ascii="Arial" w:cs="Arial" w:eastAsia="Arial" w:hAnsi="Arial"/>
                <w:sz w:val="20"/>
                <w:szCs w:val="20"/>
                <w:b w:val="1"/>
                <w:bCs w:val="1"/>
                <w:color w:val="auto"/>
                <w:vertAlign w:val="superscript"/>
              </w:rPr>
              <w:t>th</w:t>
            </w:r>
            <w:r>
              <w:rPr>
                <w:rFonts w:ascii="Arial" w:cs="Arial" w:eastAsia="Arial" w:hAnsi="Arial"/>
                <w:sz w:val="12"/>
                <w:szCs w:val="12"/>
                <w:b w:val="1"/>
                <w:bCs w:val="1"/>
                <w:color w:val="auto"/>
              </w:rPr>
              <w:t xml:space="preserve"> Floor, New York, N.Y.</w:t>
            </w:r>
          </w:p>
        </w:tc>
        <w:tc>
          <w:tcPr>
            <w:tcW w:w="480" w:type="dxa"/>
            <w:vAlign w:val="bottom"/>
          </w:tcPr>
          <w:p>
            <w:pPr>
              <w:spacing w:after="0"/>
              <w:rPr>
                <w:sz w:val="15"/>
                <w:szCs w:val="15"/>
                <w:color w:val="auto"/>
              </w:rPr>
            </w:pPr>
          </w:p>
        </w:tc>
        <w:tc>
          <w:tcPr>
            <w:tcW w:w="3640" w:type="dxa"/>
            <w:vAlign w:val="bottom"/>
          </w:tcPr>
          <w:p>
            <w:pPr>
              <w:jc w:val="right"/>
              <w:ind w:right="2493"/>
              <w:spacing w:after="0"/>
              <w:rPr>
                <w:sz w:val="20"/>
                <w:szCs w:val="20"/>
                <w:color w:val="auto"/>
              </w:rPr>
            </w:pPr>
            <w:r>
              <w:rPr>
                <w:rFonts w:ascii="Arial" w:cs="Arial" w:eastAsia="Arial" w:hAnsi="Arial"/>
                <w:sz w:val="13"/>
                <w:szCs w:val="13"/>
                <w:b w:val="1"/>
                <w:bCs w:val="1"/>
                <w:color w:val="auto"/>
              </w:rPr>
              <w:t>10022</w:t>
            </w:r>
          </w:p>
        </w:tc>
      </w:tr>
      <w:tr>
        <w:trPr>
          <w:trHeight w:val="174"/>
        </w:trPr>
        <w:tc>
          <w:tcPr>
            <w:tcW w:w="7120" w:type="dxa"/>
            <w:vAlign w:val="bottom"/>
            <w:gridSpan w:val="3"/>
          </w:tcPr>
          <w:p>
            <w:pPr>
              <w:jc w:val="center"/>
              <w:ind w:right="144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480" w:type="dxa"/>
            <w:vAlign w:val="bottom"/>
          </w:tcPr>
          <w:p>
            <w:pPr>
              <w:spacing w:after="0"/>
              <w:rPr>
                <w:sz w:val="15"/>
                <w:szCs w:val="15"/>
                <w:color w:val="auto"/>
              </w:rPr>
            </w:pPr>
          </w:p>
        </w:tc>
        <w:tc>
          <w:tcPr>
            <w:tcW w:w="3640" w:type="dxa"/>
            <w:vAlign w:val="bottom"/>
          </w:tcPr>
          <w:p>
            <w:pPr>
              <w:jc w:val="center"/>
              <w:ind w:right="1753"/>
              <w:spacing w:after="0"/>
              <w:rPr>
                <w:sz w:val="20"/>
                <w:szCs w:val="20"/>
                <w:color w:val="auto"/>
              </w:rPr>
            </w:pPr>
            <w:r>
              <w:rPr>
                <w:rFonts w:ascii="Arial" w:cs="Arial" w:eastAsia="Arial" w:hAnsi="Arial"/>
                <w:sz w:val="13"/>
                <w:szCs w:val="13"/>
                <w:b w:val="1"/>
                <w:bCs w:val="1"/>
                <w:color w:val="auto"/>
                <w:w w:val="96"/>
              </w:rPr>
              <w:t>(Zip Code)</w:t>
            </w:r>
          </w:p>
        </w:tc>
      </w:tr>
      <w:tr>
        <w:trPr>
          <w:trHeight w:val="285"/>
        </w:trPr>
        <w:tc>
          <w:tcPr>
            <w:tcW w:w="6580" w:type="dxa"/>
            <w:vAlign w:val="bottom"/>
          </w:tcPr>
          <w:p>
            <w:pPr>
              <w:jc w:val="center"/>
              <w:ind w:left="4603"/>
              <w:spacing w:after="0"/>
              <w:rPr>
                <w:sz w:val="20"/>
                <w:szCs w:val="20"/>
                <w:color w:val="auto"/>
              </w:rPr>
            </w:pPr>
            <w:r>
              <w:rPr>
                <w:rFonts w:ascii="Arial" w:cs="Arial" w:eastAsia="Arial" w:hAnsi="Arial"/>
                <w:sz w:val="13"/>
                <w:szCs w:val="13"/>
                <w:b w:val="1"/>
                <w:bCs w:val="1"/>
                <w:color w:val="auto"/>
                <w:w w:val="95"/>
              </w:rPr>
              <w:t>(212)-905-1000</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40" w:type="dxa"/>
            <w:vAlign w:val="bottom"/>
          </w:tcPr>
          <w:p>
            <w:pPr>
              <w:spacing w:after="0"/>
              <w:rPr>
                <w:sz w:val="24"/>
                <w:szCs w:val="24"/>
                <w:color w:val="auto"/>
              </w:rPr>
            </w:pPr>
          </w:p>
        </w:tc>
      </w:tr>
      <w:tr>
        <w:trPr>
          <w:trHeight w:val="174"/>
        </w:trPr>
        <w:tc>
          <w:tcPr>
            <w:tcW w:w="7600" w:type="dxa"/>
            <w:vAlign w:val="bottom"/>
            <w:gridSpan w:val="4"/>
          </w:tcPr>
          <w:p>
            <w:pPr>
              <w:jc w:val="center"/>
              <w:ind w:left="3583"/>
              <w:spacing w:after="0"/>
              <w:rPr>
                <w:sz w:val="20"/>
                <w:szCs w:val="20"/>
                <w:color w:val="auto"/>
              </w:rPr>
            </w:pPr>
            <w:r>
              <w:rPr>
                <w:rFonts w:ascii="Arial" w:cs="Arial" w:eastAsia="Arial" w:hAnsi="Arial"/>
                <w:sz w:val="13"/>
                <w:szCs w:val="13"/>
                <w:b w:val="1"/>
                <w:bCs w:val="1"/>
                <w:color w:val="auto"/>
                <w:w w:val="93"/>
              </w:rPr>
              <w:t>(Registrant’s Telephone Number, Including Area Code)</w:t>
            </w:r>
          </w:p>
        </w:tc>
        <w:tc>
          <w:tcPr>
            <w:tcW w:w="3640" w:type="dxa"/>
            <w:vAlign w:val="bottom"/>
          </w:tcPr>
          <w:p>
            <w:pPr>
              <w:spacing w:after="0"/>
              <w:rPr>
                <w:sz w:val="15"/>
                <w:szCs w:val="15"/>
                <w:color w:val="auto"/>
              </w:rPr>
            </w:pPr>
          </w:p>
        </w:tc>
      </w:tr>
      <w:tr>
        <w:trPr>
          <w:trHeight w:val="230"/>
        </w:trPr>
        <w:tc>
          <w:tcPr>
            <w:tcW w:w="65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gridSpan w:val="3"/>
          </w:tcPr>
          <w:p>
            <w:pPr>
              <w:spacing w:after="0"/>
              <w:rPr>
                <w:sz w:val="20"/>
                <w:szCs w:val="20"/>
                <w:color w:val="auto"/>
              </w:rPr>
            </w:pPr>
          </w:p>
        </w:tc>
      </w:tr>
      <w:tr>
        <w:trPr>
          <w:trHeight w:val="196"/>
        </w:trPr>
        <w:tc>
          <w:tcPr>
            <w:tcW w:w="11240" w:type="dxa"/>
            <w:vAlign w:val="bottom"/>
            <w:gridSpan w:val="5"/>
          </w:tcPr>
          <w:p>
            <w:pPr>
              <w:ind w:left="340"/>
              <w:spacing w:after="0"/>
              <w:rPr>
                <w:sz w:val="20"/>
                <w:szCs w:val="20"/>
                <w:color w:val="auto"/>
              </w:rPr>
            </w:pPr>
            <w:r>
              <w:rPr>
                <w:rFonts w:ascii="Arial" w:cs="Arial" w:eastAsia="Arial" w:hAnsi="Arial"/>
                <w:sz w:val="13"/>
                <w:szCs w:val="13"/>
                <w:color w:val="auto"/>
                <w:w w:val="97"/>
              </w:rPr>
              <w:t>Indicate by check mark whether the registrant (1) has filed all reports required to be filed by Section 13 or 15(d) of the Securities Exchange Act of 1934 during the preceding 12 months (or for such</w:t>
            </w:r>
          </w:p>
        </w:tc>
      </w:tr>
      <w:tr>
        <w:trPr>
          <w:trHeight w:val="211"/>
        </w:trPr>
        <w:tc>
          <w:tcPr>
            <w:tcW w:w="7600" w:type="dxa"/>
            <w:vAlign w:val="bottom"/>
            <w:gridSpan w:val="4"/>
          </w:tcPr>
          <w:p>
            <w:pPr>
              <w:spacing w:after="0"/>
              <w:rPr>
                <w:sz w:val="20"/>
                <w:szCs w:val="20"/>
                <w:color w:val="auto"/>
              </w:rPr>
            </w:pPr>
            <w:r>
              <w:rPr>
                <w:rFonts w:ascii="Arial" w:cs="Arial" w:eastAsia="Arial" w:hAnsi="Arial"/>
                <w:sz w:val="13"/>
                <w:szCs w:val="13"/>
                <w:color w:val="auto"/>
                <w:w w:val="94"/>
              </w:rPr>
              <w:t>shorter period that the registrant was required to file such reports), and (2) has been subject to such filing requirements for the past 90 days.</w:t>
            </w:r>
          </w:p>
        </w:tc>
        <w:tc>
          <w:tcPr>
            <w:tcW w:w="3640" w:type="dxa"/>
            <w:vAlign w:val="bottom"/>
          </w:tcPr>
          <w:p>
            <w:pPr>
              <w:ind w:left="6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r>
              <w:rPr>
                <w:rFonts w:ascii="Arial" w:cs="Arial" w:eastAsia="Arial" w:hAnsi="Arial"/>
                <w:sz w:val="13"/>
                <w:szCs w:val="13"/>
                <w:color w:val="auto"/>
              </w:rPr>
              <w:t>.</w:t>
            </w:r>
          </w:p>
        </w:tc>
      </w:tr>
    </w:tbl>
    <w:p>
      <w:pPr>
        <w:spacing w:after="0" w:line="115" w:lineRule="exact"/>
        <w:rPr>
          <w:sz w:val="24"/>
          <w:szCs w:val="24"/>
          <w:color w:val="auto"/>
        </w:rPr>
      </w:pPr>
    </w:p>
    <w:p>
      <w:pPr>
        <w:ind w:right="120" w:firstLine="337"/>
        <w:spacing w:after="0" w:line="168" w:lineRule="exact"/>
        <w:rPr>
          <w:sz w:val="20"/>
          <w:szCs w:val="20"/>
          <w:color w:val="auto"/>
        </w:rPr>
      </w:pPr>
      <w:r>
        <w:rPr>
          <w:rFonts w:ascii="Arial" w:cs="Arial" w:eastAsia="Arial" w:hAnsi="Arial"/>
          <w:sz w:val="12"/>
          <w:szCs w:val="12"/>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24" w:lineRule="exact"/>
        <w:rPr>
          <w:sz w:val="24"/>
          <w:szCs w:val="24"/>
          <w:color w:val="auto"/>
        </w:rPr>
      </w:pPr>
    </w:p>
    <w:p>
      <w:pPr>
        <w:ind w:left="340"/>
        <w:spacing w:after="0"/>
        <w:rPr>
          <w:sz w:val="20"/>
          <w:szCs w:val="20"/>
          <w:color w:val="auto"/>
        </w:rPr>
      </w:pPr>
      <w:r>
        <w:rPr>
          <w:rFonts w:ascii="Arial" w:cs="Arial" w:eastAsia="Arial" w:hAnsi="Arial"/>
          <w:sz w:val="12"/>
          <w:szCs w:val="12"/>
          <w:color w:val="auto"/>
        </w:rPr>
        <w:t>Indicate by check mark whether the registrant is a large accelerated filer, an accelerated filer, or a non-accelerated filer. See definition of “accelerated filer” and “large accelerated filer” in Rule 12b-2 of</w:t>
      </w:r>
    </w:p>
    <w:p>
      <w:pPr>
        <w:spacing w:after="0" w:line="23"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1400" w:type="dxa"/>
            <w:vAlign w:val="bottom"/>
          </w:tcPr>
          <w:p>
            <w:pPr>
              <w:spacing w:after="0"/>
              <w:rPr>
                <w:sz w:val="20"/>
                <w:szCs w:val="20"/>
                <w:color w:val="auto"/>
              </w:rPr>
            </w:pPr>
            <w:r>
              <w:rPr>
                <w:rFonts w:ascii="Arial" w:cs="Arial" w:eastAsia="Arial" w:hAnsi="Arial"/>
                <w:sz w:val="13"/>
                <w:szCs w:val="13"/>
                <w:color w:val="auto"/>
              </w:rPr>
              <w:t>the Exchange Act.</w:t>
            </w:r>
          </w:p>
        </w:tc>
        <w:tc>
          <w:tcPr>
            <w:tcW w:w="56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353"/>
        </w:trPr>
        <w:tc>
          <w:tcPr>
            <w:tcW w:w="1400" w:type="dxa"/>
            <w:vAlign w:val="bottom"/>
          </w:tcPr>
          <w:p>
            <w:pPr>
              <w:spacing w:after="0"/>
              <w:rPr>
                <w:sz w:val="20"/>
                <w:szCs w:val="20"/>
                <w:color w:val="auto"/>
              </w:rPr>
            </w:pPr>
            <w:r>
              <w:rPr>
                <w:rFonts w:ascii="Arial" w:cs="Arial" w:eastAsia="Arial" w:hAnsi="Arial"/>
                <w:sz w:val="13"/>
                <w:szCs w:val="13"/>
                <w:color w:val="auto"/>
              </w:rPr>
              <w:t>Large accelerated filer</w:t>
            </w:r>
          </w:p>
        </w:tc>
        <w:tc>
          <w:tcPr>
            <w:tcW w:w="5660" w:type="dxa"/>
            <w:vAlign w:val="bottom"/>
          </w:tcPr>
          <w:p>
            <w:pPr>
              <w:ind w:left="180"/>
              <w:spacing w:after="0" w:line="131" w:lineRule="exact"/>
              <w:rPr>
                <w:sz w:val="20"/>
                <w:szCs w:val="20"/>
                <w:color w:val="auto"/>
              </w:rPr>
            </w:pPr>
            <w:r>
              <w:rPr>
                <w:rFonts w:ascii="MS PGothic" w:cs="MS PGothic" w:eastAsia="MS PGothic" w:hAnsi="MS PGothic"/>
                <w:sz w:val="13"/>
                <w:szCs w:val="13"/>
                <w:color w:val="auto"/>
              </w:rPr>
              <w:t>☐</w:t>
            </w:r>
          </w:p>
        </w:tc>
        <w:tc>
          <w:tcPr>
            <w:tcW w:w="3840" w:type="dxa"/>
            <w:vAlign w:val="bottom"/>
          </w:tcPr>
          <w:p>
            <w:pPr>
              <w:ind w:left="2160"/>
              <w:spacing w:after="0"/>
              <w:rPr>
                <w:sz w:val="20"/>
                <w:szCs w:val="20"/>
                <w:color w:val="auto"/>
              </w:rPr>
            </w:pPr>
            <w:r>
              <w:rPr>
                <w:rFonts w:ascii="Arial" w:cs="Arial" w:eastAsia="Arial" w:hAnsi="Arial"/>
                <w:sz w:val="13"/>
                <w:szCs w:val="13"/>
                <w:color w:val="auto"/>
              </w:rPr>
              <w:t>Accelerated filer</w:t>
            </w:r>
          </w:p>
        </w:tc>
        <w:tc>
          <w:tcPr>
            <w:tcW w:w="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56"/>
        </w:trPr>
        <w:tc>
          <w:tcPr>
            <w:tcW w:w="1400" w:type="dxa"/>
            <w:vAlign w:val="bottom"/>
          </w:tcPr>
          <w:p>
            <w:pPr>
              <w:spacing w:after="0"/>
              <w:rPr>
                <w:sz w:val="20"/>
                <w:szCs w:val="20"/>
                <w:color w:val="auto"/>
              </w:rPr>
            </w:pPr>
            <w:r>
              <w:rPr>
                <w:rFonts w:ascii="Arial" w:cs="Arial" w:eastAsia="Arial" w:hAnsi="Arial"/>
                <w:sz w:val="13"/>
                <w:szCs w:val="13"/>
                <w:color w:val="auto"/>
              </w:rPr>
              <w:t>Non-accelerated filer</w:t>
            </w:r>
          </w:p>
        </w:tc>
        <w:tc>
          <w:tcPr>
            <w:tcW w:w="5660" w:type="dxa"/>
            <w:vAlign w:val="bottom"/>
          </w:tcPr>
          <w:p>
            <w:pPr>
              <w:ind w:left="180"/>
              <w:spacing w:after="0" w:line="150" w:lineRule="exact"/>
              <w:rPr>
                <w:sz w:val="20"/>
                <w:szCs w:val="20"/>
                <w:color w:val="auto"/>
              </w:rPr>
            </w:pPr>
            <w:r>
              <w:rPr>
                <w:rFonts w:ascii="MS PGothic" w:cs="MS PGothic" w:eastAsia="MS PGothic" w:hAnsi="MS PGothic"/>
                <w:sz w:val="13"/>
                <w:szCs w:val="13"/>
                <w:color w:val="auto"/>
              </w:rPr>
              <w:t>☐</w:t>
            </w:r>
            <w:r>
              <w:rPr>
                <w:rFonts w:ascii="Arial" w:cs="Arial" w:eastAsia="Arial" w:hAnsi="Arial"/>
                <w:sz w:val="13"/>
                <w:szCs w:val="13"/>
                <w:color w:val="auto"/>
              </w:rPr>
              <w:t xml:space="preserve"> (Do not check if a smaller reporting company)</w:t>
            </w:r>
          </w:p>
        </w:tc>
        <w:tc>
          <w:tcPr>
            <w:tcW w:w="3840" w:type="dxa"/>
            <w:vAlign w:val="bottom"/>
          </w:tcPr>
          <w:p>
            <w:pPr>
              <w:ind w:left="2160"/>
              <w:spacing w:after="0"/>
              <w:rPr>
                <w:sz w:val="20"/>
                <w:szCs w:val="20"/>
                <w:color w:val="auto"/>
              </w:rPr>
            </w:pPr>
            <w:r>
              <w:rPr>
                <w:rFonts w:ascii="Arial" w:cs="Arial" w:eastAsia="Arial" w:hAnsi="Arial"/>
                <w:sz w:val="13"/>
                <w:szCs w:val="13"/>
                <w:color w:val="auto"/>
              </w:rPr>
              <w:t>Smaller reporting company</w:t>
            </w:r>
          </w:p>
        </w:tc>
        <w:tc>
          <w:tcPr>
            <w:tcW w:w="340" w:type="dxa"/>
            <w:vAlign w:val="bottom"/>
          </w:tcPr>
          <w:p>
            <w:pPr>
              <w:ind w:left="22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311"/>
        </w:trPr>
        <w:tc>
          <w:tcPr>
            <w:tcW w:w="7060" w:type="dxa"/>
            <w:vAlign w:val="bottom"/>
            <w:gridSpan w:val="2"/>
          </w:tcPr>
          <w:p>
            <w:pPr>
              <w:ind w:left="340"/>
              <w:spacing w:after="0" w:line="150" w:lineRule="exact"/>
              <w:rPr>
                <w:sz w:val="20"/>
                <w:szCs w:val="20"/>
                <w:color w:val="auto"/>
              </w:rPr>
            </w:pPr>
            <w:r>
              <w:rPr>
                <w:rFonts w:ascii="Arial" w:cs="Arial" w:eastAsia="Arial" w:hAnsi="Arial"/>
                <w:sz w:val="13"/>
                <w:szCs w:val="13"/>
                <w:color w:val="auto"/>
                <w:w w:val="96"/>
              </w:rPr>
              <w:t xml:space="preserve">Indicate by check mark whether the registrant is a shell company (as defined in Rule 12b-2 of the Exchange Act).  Yes </w:t>
            </w:r>
            <w:r>
              <w:rPr>
                <w:rFonts w:ascii="MS PGothic" w:cs="MS PGothic" w:eastAsia="MS PGothic" w:hAnsi="MS PGothic"/>
                <w:sz w:val="13"/>
                <w:szCs w:val="13"/>
                <w:color w:val="auto"/>
                <w:w w:val="96"/>
              </w:rPr>
              <w:t>☐</w:t>
            </w:r>
          </w:p>
        </w:tc>
        <w:tc>
          <w:tcPr>
            <w:tcW w:w="3840" w:type="dxa"/>
            <w:vAlign w:val="bottom"/>
          </w:tcPr>
          <w:p>
            <w:pPr>
              <w:ind w:left="60"/>
              <w:spacing w:after="0" w:line="150" w:lineRule="exact"/>
              <w:rPr>
                <w:sz w:val="20"/>
                <w:szCs w:val="20"/>
                <w:color w:val="auto"/>
              </w:rPr>
            </w:pPr>
            <w:r>
              <w:rPr>
                <w:rFonts w:ascii="Arial" w:cs="Arial" w:eastAsia="Arial" w:hAnsi="Arial"/>
                <w:sz w:val="13"/>
                <w:szCs w:val="13"/>
                <w:color w:val="auto"/>
              </w:rPr>
              <w:t xml:space="preserve">No </w:t>
            </w:r>
            <w:r>
              <w:rPr>
                <w:rFonts w:ascii="MS PGothic" w:cs="MS PGothic" w:eastAsia="MS PGothic" w:hAnsi="MS PGothic"/>
                <w:sz w:val="13"/>
                <w:szCs w:val="13"/>
                <w:color w:val="auto"/>
              </w:rPr>
              <w:t>☒</w:t>
            </w:r>
            <w:r>
              <w:rPr>
                <w:rFonts w:ascii="Arial" w:cs="Arial" w:eastAsia="Arial" w:hAnsi="Arial"/>
                <w:sz w:val="13"/>
                <w:szCs w:val="13"/>
                <w:color w:val="auto"/>
              </w:rPr>
              <w:t>.</w:t>
            </w:r>
          </w:p>
        </w:tc>
        <w:tc>
          <w:tcPr>
            <w:tcW w:w="340" w:type="dxa"/>
            <w:vAlign w:val="bottom"/>
          </w:tcPr>
          <w:p>
            <w:pPr>
              <w:spacing w:after="0"/>
              <w:rPr>
                <w:sz w:val="24"/>
                <w:szCs w:val="24"/>
                <w:color w:val="auto"/>
              </w:rPr>
            </w:pPr>
          </w:p>
        </w:tc>
      </w:tr>
      <w:tr>
        <w:trPr>
          <w:trHeight w:val="296"/>
        </w:trPr>
        <w:tc>
          <w:tcPr>
            <w:tcW w:w="7060" w:type="dxa"/>
            <w:vAlign w:val="bottom"/>
            <w:gridSpan w:val="2"/>
          </w:tcPr>
          <w:p>
            <w:pPr>
              <w:ind w:left="340"/>
              <w:spacing w:after="0"/>
              <w:rPr>
                <w:sz w:val="20"/>
                <w:szCs w:val="20"/>
                <w:color w:val="auto"/>
              </w:rPr>
            </w:pPr>
            <w:r>
              <w:rPr>
                <w:rFonts w:ascii="Arial" w:cs="Arial" w:eastAsia="Arial" w:hAnsi="Arial"/>
                <w:sz w:val="13"/>
                <w:szCs w:val="13"/>
                <w:color w:val="auto"/>
                <w:w w:val="98"/>
              </w:rPr>
              <w:t>The number of shares of the issuer’s common stock, $0.001 par value, outstanding as of May 8, 2014 was 14,898,056.</w:t>
            </w:r>
          </w:p>
        </w:tc>
        <w:tc>
          <w:tcPr>
            <w:tcW w:w="384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49"/>
        </w:trPr>
        <w:tc>
          <w:tcPr>
            <w:tcW w:w="1400" w:type="dxa"/>
            <w:vAlign w:val="bottom"/>
            <w:tcBorders>
              <w:bottom w:val="single" w:sz="8" w:color="auto"/>
            </w:tcBorders>
          </w:tcPr>
          <w:p>
            <w:pPr>
              <w:spacing w:after="0"/>
              <w:rPr>
                <w:sz w:val="12"/>
                <w:szCs w:val="12"/>
                <w:color w:val="auto"/>
              </w:rPr>
            </w:pPr>
          </w:p>
        </w:tc>
        <w:tc>
          <w:tcPr>
            <w:tcW w:w="5660" w:type="dxa"/>
            <w:vAlign w:val="bottom"/>
            <w:tcBorders>
              <w:bottom w:val="single" w:sz="8" w:color="auto"/>
            </w:tcBorders>
          </w:tcPr>
          <w:p>
            <w:pPr>
              <w:spacing w:after="0"/>
              <w:rPr>
                <w:sz w:val="12"/>
                <w:szCs w:val="12"/>
                <w:color w:val="auto"/>
              </w:rPr>
            </w:pPr>
          </w:p>
        </w:tc>
        <w:tc>
          <w:tcPr>
            <w:tcW w:w="384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r>
    </w:tbl>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PENNANTPARK FLOATING RATE CAPITAL LTD.</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3"/>
          <w:szCs w:val="13"/>
          <w:b w:val="1"/>
          <w:bCs w:val="1"/>
          <w:color w:val="auto"/>
        </w:rPr>
        <w:t>FORM 10-Q</w:t>
      </w:r>
    </w:p>
    <w:p>
      <w:pPr>
        <w:jc w:val="center"/>
        <w:ind w:right="-59"/>
        <w:spacing w:after="0"/>
        <w:rPr>
          <w:sz w:val="20"/>
          <w:szCs w:val="20"/>
          <w:color w:val="auto"/>
        </w:rPr>
      </w:pPr>
      <w:r>
        <w:rPr>
          <w:rFonts w:ascii="Arial" w:cs="Arial" w:eastAsia="Arial" w:hAnsi="Arial"/>
          <w:sz w:val="13"/>
          <w:szCs w:val="13"/>
          <w:b w:val="1"/>
          <w:bCs w:val="1"/>
          <w:color w:val="auto"/>
        </w:rPr>
        <w:t>FOR THE QUARTER ENDED MARCH 31, 2014</w:t>
      </w:r>
    </w:p>
    <w:p>
      <w:pPr>
        <w:jc w:val="center"/>
        <w:ind w:right="-59"/>
        <w:spacing w:after="0"/>
        <w:rPr>
          <w:sz w:val="20"/>
          <w:szCs w:val="20"/>
          <w:color w:val="auto"/>
        </w:rPr>
      </w:pPr>
      <w:r>
        <w:rPr>
          <w:rFonts w:ascii="Arial" w:cs="Arial" w:eastAsia="Arial" w:hAnsi="Arial"/>
          <w:sz w:val="13"/>
          <w:szCs w:val="13"/>
          <w:b w:val="1"/>
          <w:bCs w:val="1"/>
          <w:color w:val="auto"/>
        </w:rPr>
        <w:t>TABLE OF CONTENTS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080" w:type="dxa"/>
            <w:vAlign w:val="bottom"/>
          </w:tcPr>
          <w:p>
            <w:pPr>
              <w:ind w:left="3680"/>
              <w:spacing w:after="0"/>
              <w:rPr>
                <w:rFonts w:ascii="Arial" w:cs="Arial" w:eastAsia="Arial" w:hAnsi="Arial"/>
                <w:sz w:val="13"/>
                <w:szCs w:val="13"/>
                <w:b w:val="1"/>
                <w:bCs w:val="1"/>
                <w:u w:val="single" w:color="auto"/>
                <w:color w:val="0000EE"/>
              </w:rPr>
            </w:pPr>
            <w:hyperlink w:anchor="page3">
              <w:r>
                <w:rPr>
                  <w:rFonts w:ascii="Arial" w:cs="Arial" w:eastAsia="Arial" w:hAnsi="Arial"/>
                  <w:sz w:val="13"/>
                  <w:szCs w:val="13"/>
                  <w:b w:val="1"/>
                  <w:bCs w:val="1"/>
                  <w:u w:val="single" w:color="auto"/>
                  <w:color w:val="0000EE"/>
                </w:rPr>
                <w:t>PART I. CONSOLIDATED FINANCIAL INFORMATION</w:t>
              </w:r>
            </w:hyperlink>
          </w:p>
        </w:tc>
        <w:tc>
          <w:tcPr>
            <w:tcW w:w="2100" w:type="dxa"/>
            <w:vAlign w:val="bottom"/>
          </w:tcPr>
          <w:p>
            <w:pPr>
              <w:spacing w:after="0"/>
              <w:rPr>
                <w:sz w:val="15"/>
                <w:szCs w:val="15"/>
                <w:color w:val="auto"/>
              </w:rPr>
            </w:pP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Item 1. Consolidated Financial Statements</w:t>
              </w:r>
            </w:hyperlink>
          </w:p>
        </w:tc>
        <w:tc>
          <w:tcPr>
            <w:tcW w:w="2100" w:type="dxa"/>
            <w:vAlign w:val="bottom"/>
          </w:tcPr>
          <w:p>
            <w:pPr>
              <w:spacing w:after="0"/>
              <w:rPr>
                <w:sz w:val="22"/>
                <w:szCs w:val="22"/>
                <w:color w:val="auto"/>
              </w:rPr>
            </w:pP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4">
              <w:r>
                <w:rPr>
                  <w:rFonts w:ascii="Arial" w:cs="Arial" w:eastAsia="Arial" w:hAnsi="Arial"/>
                  <w:sz w:val="13"/>
                  <w:szCs w:val="13"/>
                  <w:u w:val="single" w:color="auto"/>
                  <w:color w:val="0000EE"/>
                </w:rPr>
                <w:t>Consolidated Statements of Assets and Liabilities as of March 31, 2014 (unaudited) and September 30, 2013</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2</w:t>
            </w: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5">
              <w:r>
                <w:rPr>
                  <w:rFonts w:ascii="Arial" w:cs="Arial" w:eastAsia="Arial" w:hAnsi="Arial"/>
                  <w:sz w:val="13"/>
                  <w:szCs w:val="13"/>
                  <w:u w:val="single" w:color="auto"/>
                  <w:color w:val="0000EE"/>
                </w:rPr>
                <w:t>Consolidated Statements of Operations for the three and six months ended March 31, 2014 and 2013 (unaudited)</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w:t>
            </w: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6">
              <w:r>
                <w:rPr>
                  <w:rFonts w:ascii="Arial" w:cs="Arial" w:eastAsia="Arial" w:hAnsi="Arial"/>
                  <w:sz w:val="13"/>
                  <w:szCs w:val="13"/>
                  <w:u w:val="single" w:color="auto"/>
                  <w:color w:val="0000EE"/>
                </w:rPr>
                <w:t>Consolidated Statements of Changes in Net Assets for the six months ended March 31, 2014 and 2013 (unaudited)</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4</w:t>
            </w:r>
          </w:p>
        </w:tc>
      </w:tr>
      <w:tr>
        <w:trPr>
          <w:trHeight w:val="256"/>
        </w:trPr>
        <w:tc>
          <w:tcPr>
            <w:tcW w:w="9080" w:type="dxa"/>
            <w:vAlign w:val="bottom"/>
          </w:tcPr>
          <w:p>
            <w:pPr>
              <w:ind w:left="440"/>
              <w:spacing w:after="0"/>
              <w:rPr>
                <w:rFonts w:ascii="Arial" w:cs="Arial" w:eastAsia="Arial" w:hAnsi="Arial"/>
                <w:sz w:val="13"/>
                <w:szCs w:val="13"/>
                <w:u w:val="single" w:color="auto"/>
                <w:color w:val="0000EE"/>
              </w:rPr>
            </w:pPr>
            <w:hyperlink w:anchor="page7">
              <w:r>
                <w:rPr>
                  <w:rFonts w:ascii="Arial" w:cs="Arial" w:eastAsia="Arial" w:hAnsi="Arial"/>
                  <w:sz w:val="13"/>
                  <w:szCs w:val="13"/>
                  <w:u w:val="single" w:color="auto"/>
                  <w:color w:val="0000EE"/>
                </w:rPr>
                <w:t>Consolidated Statements of Cash Flows for the six months ended March 31, 2014 and 2013 (unaudited)</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5</w:t>
            </w: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8">
              <w:r>
                <w:rPr>
                  <w:rFonts w:ascii="Arial" w:cs="Arial" w:eastAsia="Arial" w:hAnsi="Arial"/>
                  <w:sz w:val="13"/>
                  <w:szCs w:val="13"/>
                  <w:u w:val="single" w:color="auto"/>
                  <w:color w:val="0000EE"/>
                </w:rPr>
                <w:t>Consolidated Schedules of Investments as of March 31, 2014 (unaudited) and September 30, 2013</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6</w:t>
            </w: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13">
              <w:r>
                <w:rPr>
                  <w:rFonts w:ascii="Arial" w:cs="Arial" w:eastAsia="Arial" w:hAnsi="Arial"/>
                  <w:sz w:val="13"/>
                  <w:szCs w:val="13"/>
                  <w:u w:val="single" w:color="auto"/>
                  <w:color w:val="0000EE"/>
                </w:rPr>
                <w:t>Notes to Consolidated Financial Statements (unaudited)</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11</w:t>
            </w:r>
          </w:p>
        </w:tc>
      </w:tr>
      <w:tr>
        <w:trPr>
          <w:trHeight w:val="257"/>
        </w:trPr>
        <w:tc>
          <w:tcPr>
            <w:tcW w:w="9080" w:type="dxa"/>
            <w:vAlign w:val="bottom"/>
          </w:tcPr>
          <w:p>
            <w:pPr>
              <w:ind w:left="440"/>
              <w:spacing w:after="0"/>
              <w:rPr>
                <w:rFonts w:ascii="Arial" w:cs="Arial" w:eastAsia="Arial" w:hAnsi="Arial"/>
                <w:sz w:val="13"/>
                <w:szCs w:val="13"/>
                <w:u w:val="single" w:color="auto"/>
                <w:color w:val="0000EE"/>
              </w:rPr>
            </w:pPr>
            <w:hyperlink w:anchor="page23">
              <w:r>
                <w:rPr>
                  <w:rFonts w:ascii="Arial" w:cs="Arial" w:eastAsia="Arial" w:hAnsi="Arial"/>
                  <w:sz w:val="13"/>
                  <w:szCs w:val="13"/>
                  <w:u w:val="single" w:color="auto"/>
                  <w:color w:val="0000EE"/>
                </w:rPr>
                <w:t>Report of Independent Registered Public Accounting Firm</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21</w:t>
            </w:r>
          </w:p>
        </w:tc>
      </w:tr>
      <w:tr>
        <w:trPr>
          <w:trHeight w:val="256"/>
        </w:trPr>
        <w:tc>
          <w:tcPr>
            <w:tcW w:w="9080" w:type="dxa"/>
            <w:vAlign w:val="bottom"/>
          </w:tcPr>
          <w:p>
            <w:pPr>
              <w:spacing w:after="0"/>
              <w:rPr>
                <w:rFonts w:ascii="Arial" w:cs="Arial" w:eastAsia="Arial" w:hAnsi="Arial"/>
                <w:sz w:val="13"/>
                <w:szCs w:val="13"/>
                <w:b w:val="1"/>
                <w:bCs w:val="1"/>
                <w:u w:val="single" w:color="auto"/>
                <w:color w:val="0000EE"/>
              </w:rPr>
            </w:pPr>
            <w:hyperlink w:anchor="page24">
              <w:r>
                <w:rPr>
                  <w:rFonts w:ascii="Arial" w:cs="Arial" w:eastAsia="Arial" w:hAnsi="Arial"/>
                  <w:sz w:val="13"/>
                  <w:szCs w:val="13"/>
                  <w:b w:val="1"/>
                  <w:bCs w:val="1"/>
                  <w:u w:val="single" w:color="auto"/>
                  <w:color w:val="0000EE"/>
                </w:rPr>
                <w:t>Item 2. Management’s Discussion and Analysis of Financial Condition and Results of Operations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22</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1">
              <w:r>
                <w:rPr>
                  <w:rFonts w:ascii="Arial" w:cs="Arial" w:eastAsia="Arial" w:hAnsi="Arial"/>
                  <w:sz w:val="13"/>
                  <w:szCs w:val="13"/>
                  <w:b w:val="1"/>
                  <w:bCs w:val="1"/>
                  <w:u w:val="single" w:color="auto"/>
                  <w:color w:val="0000EE"/>
                </w:rPr>
                <w:t>Item 3. Quantitative And Qualitative Disclosures About Market Risk</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1">
              <w:r>
                <w:rPr>
                  <w:rFonts w:ascii="Arial" w:cs="Arial" w:eastAsia="Arial" w:hAnsi="Arial"/>
                  <w:sz w:val="13"/>
                  <w:szCs w:val="13"/>
                  <w:b w:val="1"/>
                  <w:bCs w:val="1"/>
                  <w:u w:val="single" w:color="auto"/>
                  <w:color w:val="0000EE"/>
                </w:rPr>
                <w:t>Item 4. Controls and Procedures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29</w:t>
            </w:r>
          </w:p>
        </w:tc>
      </w:tr>
      <w:tr>
        <w:trPr>
          <w:trHeight w:val="257"/>
        </w:trPr>
        <w:tc>
          <w:tcPr>
            <w:tcW w:w="9080" w:type="dxa"/>
            <w:vAlign w:val="bottom"/>
          </w:tcPr>
          <w:p>
            <w:pPr>
              <w:ind w:left="4360"/>
              <w:spacing w:after="0"/>
              <w:rPr>
                <w:rFonts w:ascii="Arial" w:cs="Arial" w:eastAsia="Arial" w:hAnsi="Arial"/>
                <w:sz w:val="13"/>
                <w:szCs w:val="13"/>
                <w:b w:val="1"/>
                <w:bCs w:val="1"/>
                <w:u w:val="single" w:color="auto"/>
                <w:color w:val="0000EE"/>
              </w:rPr>
            </w:pPr>
            <w:hyperlink w:anchor="page32">
              <w:r>
                <w:rPr>
                  <w:rFonts w:ascii="Arial" w:cs="Arial" w:eastAsia="Arial" w:hAnsi="Arial"/>
                  <w:sz w:val="13"/>
                  <w:szCs w:val="13"/>
                  <w:b w:val="1"/>
                  <w:bCs w:val="1"/>
                  <w:u w:val="single" w:color="auto"/>
                  <w:color w:val="0000EE"/>
                </w:rPr>
                <w:t>PART II. OTHER INFORMATION</w:t>
              </w:r>
            </w:hyperlink>
          </w:p>
        </w:tc>
        <w:tc>
          <w:tcPr>
            <w:tcW w:w="2100" w:type="dxa"/>
            <w:vAlign w:val="bottom"/>
          </w:tcPr>
          <w:p>
            <w:pPr>
              <w:spacing w:after="0"/>
              <w:rPr>
                <w:sz w:val="22"/>
                <w:szCs w:val="22"/>
                <w:color w:val="auto"/>
              </w:rPr>
            </w:pP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2">
              <w:r>
                <w:rPr>
                  <w:rFonts w:ascii="Arial" w:cs="Arial" w:eastAsia="Arial" w:hAnsi="Arial"/>
                  <w:sz w:val="13"/>
                  <w:szCs w:val="13"/>
                  <w:b w:val="1"/>
                  <w:bCs w:val="1"/>
                  <w:u w:val="single" w:color="auto"/>
                  <w:color w:val="0000EE"/>
                </w:rPr>
                <w:t>Item 1. Legal Proceedings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56"/>
        </w:trPr>
        <w:tc>
          <w:tcPr>
            <w:tcW w:w="9080" w:type="dxa"/>
            <w:vAlign w:val="bottom"/>
          </w:tcPr>
          <w:p>
            <w:pPr>
              <w:spacing w:after="0"/>
              <w:rPr>
                <w:rFonts w:ascii="Arial" w:cs="Arial" w:eastAsia="Arial" w:hAnsi="Arial"/>
                <w:sz w:val="13"/>
                <w:szCs w:val="13"/>
                <w:b w:val="1"/>
                <w:bCs w:val="1"/>
                <w:u w:val="single" w:color="auto"/>
                <w:color w:val="0000EE"/>
              </w:rPr>
            </w:pPr>
            <w:hyperlink w:anchor="page32">
              <w:r>
                <w:rPr>
                  <w:rFonts w:ascii="Arial" w:cs="Arial" w:eastAsia="Arial" w:hAnsi="Arial"/>
                  <w:sz w:val="13"/>
                  <w:szCs w:val="13"/>
                  <w:b w:val="1"/>
                  <w:bCs w:val="1"/>
                  <w:u w:val="single" w:color="auto"/>
                  <w:color w:val="0000EE"/>
                </w:rPr>
                <w:t>Item 1A. Risk Factors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2">
              <w:r>
                <w:rPr>
                  <w:rFonts w:ascii="Arial" w:cs="Arial" w:eastAsia="Arial" w:hAnsi="Arial"/>
                  <w:sz w:val="13"/>
                  <w:szCs w:val="13"/>
                  <w:b w:val="1"/>
                  <w:bCs w:val="1"/>
                  <w:u w:val="single" w:color="auto"/>
                  <w:color w:val="0000EE"/>
                </w:rPr>
                <w:t>Item 2. Unregistered Sales of Equity Securities and Use of Proceeds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2">
              <w:r>
                <w:rPr>
                  <w:rFonts w:ascii="Arial" w:cs="Arial" w:eastAsia="Arial" w:hAnsi="Arial"/>
                  <w:sz w:val="13"/>
                  <w:szCs w:val="13"/>
                  <w:b w:val="1"/>
                  <w:bCs w:val="1"/>
                  <w:u w:val="single" w:color="auto"/>
                  <w:color w:val="0000EE"/>
                </w:rPr>
                <w:t>Item 3. Defaults Upon Senior Securities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2">
              <w:r>
                <w:rPr>
                  <w:rFonts w:ascii="Arial" w:cs="Arial" w:eastAsia="Arial" w:hAnsi="Arial"/>
                  <w:sz w:val="13"/>
                  <w:szCs w:val="13"/>
                  <w:b w:val="1"/>
                  <w:bCs w:val="1"/>
                  <w:u w:val="single" w:color="auto"/>
                  <w:color w:val="0000EE"/>
                </w:rPr>
                <w:t>Item 4. Mine Safety Disclosures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56"/>
        </w:trPr>
        <w:tc>
          <w:tcPr>
            <w:tcW w:w="9080" w:type="dxa"/>
            <w:vAlign w:val="bottom"/>
          </w:tcPr>
          <w:p>
            <w:pPr>
              <w:spacing w:after="0"/>
              <w:rPr>
                <w:rFonts w:ascii="Arial" w:cs="Arial" w:eastAsia="Arial" w:hAnsi="Arial"/>
                <w:sz w:val="13"/>
                <w:szCs w:val="13"/>
                <w:b w:val="1"/>
                <w:bCs w:val="1"/>
                <w:u w:val="single" w:color="auto"/>
                <w:color w:val="0000EE"/>
              </w:rPr>
            </w:pPr>
            <w:hyperlink w:anchor="page32">
              <w:r>
                <w:rPr>
                  <w:rFonts w:ascii="Arial" w:cs="Arial" w:eastAsia="Arial" w:hAnsi="Arial"/>
                  <w:sz w:val="13"/>
                  <w:szCs w:val="13"/>
                  <w:b w:val="1"/>
                  <w:bCs w:val="1"/>
                  <w:u w:val="single" w:color="auto"/>
                  <w:color w:val="0000EE"/>
                </w:rPr>
                <w:t>Item 5. Other Information</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30</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3">
              <w:r>
                <w:rPr>
                  <w:rFonts w:ascii="Arial" w:cs="Arial" w:eastAsia="Arial" w:hAnsi="Arial"/>
                  <w:sz w:val="13"/>
                  <w:szCs w:val="13"/>
                  <w:b w:val="1"/>
                  <w:bCs w:val="1"/>
                  <w:u w:val="single" w:color="auto"/>
                  <w:color w:val="0000EE"/>
                </w:rPr>
                <w:t>Item 6. Exhibits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31</w:t>
            </w:r>
          </w:p>
        </w:tc>
      </w:tr>
      <w:tr>
        <w:trPr>
          <w:trHeight w:val="257"/>
        </w:trPr>
        <w:tc>
          <w:tcPr>
            <w:tcW w:w="9080" w:type="dxa"/>
            <w:vAlign w:val="bottom"/>
          </w:tcPr>
          <w:p>
            <w:pPr>
              <w:spacing w:after="0"/>
              <w:rPr>
                <w:rFonts w:ascii="Arial" w:cs="Arial" w:eastAsia="Arial" w:hAnsi="Arial"/>
                <w:sz w:val="13"/>
                <w:szCs w:val="13"/>
                <w:b w:val="1"/>
                <w:bCs w:val="1"/>
                <w:u w:val="single" w:color="auto"/>
                <w:color w:val="0000EE"/>
              </w:rPr>
            </w:pPr>
            <w:hyperlink w:anchor="page34">
              <w:r>
                <w:rPr>
                  <w:rFonts w:ascii="Arial" w:cs="Arial" w:eastAsia="Arial" w:hAnsi="Arial"/>
                  <w:sz w:val="13"/>
                  <w:szCs w:val="13"/>
                  <w:b w:val="1"/>
                  <w:bCs w:val="1"/>
                  <w:u w:val="single" w:color="auto"/>
                  <w:color w:val="0000EE"/>
                </w:rPr>
                <w:t>SIGNATURES</w:t>
              </w:r>
            </w:hyperlink>
          </w:p>
        </w:tc>
        <w:tc>
          <w:tcPr>
            <w:tcW w:w="2100" w:type="dxa"/>
            <w:vAlign w:val="bottom"/>
          </w:tcPr>
          <w:p>
            <w:pPr>
              <w:jc w:val="right"/>
              <w:spacing w:after="0"/>
              <w:rPr>
                <w:sz w:val="20"/>
                <w:szCs w:val="20"/>
                <w:color w:val="auto"/>
              </w:rPr>
            </w:pPr>
            <w:r>
              <w:rPr>
                <w:rFonts w:ascii="Arial" w:cs="Arial" w:eastAsia="Arial" w:hAnsi="Arial"/>
                <w:sz w:val="13"/>
                <w:szCs w:val="13"/>
                <w:color w:val="auto"/>
              </w:rPr>
              <w:t>32</w:t>
            </w:r>
          </w:p>
        </w:tc>
      </w:tr>
    </w:tbl>
    <w:p>
      <w:pPr>
        <w:sectPr>
          <w:pgSz w:w="11900" w:h="16838" w:orient="portrait"/>
          <w:cols w:equalWidth="0" w:num="1">
            <w:col w:w="11180"/>
          </w:cols>
          <w:pgMar w:left="320" w:top="459" w:right="39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PART I—CONSOLIDATED FINANCIAL INFORMATION</w:t>
      </w:r>
    </w:p>
    <w:p>
      <w:pPr>
        <w:spacing w:after="0" w:line="163"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We are filing this Form 10-Q, or the Report, in compliance with Rule 13a-13 promulgated by the Securities and Exchange Commission, or the SEC. In this Report, except where the context suggests otherwise, the terms “Company,” “we,” “our” or “us” refer to PennantPark Floating Rate Capital Ltd. and its consolidated subsidiary; “PennantPark Investment Advisers” or “Investment Adviser” refers to PennantPark Investment Advisers, LLC; “PennantPark Investment Administration” or “Administrator” refers to PennantPark Investment Administration, LLC; “1940 Act” refers to the Investment Company Act of 1940, as amended; “Code” refers to the Internal Revenue Code of 1986, as amended; “RIC” refers to a regulated investment company under the Code; “BDC” refers to a business development company under the 1940 Act. References to our portfolio, our investments, our senior secured revolving credit facility, as amended, or the Credit Facility, and our business include investments we make through our wholly owned consolidated subsidiary, PennantPark Floating Rate Funding I, LLC, or Funding I.</w:t>
      </w:r>
    </w:p>
    <w:p>
      <w:pPr>
        <w:sectPr>
          <w:pgSz w:w="11900" w:h="16838" w:orient="portrait"/>
          <w:cols w:equalWidth="0" w:num="1">
            <w:col w:w="11140"/>
          </w:cols>
          <w:pgMar w:left="320" w:top="459" w:right="4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0" w:type="dxa"/>
            <w:vAlign w:val="bottom"/>
          </w:tcPr>
          <w:p>
            <w:pPr>
              <w:spacing w:after="0"/>
              <w:rPr>
                <w:sz w:val="20"/>
                <w:szCs w:val="20"/>
                <w:color w:val="auto"/>
              </w:rPr>
            </w:pPr>
            <w:r>
              <w:rPr>
                <w:rFonts w:ascii="Arial" w:cs="Arial" w:eastAsia="Arial" w:hAnsi="Arial"/>
                <w:sz w:val="13"/>
                <w:szCs w:val="13"/>
                <w:b w:val="1"/>
                <w:bCs w:val="1"/>
                <w:color w:val="auto"/>
              </w:rPr>
              <w:t>Item 1.</w:t>
            </w:r>
          </w:p>
        </w:tc>
        <w:tc>
          <w:tcPr>
            <w:tcW w:w="7860" w:type="dxa"/>
            <w:vAlign w:val="bottom"/>
          </w:tcPr>
          <w:p>
            <w:pPr>
              <w:ind w:left="180"/>
              <w:spacing w:after="0"/>
              <w:rPr>
                <w:sz w:val="20"/>
                <w:szCs w:val="20"/>
                <w:color w:val="auto"/>
              </w:rPr>
            </w:pPr>
            <w:r>
              <w:rPr>
                <w:rFonts w:ascii="Arial" w:cs="Arial" w:eastAsia="Arial" w:hAnsi="Arial"/>
                <w:sz w:val="13"/>
                <w:szCs w:val="13"/>
                <w:b w:val="1"/>
                <w:bCs w:val="1"/>
                <w:color w:val="auto"/>
              </w:rPr>
              <w:t>Consolidated Financial Statements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5"/>
        </w:trPr>
        <w:tc>
          <w:tcPr>
            <w:tcW w:w="620" w:type="dxa"/>
            <w:vAlign w:val="bottom"/>
          </w:tcPr>
          <w:p>
            <w:pPr>
              <w:spacing w:after="0"/>
              <w:rPr>
                <w:sz w:val="24"/>
                <w:szCs w:val="24"/>
                <w:color w:val="auto"/>
              </w:rPr>
            </w:pPr>
          </w:p>
        </w:tc>
        <w:tc>
          <w:tcPr>
            <w:tcW w:w="7860" w:type="dxa"/>
            <w:vAlign w:val="bottom"/>
          </w:tcPr>
          <w:p>
            <w:pPr>
              <w:ind w:left="2840"/>
              <w:spacing w:after="0"/>
              <w:rPr>
                <w:sz w:val="20"/>
                <w:szCs w:val="20"/>
                <w:color w:val="auto"/>
              </w:rPr>
            </w:pPr>
            <w:r>
              <w:rPr>
                <w:rFonts w:ascii="Arial" w:cs="Arial" w:eastAsia="Arial" w:hAnsi="Arial"/>
                <w:sz w:val="13"/>
                <w:szCs w:val="13"/>
                <w:b w:val="1"/>
                <w:bCs w:val="1"/>
                <w:color w:val="auto"/>
              </w:rPr>
              <w:t>PENNANTPARK FLOATING RATE CAPITAL LTD. AND SUBSIDIARY</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20" w:type="dxa"/>
            <w:vAlign w:val="bottom"/>
          </w:tcPr>
          <w:p>
            <w:pPr>
              <w:spacing w:after="0"/>
              <w:rPr>
                <w:sz w:val="15"/>
                <w:szCs w:val="15"/>
                <w:color w:val="auto"/>
              </w:rPr>
            </w:pPr>
          </w:p>
        </w:tc>
        <w:tc>
          <w:tcPr>
            <w:tcW w:w="7860" w:type="dxa"/>
            <w:vAlign w:val="bottom"/>
          </w:tcPr>
          <w:p>
            <w:pPr>
              <w:ind w:left="3020"/>
              <w:spacing w:after="0"/>
              <w:rPr>
                <w:sz w:val="20"/>
                <w:szCs w:val="20"/>
                <w:color w:val="auto"/>
              </w:rPr>
            </w:pPr>
            <w:r>
              <w:rPr>
                <w:rFonts w:ascii="Arial" w:cs="Arial" w:eastAsia="Arial" w:hAnsi="Arial"/>
                <w:sz w:val="13"/>
                <w:szCs w:val="13"/>
                <w:b w:val="1"/>
                <w:bCs w:val="1"/>
                <w:color w:val="auto"/>
              </w:rPr>
              <w:t>CONSOLIDATED STATEMENTS OF ASSETS AND LIABILITIES</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66"/>
        </w:trPr>
        <w:tc>
          <w:tcPr>
            <w:tcW w:w="620" w:type="dxa"/>
            <w:vAlign w:val="bottom"/>
          </w:tcPr>
          <w:p>
            <w:pPr>
              <w:spacing w:after="0"/>
              <w:rPr>
                <w:sz w:val="24"/>
                <w:szCs w:val="24"/>
                <w:color w:val="auto"/>
              </w:rPr>
            </w:pPr>
          </w:p>
        </w:tc>
        <w:tc>
          <w:tcPr>
            <w:tcW w:w="7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7"/>
              </w:rPr>
              <w:t>March 31, 2014</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6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(unaudited)</w:t>
            </w:r>
          </w:p>
        </w:tc>
        <w:tc>
          <w:tcPr>
            <w:tcW w:w="18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3"/>
                <w:szCs w:val="13"/>
                <w:b w:val="1"/>
                <w:bCs w:val="1"/>
                <w:color w:val="auto"/>
                <w:w w:val="98"/>
              </w:rPr>
              <w:t>September 30, 2013</w:t>
            </w:r>
          </w:p>
        </w:tc>
        <w:tc>
          <w:tcPr>
            <w:tcW w:w="0" w:type="dxa"/>
            <w:vAlign w:val="bottom"/>
          </w:tcPr>
          <w:p>
            <w:pPr>
              <w:spacing w:after="0"/>
              <w:rPr>
                <w:sz w:val="1"/>
                <w:szCs w:val="1"/>
                <w:color w:val="auto"/>
              </w:rPr>
            </w:pPr>
          </w:p>
        </w:tc>
      </w:tr>
      <w:tr>
        <w:trPr>
          <w:trHeight w:val="128"/>
        </w:trPr>
        <w:tc>
          <w:tcPr>
            <w:tcW w:w="6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Assets</w:t>
            </w:r>
          </w:p>
        </w:tc>
        <w:tc>
          <w:tcPr>
            <w:tcW w:w="78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10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80" w:type="dxa"/>
            <w:vAlign w:val="bottom"/>
            <w:gridSpan w:val="2"/>
          </w:tcPr>
          <w:p>
            <w:pPr>
              <w:spacing w:after="0"/>
              <w:rPr>
                <w:sz w:val="20"/>
                <w:szCs w:val="20"/>
                <w:color w:val="auto"/>
              </w:rPr>
            </w:pPr>
            <w:r>
              <w:rPr>
                <w:rFonts w:ascii="Arial" w:cs="Arial" w:eastAsia="Arial" w:hAnsi="Arial"/>
                <w:sz w:val="13"/>
                <w:szCs w:val="13"/>
                <w:color w:val="auto"/>
              </w:rPr>
              <w:t>Investments at fair value</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80" w:type="dxa"/>
            <w:vAlign w:val="bottom"/>
            <w:gridSpan w:val="2"/>
            <w:shd w:val="clear" w:color="auto" w:fill="CCEEFF"/>
          </w:tcPr>
          <w:p>
            <w:pPr>
              <w:ind w:left="440"/>
              <w:spacing w:after="0" w:line="138" w:lineRule="exact"/>
              <w:rPr>
                <w:sz w:val="20"/>
                <w:szCs w:val="20"/>
                <w:color w:val="auto"/>
              </w:rPr>
            </w:pPr>
            <w:r>
              <w:rPr>
                <w:rFonts w:ascii="Arial" w:cs="Arial" w:eastAsia="Arial" w:hAnsi="Arial"/>
                <w:sz w:val="13"/>
                <w:szCs w:val="13"/>
                <w:color w:val="auto"/>
              </w:rPr>
              <w:t>Non-controlled, non-affiliated investments</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20" w:type="dxa"/>
            <w:vAlign w:val="bottom"/>
            <w:shd w:val="clear" w:color="auto" w:fill="CCEEFF"/>
          </w:tcPr>
          <w:p>
            <w:pPr>
              <w:spacing w:after="0"/>
              <w:rPr>
                <w:sz w:val="13"/>
                <w:szCs w:val="13"/>
                <w:color w:val="auto"/>
              </w:rPr>
            </w:pPr>
          </w:p>
        </w:tc>
        <w:tc>
          <w:tcPr>
            <w:tcW w:w="7860" w:type="dxa"/>
            <w:vAlign w:val="bottom"/>
            <w:shd w:val="clear" w:color="auto" w:fill="CCEEFF"/>
          </w:tcPr>
          <w:p>
            <w:pPr>
              <w:ind w:left="40"/>
              <w:spacing w:after="0"/>
              <w:rPr>
                <w:sz w:val="20"/>
                <w:szCs w:val="20"/>
                <w:color w:val="auto"/>
              </w:rPr>
            </w:pPr>
            <w:r>
              <w:rPr>
                <w:rFonts w:ascii="Arial" w:cs="Arial" w:eastAsia="Arial" w:hAnsi="Arial"/>
                <w:sz w:val="13"/>
                <w:szCs w:val="13"/>
                <w:color w:val="auto"/>
              </w:rPr>
              <w:t>(cost—$385,423,226 and $319,283,468,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389,208,433</w:t>
            </w:r>
          </w:p>
        </w:tc>
        <w:tc>
          <w:tcPr>
            <w:tcW w:w="2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317,803,894</w:t>
            </w:r>
          </w:p>
        </w:tc>
        <w:tc>
          <w:tcPr>
            <w:tcW w:w="0" w:type="dxa"/>
            <w:vAlign w:val="bottom"/>
          </w:tcPr>
          <w:p>
            <w:pPr>
              <w:spacing w:after="0"/>
              <w:rPr>
                <w:sz w:val="1"/>
                <w:szCs w:val="1"/>
                <w:color w:val="auto"/>
              </w:rPr>
            </w:pPr>
          </w:p>
        </w:tc>
      </w:tr>
      <w:tr>
        <w:trPr>
          <w:trHeight w:val="148"/>
        </w:trPr>
        <w:tc>
          <w:tcPr>
            <w:tcW w:w="8480" w:type="dxa"/>
            <w:vAlign w:val="bottom"/>
            <w:gridSpan w:val="2"/>
          </w:tcPr>
          <w:p>
            <w:pPr>
              <w:spacing w:after="0"/>
              <w:rPr>
                <w:sz w:val="20"/>
                <w:szCs w:val="20"/>
                <w:color w:val="auto"/>
              </w:rPr>
            </w:pPr>
            <w:r>
              <w:rPr>
                <w:rFonts w:ascii="Arial" w:cs="Arial" w:eastAsia="Arial" w:hAnsi="Arial"/>
                <w:sz w:val="13"/>
                <w:szCs w:val="13"/>
                <w:color w:val="auto"/>
              </w:rPr>
              <w:t>Cash equivalents (See Note 7)</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5,080,140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4,578,249</w:t>
            </w:r>
          </w:p>
        </w:tc>
        <w:tc>
          <w:tcPr>
            <w:tcW w:w="0" w:type="dxa"/>
            <w:vAlign w:val="bottom"/>
          </w:tcPr>
          <w:p>
            <w:pPr>
              <w:spacing w:after="0"/>
              <w:rPr>
                <w:sz w:val="1"/>
                <w:szCs w:val="1"/>
                <w:color w:val="auto"/>
              </w:rPr>
            </w:pPr>
          </w:p>
        </w:tc>
      </w:tr>
      <w:tr>
        <w:trPr>
          <w:trHeight w:val="148"/>
        </w:trPr>
        <w:tc>
          <w:tcPr>
            <w:tcW w:w="8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Interest receivable</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1,833,038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2,140,802</w:t>
            </w:r>
          </w:p>
        </w:tc>
        <w:tc>
          <w:tcPr>
            <w:tcW w:w="0" w:type="dxa"/>
            <w:vAlign w:val="bottom"/>
          </w:tcPr>
          <w:p>
            <w:pPr>
              <w:spacing w:after="0"/>
              <w:rPr>
                <w:sz w:val="1"/>
                <w:szCs w:val="1"/>
                <w:color w:val="auto"/>
              </w:rPr>
            </w:pPr>
          </w:p>
        </w:tc>
      </w:tr>
      <w:tr>
        <w:trPr>
          <w:trHeight w:val="148"/>
        </w:trPr>
        <w:tc>
          <w:tcPr>
            <w:tcW w:w="8480" w:type="dxa"/>
            <w:vAlign w:val="bottom"/>
            <w:gridSpan w:val="2"/>
          </w:tcPr>
          <w:p>
            <w:pPr>
              <w:spacing w:after="0"/>
              <w:rPr>
                <w:sz w:val="20"/>
                <w:szCs w:val="20"/>
                <w:color w:val="auto"/>
              </w:rPr>
            </w:pPr>
            <w:r>
              <w:rPr>
                <w:rFonts w:ascii="Arial" w:cs="Arial" w:eastAsia="Arial" w:hAnsi="Arial"/>
                <w:sz w:val="13"/>
                <w:szCs w:val="13"/>
                <w:color w:val="auto"/>
              </w:rPr>
              <w:t>Receivable for investments sold</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6,034,574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3,659,185</w:t>
            </w:r>
          </w:p>
        </w:tc>
        <w:tc>
          <w:tcPr>
            <w:tcW w:w="0" w:type="dxa"/>
            <w:vAlign w:val="bottom"/>
          </w:tcPr>
          <w:p>
            <w:pPr>
              <w:spacing w:after="0"/>
              <w:rPr>
                <w:sz w:val="1"/>
                <w:szCs w:val="1"/>
                <w:color w:val="auto"/>
              </w:rPr>
            </w:pPr>
          </w:p>
        </w:tc>
      </w:tr>
      <w:tr>
        <w:trPr>
          <w:trHeight w:val="148"/>
        </w:trPr>
        <w:tc>
          <w:tcPr>
            <w:tcW w:w="8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Prepaid expenses and other assets</w:t>
            </w: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534,298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619,737</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7860" w:type="dxa"/>
            <w:vAlign w:val="bottom"/>
          </w:tcPr>
          <w:p>
            <w:pPr>
              <w:ind w:left="260"/>
              <w:spacing w:after="0"/>
              <w:rPr>
                <w:sz w:val="20"/>
                <w:szCs w:val="20"/>
                <w:color w:val="auto"/>
              </w:rPr>
            </w:pPr>
            <w:r>
              <w:rPr>
                <w:rFonts w:ascii="Arial" w:cs="Arial" w:eastAsia="Arial" w:hAnsi="Arial"/>
                <w:sz w:val="13"/>
                <w:szCs w:val="13"/>
                <w:b w:val="1"/>
                <w:bCs w:val="1"/>
                <w:color w:val="auto"/>
              </w:rPr>
              <w:t>Total assets</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402,690,483</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328,801,867</w:t>
            </w:r>
          </w:p>
        </w:tc>
        <w:tc>
          <w:tcPr>
            <w:tcW w:w="0" w:type="dxa"/>
            <w:vAlign w:val="bottom"/>
          </w:tcPr>
          <w:p>
            <w:pPr>
              <w:spacing w:after="0"/>
              <w:rPr>
                <w:sz w:val="1"/>
                <w:szCs w:val="1"/>
                <w:color w:val="auto"/>
              </w:rPr>
            </w:pPr>
          </w:p>
        </w:tc>
      </w:tr>
      <w:tr>
        <w:trPr>
          <w:trHeight w:val="148"/>
        </w:trPr>
        <w:tc>
          <w:tcPr>
            <w:tcW w:w="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w w:val="99"/>
              </w:rPr>
              <w:t>Liabilities</w:t>
            </w:r>
          </w:p>
        </w:tc>
        <w:tc>
          <w:tcPr>
            <w:tcW w:w="78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480" w:type="dxa"/>
            <w:vAlign w:val="bottom"/>
            <w:gridSpan w:val="2"/>
          </w:tcPr>
          <w:p>
            <w:pPr>
              <w:spacing w:after="0"/>
              <w:rPr>
                <w:sz w:val="20"/>
                <w:szCs w:val="20"/>
                <w:color w:val="auto"/>
              </w:rPr>
            </w:pPr>
            <w:r>
              <w:rPr>
                <w:rFonts w:ascii="Arial" w:cs="Arial" w:eastAsia="Arial" w:hAnsi="Arial"/>
                <w:sz w:val="13"/>
                <w:szCs w:val="13"/>
                <w:color w:val="auto"/>
              </w:rPr>
              <w:t>Distributions payable</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1,340,825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1,303,580</w:t>
            </w:r>
          </w:p>
        </w:tc>
        <w:tc>
          <w:tcPr>
            <w:tcW w:w="0" w:type="dxa"/>
            <w:vAlign w:val="bottom"/>
          </w:tcPr>
          <w:p>
            <w:pPr>
              <w:spacing w:after="0"/>
              <w:rPr>
                <w:sz w:val="1"/>
                <w:szCs w:val="1"/>
                <w:color w:val="auto"/>
              </w:rPr>
            </w:pPr>
          </w:p>
        </w:tc>
      </w:tr>
      <w:tr>
        <w:trPr>
          <w:trHeight w:val="148"/>
        </w:trPr>
        <w:tc>
          <w:tcPr>
            <w:tcW w:w="8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Payable for investments purchased</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6,887,632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14,021,588</w:t>
            </w:r>
          </w:p>
        </w:tc>
        <w:tc>
          <w:tcPr>
            <w:tcW w:w="0" w:type="dxa"/>
            <w:vAlign w:val="bottom"/>
          </w:tcPr>
          <w:p>
            <w:pPr>
              <w:spacing w:after="0"/>
              <w:rPr>
                <w:sz w:val="1"/>
                <w:szCs w:val="1"/>
                <w:color w:val="auto"/>
              </w:rPr>
            </w:pPr>
          </w:p>
        </w:tc>
      </w:tr>
      <w:tr>
        <w:trPr>
          <w:trHeight w:val="148"/>
        </w:trPr>
        <w:tc>
          <w:tcPr>
            <w:tcW w:w="8480" w:type="dxa"/>
            <w:vAlign w:val="bottom"/>
            <w:gridSpan w:val="2"/>
          </w:tcPr>
          <w:p>
            <w:pPr>
              <w:spacing w:after="0"/>
              <w:rPr>
                <w:sz w:val="20"/>
                <w:szCs w:val="20"/>
                <w:color w:val="auto"/>
              </w:rPr>
            </w:pPr>
            <w:r>
              <w:rPr>
                <w:rFonts w:ascii="Arial" w:cs="Arial" w:eastAsia="Arial" w:hAnsi="Arial"/>
                <w:sz w:val="13"/>
                <w:szCs w:val="13"/>
                <w:color w:val="auto"/>
              </w:rPr>
              <w:t>Unfunded investments</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2,000,000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934,555</w:t>
            </w:r>
          </w:p>
        </w:tc>
        <w:tc>
          <w:tcPr>
            <w:tcW w:w="0" w:type="dxa"/>
            <w:vAlign w:val="bottom"/>
          </w:tcPr>
          <w:p>
            <w:pPr>
              <w:spacing w:after="0"/>
              <w:rPr>
                <w:sz w:val="1"/>
                <w:szCs w:val="1"/>
                <w:color w:val="auto"/>
              </w:rPr>
            </w:pPr>
          </w:p>
        </w:tc>
      </w:tr>
      <w:tr>
        <w:trPr>
          <w:trHeight w:val="148"/>
        </w:trPr>
        <w:tc>
          <w:tcPr>
            <w:tcW w:w="8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Facility payable (cost—$173,200,000 and $99,600,000, respectively) (See Notes 5 and 9)</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173,200,000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99,600,000</w:t>
            </w:r>
          </w:p>
        </w:tc>
        <w:tc>
          <w:tcPr>
            <w:tcW w:w="0" w:type="dxa"/>
            <w:vAlign w:val="bottom"/>
          </w:tcPr>
          <w:p>
            <w:pPr>
              <w:spacing w:after="0"/>
              <w:rPr>
                <w:sz w:val="1"/>
                <w:szCs w:val="1"/>
                <w:color w:val="auto"/>
              </w:rPr>
            </w:pPr>
          </w:p>
        </w:tc>
      </w:tr>
      <w:tr>
        <w:trPr>
          <w:trHeight w:val="148"/>
        </w:trPr>
        <w:tc>
          <w:tcPr>
            <w:tcW w:w="8480" w:type="dxa"/>
            <w:vAlign w:val="bottom"/>
            <w:gridSpan w:val="2"/>
          </w:tcPr>
          <w:p>
            <w:pPr>
              <w:spacing w:after="0"/>
              <w:rPr>
                <w:sz w:val="20"/>
                <w:szCs w:val="20"/>
                <w:color w:val="auto"/>
              </w:rPr>
            </w:pPr>
            <w:r>
              <w:rPr>
                <w:rFonts w:ascii="Arial" w:cs="Arial" w:eastAsia="Arial" w:hAnsi="Arial"/>
                <w:sz w:val="13"/>
                <w:szCs w:val="13"/>
                <w:color w:val="auto"/>
              </w:rPr>
              <w:t>Interest payable on Credit Facility</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324,403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189,934</w:t>
            </w:r>
          </w:p>
        </w:tc>
        <w:tc>
          <w:tcPr>
            <w:tcW w:w="0" w:type="dxa"/>
            <w:vAlign w:val="bottom"/>
          </w:tcPr>
          <w:p>
            <w:pPr>
              <w:spacing w:after="0"/>
              <w:rPr>
                <w:sz w:val="1"/>
                <w:szCs w:val="1"/>
                <w:color w:val="auto"/>
              </w:rPr>
            </w:pPr>
          </w:p>
        </w:tc>
      </w:tr>
      <w:tr>
        <w:trPr>
          <w:trHeight w:val="149"/>
        </w:trPr>
        <w:tc>
          <w:tcPr>
            <w:tcW w:w="8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Management fee payable (See Note 3)</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952,949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731,635</w:t>
            </w:r>
          </w:p>
        </w:tc>
        <w:tc>
          <w:tcPr>
            <w:tcW w:w="0" w:type="dxa"/>
            <w:vAlign w:val="bottom"/>
          </w:tcPr>
          <w:p>
            <w:pPr>
              <w:spacing w:after="0"/>
              <w:rPr>
                <w:sz w:val="1"/>
                <w:szCs w:val="1"/>
                <w:color w:val="auto"/>
              </w:rPr>
            </w:pPr>
          </w:p>
        </w:tc>
      </w:tr>
      <w:tr>
        <w:trPr>
          <w:trHeight w:val="148"/>
        </w:trPr>
        <w:tc>
          <w:tcPr>
            <w:tcW w:w="8480" w:type="dxa"/>
            <w:vAlign w:val="bottom"/>
            <w:gridSpan w:val="2"/>
          </w:tcPr>
          <w:p>
            <w:pPr>
              <w:spacing w:after="0"/>
              <w:rPr>
                <w:sz w:val="20"/>
                <w:szCs w:val="20"/>
                <w:color w:val="auto"/>
              </w:rPr>
            </w:pPr>
            <w:r>
              <w:rPr>
                <w:rFonts w:ascii="Arial" w:cs="Arial" w:eastAsia="Arial" w:hAnsi="Arial"/>
                <w:sz w:val="13"/>
                <w:szCs w:val="13"/>
                <w:color w:val="auto"/>
              </w:rPr>
              <w:t>Performance-based incentive fee payable (See Note 3)</w:t>
            </w:r>
          </w:p>
        </w:tc>
        <w:tc>
          <w:tcPr>
            <w:tcW w:w="100" w:type="dxa"/>
            <w:vAlign w:val="bottom"/>
          </w:tcPr>
          <w:p>
            <w:pPr>
              <w:spacing w:after="0"/>
              <w:rPr>
                <w:sz w:val="12"/>
                <w:szCs w:val="1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3"/>
                <w:szCs w:val="13"/>
                <w:color w:val="auto"/>
              </w:rPr>
              <w:t>2,241,511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1,164,090</w:t>
            </w:r>
          </w:p>
        </w:tc>
        <w:tc>
          <w:tcPr>
            <w:tcW w:w="0" w:type="dxa"/>
            <w:vAlign w:val="bottom"/>
          </w:tcPr>
          <w:p>
            <w:pPr>
              <w:spacing w:after="0"/>
              <w:rPr>
                <w:sz w:val="1"/>
                <w:szCs w:val="1"/>
                <w:color w:val="auto"/>
              </w:rPr>
            </w:pPr>
          </w:p>
        </w:tc>
      </w:tr>
      <w:tr>
        <w:trPr>
          <w:trHeight w:val="148"/>
        </w:trPr>
        <w:tc>
          <w:tcPr>
            <w:tcW w:w="8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Accrued other expenses</w:t>
            </w:r>
          </w:p>
        </w:tc>
        <w:tc>
          <w:tcPr>
            <w:tcW w:w="100" w:type="dxa"/>
            <w:vAlign w:val="bottom"/>
            <w:tcBorders>
              <w:bottom w:val="single" w:sz="8" w:color="auto"/>
            </w:tcBorders>
            <w:shd w:val="clear" w:color="auto" w:fill="CCEEFF"/>
          </w:tcPr>
          <w:p>
            <w:pPr>
              <w:spacing w:after="0"/>
              <w:rPr>
                <w:sz w:val="12"/>
                <w:szCs w:val="1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390,396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790,091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20" w:type="dxa"/>
            <w:vAlign w:val="bottom"/>
          </w:tcPr>
          <w:p>
            <w:pPr>
              <w:spacing w:after="0"/>
              <w:rPr>
                <w:sz w:val="14"/>
                <w:szCs w:val="14"/>
                <w:color w:val="auto"/>
              </w:rPr>
            </w:pPr>
          </w:p>
        </w:tc>
        <w:tc>
          <w:tcPr>
            <w:tcW w:w="7860" w:type="dxa"/>
            <w:vAlign w:val="bottom"/>
          </w:tcPr>
          <w:p>
            <w:pPr>
              <w:ind w:left="260"/>
              <w:spacing w:after="0"/>
              <w:rPr>
                <w:sz w:val="20"/>
                <w:szCs w:val="20"/>
                <w:color w:val="auto"/>
              </w:rPr>
            </w:pPr>
            <w:r>
              <w:rPr>
                <w:rFonts w:ascii="Arial" w:cs="Arial" w:eastAsia="Arial" w:hAnsi="Arial"/>
                <w:sz w:val="13"/>
                <w:szCs w:val="13"/>
                <w:b w:val="1"/>
                <w:bCs w:val="1"/>
                <w:color w:val="auto"/>
              </w:rPr>
              <w:t>Total liabilities</w:t>
            </w:r>
          </w:p>
        </w:tc>
        <w:tc>
          <w:tcPr>
            <w:tcW w:w="10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187,337,716</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118,735,473</w:t>
            </w:r>
          </w:p>
        </w:tc>
        <w:tc>
          <w:tcPr>
            <w:tcW w:w="0" w:type="dxa"/>
            <w:vAlign w:val="bottom"/>
          </w:tcPr>
          <w:p>
            <w:pPr>
              <w:spacing w:after="0"/>
              <w:rPr>
                <w:sz w:val="1"/>
                <w:szCs w:val="1"/>
                <w:color w:val="auto"/>
              </w:rPr>
            </w:pPr>
          </w:p>
        </w:tc>
      </w:tr>
      <w:tr>
        <w:trPr>
          <w:trHeight w:val="148"/>
        </w:trPr>
        <w:tc>
          <w:tcPr>
            <w:tcW w:w="8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Commitments and contingencies (See Note 10)</w:t>
            </w:r>
          </w:p>
        </w:tc>
        <w:tc>
          <w:tcPr>
            <w:tcW w:w="1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0" w:type="dxa"/>
            <w:vAlign w:val="bottom"/>
          </w:tcPr>
          <w:p>
            <w:pPr>
              <w:spacing w:after="0"/>
              <w:rPr>
                <w:sz w:val="20"/>
                <w:szCs w:val="20"/>
                <w:color w:val="auto"/>
              </w:rPr>
            </w:pPr>
            <w:r>
              <w:rPr>
                <w:rFonts w:ascii="Arial" w:cs="Arial" w:eastAsia="Arial" w:hAnsi="Arial"/>
                <w:sz w:val="13"/>
                <w:szCs w:val="13"/>
                <w:b w:val="1"/>
                <w:bCs w:val="1"/>
                <w:color w:val="auto"/>
                <w:w w:val="92"/>
              </w:rPr>
              <w:t>Net assets</w:t>
            </w:r>
          </w:p>
        </w:tc>
        <w:tc>
          <w:tcPr>
            <w:tcW w:w="7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848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Common stock, 14,898,056 shares issued and outstanding.</w:t>
            </w:r>
          </w:p>
        </w:tc>
        <w:tc>
          <w:tcPr>
            <w:tcW w:w="1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848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Par value $0.001 per share and 100,000,000 shares authorized.</w:t>
            </w: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14,898</w:t>
            </w:r>
          </w:p>
        </w:tc>
        <w:tc>
          <w:tcPr>
            <w:tcW w:w="2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14,898</w:t>
            </w:r>
          </w:p>
        </w:tc>
        <w:tc>
          <w:tcPr>
            <w:tcW w:w="0" w:type="dxa"/>
            <w:vAlign w:val="bottom"/>
          </w:tcPr>
          <w:p>
            <w:pPr>
              <w:spacing w:after="0"/>
              <w:rPr>
                <w:sz w:val="1"/>
                <w:szCs w:val="1"/>
                <w:color w:val="auto"/>
              </w:rPr>
            </w:pPr>
          </w:p>
        </w:tc>
      </w:tr>
      <w:tr>
        <w:trPr>
          <w:trHeight w:val="148"/>
        </w:trPr>
        <w:tc>
          <w:tcPr>
            <w:tcW w:w="8480" w:type="dxa"/>
            <w:vAlign w:val="bottom"/>
            <w:gridSpan w:val="2"/>
          </w:tcPr>
          <w:p>
            <w:pPr>
              <w:spacing w:after="0"/>
              <w:rPr>
                <w:sz w:val="20"/>
                <w:szCs w:val="20"/>
                <w:color w:val="auto"/>
              </w:rPr>
            </w:pPr>
            <w:r>
              <w:rPr>
                <w:rFonts w:ascii="Arial" w:cs="Arial" w:eastAsia="Arial" w:hAnsi="Arial"/>
                <w:sz w:val="13"/>
                <w:szCs w:val="13"/>
                <w:color w:val="auto"/>
              </w:rPr>
              <w:t>Paid-in capital in excess of par value</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207,481,368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207,481,368</w:t>
            </w:r>
          </w:p>
        </w:tc>
        <w:tc>
          <w:tcPr>
            <w:tcW w:w="0" w:type="dxa"/>
            <w:vAlign w:val="bottom"/>
          </w:tcPr>
          <w:p>
            <w:pPr>
              <w:spacing w:after="0"/>
              <w:rPr>
                <w:sz w:val="1"/>
                <w:szCs w:val="1"/>
                <w:color w:val="auto"/>
              </w:rPr>
            </w:pPr>
          </w:p>
        </w:tc>
      </w:tr>
      <w:tr>
        <w:trPr>
          <w:trHeight w:val="148"/>
        </w:trPr>
        <w:tc>
          <w:tcPr>
            <w:tcW w:w="8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(Distributions in excess of) Undistributed net investment income</w:t>
            </w: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(580,496)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474,766</w:t>
            </w:r>
          </w:p>
        </w:tc>
        <w:tc>
          <w:tcPr>
            <w:tcW w:w="0" w:type="dxa"/>
            <w:vAlign w:val="bottom"/>
          </w:tcPr>
          <w:p>
            <w:pPr>
              <w:spacing w:after="0"/>
              <w:rPr>
                <w:sz w:val="1"/>
                <w:szCs w:val="1"/>
                <w:color w:val="auto"/>
              </w:rPr>
            </w:pPr>
          </w:p>
        </w:tc>
      </w:tr>
      <w:tr>
        <w:trPr>
          <w:trHeight w:val="148"/>
        </w:trPr>
        <w:tc>
          <w:tcPr>
            <w:tcW w:w="8480" w:type="dxa"/>
            <w:vAlign w:val="bottom"/>
            <w:gridSpan w:val="2"/>
          </w:tcPr>
          <w:p>
            <w:pPr>
              <w:spacing w:after="0"/>
              <w:rPr>
                <w:sz w:val="20"/>
                <w:szCs w:val="20"/>
                <w:color w:val="auto"/>
              </w:rPr>
            </w:pPr>
            <w:r>
              <w:rPr>
                <w:rFonts w:ascii="Arial" w:cs="Arial" w:eastAsia="Arial" w:hAnsi="Arial"/>
                <w:sz w:val="13"/>
                <w:szCs w:val="13"/>
                <w:color w:val="auto"/>
              </w:rPr>
              <w:t>Accumulated net realized gain on investments</w:t>
            </w:r>
          </w:p>
        </w:tc>
        <w:tc>
          <w:tcPr>
            <w:tcW w:w="100" w:type="dxa"/>
            <w:vAlign w:val="bottom"/>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4,651,790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3,574,936</w:t>
            </w:r>
          </w:p>
        </w:tc>
        <w:tc>
          <w:tcPr>
            <w:tcW w:w="0" w:type="dxa"/>
            <w:vAlign w:val="bottom"/>
          </w:tcPr>
          <w:p>
            <w:pPr>
              <w:spacing w:after="0"/>
              <w:rPr>
                <w:sz w:val="1"/>
                <w:szCs w:val="1"/>
                <w:color w:val="auto"/>
              </w:rPr>
            </w:pPr>
          </w:p>
        </w:tc>
      </w:tr>
      <w:tr>
        <w:trPr>
          <w:trHeight w:val="148"/>
        </w:trPr>
        <w:tc>
          <w:tcPr>
            <w:tcW w:w="848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Net unrealized appreciation (depreciation) on investments</w:t>
            </w:r>
          </w:p>
        </w:tc>
        <w:tc>
          <w:tcPr>
            <w:tcW w:w="100" w:type="dxa"/>
            <w:vAlign w:val="bottom"/>
            <w:shd w:val="clear" w:color="auto" w:fill="CCEEFF"/>
          </w:tcPr>
          <w:p>
            <w:pPr>
              <w:spacing w:after="0"/>
              <w:rPr>
                <w:sz w:val="12"/>
                <w:szCs w:val="1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3,785,207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(1,479,574)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860" w:type="dxa"/>
            <w:vAlign w:val="bottom"/>
            <w:vMerge w:val="restart"/>
          </w:tcPr>
          <w:p>
            <w:pPr>
              <w:ind w:left="260"/>
              <w:spacing w:after="0"/>
              <w:rPr>
                <w:sz w:val="20"/>
                <w:szCs w:val="20"/>
                <w:color w:val="auto"/>
              </w:rPr>
            </w:pPr>
            <w:r>
              <w:rPr>
                <w:rFonts w:ascii="Arial" w:cs="Arial" w:eastAsia="Arial" w:hAnsi="Arial"/>
                <w:sz w:val="13"/>
                <w:szCs w:val="13"/>
                <w:b w:val="1"/>
                <w:bCs w:val="1"/>
                <w:color w:val="auto"/>
              </w:rPr>
              <w:t>Total net assets</w:t>
            </w: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20" w:type="dxa"/>
            <w:vAlign w:val="bottom"/>
          </w:tcPr>
          <w:p>
            <w:pPr>
              <w:spacing w:after="0"/>
              <w:rPr>
                <w:sz w:val="13"/>
                <w:szCs w:val="13"/>
                <w:color w:val="auto"/>
              </w:rPr>
            </w:pPr>
          </w:p>
        </w:tc>
        <w:tc>
          <w:tcPr>
            <w:tcW w:w="786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215,352,767</w:t>
            </w:r>
          </w:p>
        </w:tc>
        <w:tc>
          <w:tcPr>
            <w:tcW w:w="20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210,066,394</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7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20" w:type="dxa"/>
            <w:vAlign w:val="bottom"/>
            <w:shd w:val="clear" w:color="auto" w:fill="CCEEFF"/>
          </w:tcPr>
          <w:p>
            <w:pPr>
              <w:spacing w:after="0"/>
              <w:rPr>
                <w:sz w:val="12"/>
                <w:szCs w:val="12"/>
                <w:color w:val="auto"/>
              </w:rPr>
            </w:pPr>
          </w:p>
        </w:tc>
        <w:tc>
          <w:tcPr>
            <w:tcW w:w="7860" w:type="dxa"/>
            <w:vAlign w:val="bottom"/>
            <w:shd w:val="clear" w:color="auto" w:fill="CCEEFF"/>
          </w:tcPr>
          <w:p>
            <w:pPr>
              <w:ind w:left="260"/>
              <w:spacing w:after="0"/>
              <w:rPr>
                <w:sz w:val="20"/>
                <w:szCs w:val="20"/>
                <w:color w:val="auto"/>
              </w:rPr>
            </w:pPr>
            <w:r>
              <w:rPr>
                <w:rFonts w:ascii="Arial" w:cs="Arial" w:eastAsia="Arial" w:hAnsi="Arial"/>
                <w:sz w:val="13"/>
                <w:szCs w:val="13"/>
                <w:b w:val="1"/>
                <w:bCs w:val="1"/>
                <w:color w:val="auto"/>
              </w:rPr>
              <w:t>Total liabilities and net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402,690,483</w:t>
            </w:r>
          </w:p>
        </w:tc>
        <w:tc>
          <w:tcPr>
            <w:tcW w:w="200" w:type="dxa"/>
            <w:vAlign w:val="bottom"/>
            <w:shd w:val="clear" w:color="auto" w:fill="CCEEFF"/>
          </w:tcPr>
          <w:p>
            <w:pPr>
              <w:spacing w:after="0"/>
              <w:rPr>
                <w:sz w:val="12"/>
                <w:szCs w:val="12"/>
                <w:color w:val="auto"/>
              </w:rPr>
            </w:pPr>
          </w:p>
        </w:tc>
        <w:tc>
          <w:tcPr>
            <w:tcW w:w="44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328,801,867</w:t>
            </w:r>
          </w:p>
        </w:tc>
        <w:tc>
          <w:tcPr>
            <w:tcW w:w="0" w:type="dxa"/>
            <w:vAlign w:val="bottom"/>
          </w:tcPr>
          <w:p>
            <w:pPr>
              <w:spacing w:after="0"/>
              <w:rPr>
                <w:sz w:val="1"/>
                <w:szCs w:val="1"/>
                <w:color w:val="auto"/>
              </w:rPr>
            </w:pPr>
          </w:p>
        </w:tc>
      </w:tr>
      <w:tr>
        <w:trPr>
          <w:trHeight w:val="20"/>
        </w:trPr>
        <w:tc>
          <w:tcPr>
            <w:tcW w:w="84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Net asset value per share</w:t>
            </w: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848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jc w:val="right"/>
              <w:spacing w:after="0"/>
              <w:rPr>
                <w:sz w:val="20"/>
                <w:szCs w:val="20"/>
                <w:color w:val="auto"/>
              </w:rPr>
            </w:pPr>
            <w:r>
              <w:rPr>
                <w:rFonts w:ascii="Arial" w:cs="Arial" w:eastAsia="Arial" w:hAnsi="Arial"/>
                <w:sz w:val="13"/>
                <w:szCs w:val="13"/>
                <w:color w:val="auto"/>
              </w:rPr>
              <w:t>14.46</w:t>
            </w:r>
          </w:p>
        </w:tc>
        <w:tc>
          <w:tcPr>
            <w:tcW w:w="200" w:type="dxa"/>
            <w:vAlign w:val="bottom"/>
          </w:tcPr>
          <w:p>
            <w:pPr>
              <w:spacing w:after="0"/>
              <w:rPr>
                <w:sz w:val="13"/>
                <w:szCs w:val="13"/>
                <w:color w:val="auto"/>
              </w:rPr>
            </w:pPr>
          </w:p>
        </w:tc>
        <w:tc>
          <w:tcPr>
            <w:tcW w:w="440" w:type="dxa"/>
            <w:vAlign w:val="bottom"/>
            <w:gridSpan w:val="2"/>
          </w:tcPr>
          <w:p>
            <w:pPr>
              <w:ind w:left="1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14.10</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240"/>
          </w:cols>
          <w:pgMar w:left="32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4"/>
                <w:szCs w:val="14"/>
                <w:color w:val="auto"/>
              </w:rPr>
            </w:pPr>
          </w:p>
        </w:tc>
        <w:tc>
          <w:tcPr>
            <w:tcW w:w="1960" w:type="dxa"/>
            <w:vAlign w:val="bottom"/>
            <w:gridSpan w:val="6"/>
          </w:tcPr>
          <w:p>
            <w:pPr>
              <w:ind w:left="20"/>
              <w:spacing w:after="0"/>
              <w:rPr>
                <w:sz w:val="20"/>
                <w:szCs w:val="20"/>
                <w:color w:val="auto"/>
              </w:rPr>
            </w:pPr>
            <w:r>
              <w:rPr>
                <w:rFonts w:ascii="Arial" w:cs="Arial" w:eastAsia="Arial" w:hAnsi="Arial"/>
                <w:sz w:val="13"/>
                <w:szCs w:val="13"/>
                <w:b w:val="1"/>
                <w:bCs w:val="1"/>
                <w:color w:val="auto"/>
                <w:w w:val="99"/>
              </w:rPr>
              <w:t>Three Months Ended March 31,</w:t>
            </w:r>
          </w:p>
        </w:tc>
        <w:tc>
          <w:tcPr>
            <w:tcW w:w="100" w:type="dxa"/>
            <w:vAlign w:val="bottom"/>
          </w:tcPr>
          <w:p>
            <w:pPr>
              <w:spacing w:after="0"/>
              <w:rPr>
                <w:sz w:val="14"/>
                <w:szCs w:val="14"/>
                <w:color w:val="auto"/>
              </w:rPr>
            </w:pPr>
          </w:p>
        </w:tc>
        <w:tc>
          <w:tcPr>
            <w:tcW w:w="1820" w:type="dxa"/>
            <w:vAlign w:val="bottom"/>
            <w:gridSpan w:val="7"/>
          </w:tcPr>
          <w:p>
            <w:pPr>
              <w:jc w:val="right"/>
              <w:ind w:right="100"/>
              <w:spacing w:after="0"/>
              <w:rPr>
                <w:sz w:val="20"/>
                <w:szCs w:val="20"/>
                <w:color w:val="auto"/>
              </w:rPr>
            </w:pPr>
            <w:r>
              <w:rPr>
                <w:rFonts w:ascii="Arial" w:cs="Arial" w:eastAsia="Arial" w:hAnsi="Arial"/>
                <w:sz w:val="13"/>
                <w:szCs w:val="13"/>
                <w:b w:val="1"/>
                <w:bCs w:val="1"/>
                <w:color w:val="auto"/>
                <w:w w:val="96"/>
              </w:rPr>
              <w:t>Six Months Ended March 31,</w:t>
            </w:r>
          </w:p>
        </w:tc>
        <w:tc>
          <w:tcPr>
            <w:tcW w:w="0" w:type="dxa"/>
            <w:vAlign w:val="bottom"/>
          </w:tcPr>
          <w:p>
            <w:pPr>
              <w:spacing w:after="0"/>
              <w:rPr>
                <w:sz w:val="1"/>
                <w:szCs w:val="1"/>
                <w:color w:val="auto"/>
              </w:rPr>
            </w:pPr>
          </w:p>
        </w:tc>
      </w:tr>
      <w:tr>
        <w:trPr>
          <w:trHeight w:val="142"/>
        </w:trPr>
        <w:tc>
          <w:tcPr>
            <w:tcW w:w="7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2014</w:t>
            </w:r>
          </w:p>
        </w:tc>
        <w:tc>
          <w:tcPr>
            <w:tcW w:w="1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736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Investment income from:</w:t>
            </w: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rPr>
                <w:sz w:val="20"/>
                <w:szCs w:val="20"/>
                <w:color w:val="auto"/>
              </w:rPr>
            </w:pPr>
            <w:r>
              <w:rPr>
                <w:rFonts w:ascii="Arial" w:cs="Arial" w:eastAsia="Arial" w:hAnsi="Arial"/>
                <w:sz w:val="13"/>
                <w:szCs w:val="13"/>
                <w:color w:val="auto"/>
              </w:rPr>
              <w:t>Non-controlled, non-affiliated investments: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Interest</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7,529,198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3,976,016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14,283,445</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7,614,243</w:t>
            </w:r>
          </w:p>
        </w:tc>
        <w:tc>
          <w:tcPr>
            <w:tcW w:w="0" w:type="dxa"/>
            <w:vAlign w:val="bottom"/>
          </w:tcPr>
          <w:p>
            <w:pPr>
              <w:spacing w:after="0"/>
              <w:rPr>
                <w:sz w:val="1"/>
                <w:szCs w:val="1"/>
                <w:color w:val="auto"/>
              </w:rPr>
            </w:pPr>
          </w:p>
        </w:tc>
      </w:tr>
      <w:tr>
        <w:trPr>
          <w:trHeight w:val="148"/>
        </w:trPr>
        <w:tc>
          <w:tcPr>
            <w:tcW w:w="7360" w:type="dxa"/>
            <w:vAlign w:val="bottom"/>
          </w:tcPr>
          <w:p>
            <w:pPr>
              <w:ind w:left="440"/>
              <w:spacing w:after="0"/>
              <w:rPr>
                <w:sz w:val="20"/>
                <w:szCs w:val="20"/>
                <w:color w:val="auto"/>
              </w:rPr>
            </w:pPr>
            <w:r>
              <w:rPr>
                <w:rFonts w:ascii="Arial" w:cs="Arial" w:eastAsia="Arial" w:hAnsi="Arial"/>
                <w:sz w:val="13"/>
                <w:szCs w:val="13"/>
                <w:color w:val="auto"/>
              </w:rPr>
              <w:t>Other income</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94,278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163,861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183,924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488,307</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6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Total investment income</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7,623,476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4,139,877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14,467,369</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8,102,550</w:t>
            </w:r>
          </w:p>
        </w:tc>
        <w:tc>
          <w:tcPr>
            <w:tcW w:w="0" w:type="dxa"/>
            <w:vAlign w:val="bottom"/>
          </w:tcPr>
          <w:p>
            <w:pPr>
              <w:spacing w:after="0"/>
              <w:rPr>
                <w:sz w:val="1"/>
                <w:szCs w:val="1"/>
                <w:color w:val="auto"/>
              </w:rPr>
            </w:pPr>
          </w:p>
        </w:tc>
      </w:tr>
      <w:tr>
        <w:trPr>
          <w:trHeight w:val="156"/>
        </w:trPr>
        <w:tc>
          <w:tcPr>
            <w:tcW w:w="736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Base management fee (See Note 3)</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952,949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456,637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1,834,752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915,623</w:t>
            </w:r>
          </w:p>
        </w:tc>
        <w:tc>
          <w:tcPr>
            <w:tcW w:w="0" w:type="dxa"/>
            <w:vAlign w:val="bottom"/>
          </w:tcPr>
          <w:p>
            <w:pPr>
              <w:spacing w:after="0"/>
              <w:rPr>
                <w:sz w:val="1"/>
                <w:szCs w:val="1"/>
                <w:color w:val="auto"/>
              </w:rPr>
            </w:pPr>
          </w:p>
        </w:tc>
      </w:tr>
      <w:tr>
        <w:trPr>
          <w:trHeight w:val="148"/>
        </w:trPr>
        <w:tc>
          <w:tcPr>
            <w:tcW w:w="7360" w:type="dxa"/>
            <w:vAlign w:val="bottom"/>
          </w:tcPr>
          <w:p>
            <w:pPr>
              <w:ind w:left="440"/>
              <w:spacing w:after="0"/>
              <w:rPr>
                <w:sz w:val="20"/>
                <w:szCs w:val="20"/>
                <w:color w:val="auto"/>
              </w:rPr>
            </w:pPr>
            <w:r>
              <w:rPr>
                <w:rFonts w:ascii="Arial" w:cs="Arial" w:eastAsia="Arial" w:hAnsi="Arial"/>
                <w:sz w:val="13"/>
                <w:szCs w:val="13"/>
                <w:color w:val="auto"/>
              </w:rPr>
              <w:t>Performance-based incentive fee (See Note 3)</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1,417,315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563,191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2,100,465</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980,220</w:t>
            </w:r>
          </w:p>
        </w:tc>
        <w:tc>
          <w:tcPr>
            <w:tcW w:w="0" w:type="dxa"/>
            <w:vAlign w:val="bottom"/>
          </w:tcPr>
          <w:p>
            <w:pPr>
              <w:spacing w:after="0"/>
              <w:rPr>
                <w:sz w:val="1"/>
                <w:szCs w:val="1"/>
                <w:color w:val="auto"/>
              </w:rPr>
            </w:pPr>
          </w:p>
        </w:tc>
      </w:tr>
      <w:tr>
        <w:trPr>
          <w:trHeight w:val="148"/>
        </w:trPr>
        <w:tc>
          <w:tcPr>
            <w:tcW w:w="7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Interest and expenses on the Credit Facility (See Note 9)</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963,688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495,395</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1,700,125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966,463</w:t>
            </w:r>
          </w:p>
        </w:tc>
        <w:tc>
          <w:tcPr>
            <w:tcW w:w="0" w:type="dxa"/>
            <w:vAlign w:val="bottom"/>
          </w:tcPr>
          <w:p>
            <w:pPr>
              <w:spacing w:after="0"/>
              <w:rPr>
                <w:sz w:val="1"/>
                <w:szCs w:val="1"/>
                <w:color w:val="auto"/>
              </w:rPr>
            </w:pPr>
          </w:p>
        </w:tc>
      </w:tr>
      <w:tr>
        <w:trPr>
          <w:trHeight w:val="148"/>
        </w:trPr>
        <w:tc>
          <w:tcPr>
            <w:tcW w:w="7360" w:type="dxa"/>
            <w:vAlign w:val="bottom"/>
          </w:tcPr>
          <w:p>
            <w:pPr>
              <w:ind w:left="440"/>
              <w:spacing w:after="0"/>
              <w:rPr>
                <w:sz w:val="20"/>
                <w:szCs w:val="20"/>
                <w:color w:val="auto"/>
              </w:rPr>
            </w:pPr>
            <w:r>
              <w:rPr>
                <w:rFonts w:ascii="Arial" w:cs="Arial" w:eastAsia="Arial" w:hAnsi="Arial"/>
                <w:sz w:val="13"/>
                <w:szCs w:val="13"/>
                <w:color w:val="auto"/>
              </w:rPr>
              <w:t>Administrative services expenses (See Note 3)</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201,000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153,679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402,000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308,824</w:t>
            </w:r>
          </w:p>
        </w:tc>
        <w:tc>
          <w:tcPr>
            <w:tcW w:w="0" w:type="dxa"/>
            <w:vAlign w:val="bottom"/>
          </w:tcPr>
          <w:p>
            <w:pPr>
              <w:spacing w:after="0"/>
              <w:rPr>
                <w:sz w:val="1"/>
                <w:szCs w:val="1"/>
                <w:color w:val="auto"/>
              </w:rPr>
            </w:pPr>
          </w:p>
        </w:tc>
      </w:tr>
      <w:tr>
        <w:trPr>
          <w:trHeight w:val="148"/>
        </w:trPr>
        <w:tc>
          <w:tcPr>
            <w:tcW w:w="7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Other general and administrative expenses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234,014</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271,709</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524,654</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639,209</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Expenses before excise tax and amendment costs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3,768,966</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1,940,611</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6,561,996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3,810,339</w:t>
            </w:r>
          </w:p>
        </w:tc>
        <w:tc>
          <w:tcPr>
            <w:tcW w:w="0" w:type="dxa"/>
            <w:vAlign w:val="bottom"/>
          </w:tcPr>
          <w:p>
            <w:pPr>
              <w:spacing w:after="0"/>
              <w:rPr>
                <w:sz w:val="1"/>
                <w:szCs w:val="1"/>
                <w:color w:val="auto"/>
              </w:rPr>
            </w:pPr>
          </w:p>
        </w:tc>
      </w:tr>
      <w:tr>
        <w:trPr>
          <w:trHeight w:val="148"/>
        </w:trPr>
        <w:tc>
          <w:tcPr>
            <w:tcW w:w="7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Excise tax</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130,000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33,341</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67,413</w:t>
            </w:r>
          </w:p>
        </w:tc>
        <w:tc>
          <w:tcPr>
            <w:tcW w:w="0" w:type="dxa"/>
            <w:vAlign w:val="bottom"/>
          </w:tcPr>
          <w:p>
            <w:pPr>
              <w:spacing w:after="0"/>
              <w:rPr>
                <w:sz w:val="1"/>
                <w:szCs w:val="1"/>
                <w:color w:val="auto"/>
              </w:rPr>
            </w:pPr>
          </w:p>
        </w:tc>
      </w:tr>
      <w:tr>
        <w:trPr>
          <w:trHeight w:val="148"/>
        </w:trPr>
        <w:tc>
          <w:tcPr>
            <w:tcW w:w="7360" w:type="dxa"/>
            <w:vAlign w:val="bottom"/>
          </w:tcPr>
          <w:p>
            <w:pPr>
              <w:ind w:left="440"/>
              <w:spacing w:after="0"/>
              <w:rPr>
                <w:sz w:val="20"/>
                <w:szCs w:val="20"/>
                <w:color w:val="auto"/>
              </w:rPr>
            </w:pPr>
            <w:r>
              <w:rPr>
                <w:rFonts w:ascii="Arial" w:cs="Arial" w:eastAsia="Arial" w:hAnsi="Arial"/>
                <w:sz w:val="13"/>
                <w:szCs w:val="13"/>
                <w:color w:val="auto"/>
              </w:rPr>
              <w:t>Credit Facility amendment costs (See Notes 5 and 9)</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500,000</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712,930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500,000</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60" w:type="dxa"/>
            <w:vAlign w:val="bottom"/>
            <w:shd w:val="clear" w:color="auto" w:fill="CCEEFF"/>
          </w:tcPr>
          <w:p>
            <w:pPr>
              <w:ind w:left="440"/>
              <w:spacing w:after="0"/>
              <w:rPr>
                <w:sz w:val="20"/>
                <w:szCs w:val="20"/>
                <w:color w:val="auto"/>
              </w:rPr>
            </w:pPr>
            <w:r>
              <w:rPr>
                <w:rFonts w:ascii="Arial" w:cs="Arial" w:eastAsia="Arial" w:hAnsi="Arial"/>
                <w:sz w:val="13"/>
                <w:szCs w:val="13"/>
                <w:b w:val="1"/>
                <w:bCs w:val="1"/>
                <w:color w:val="auto"/>
              </w:rPr>
              <w:t>Total expenses</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3,898,966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2,473,952</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7,514,926</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4,377,752</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Net investment income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3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3,724,510</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1,665,925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6,952,443</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3,724,798</w:t>
            </w:r>
          </w:p>
        </w:tc>
        <w:tc>
          <w:tcPr>
            <w:tcW w:w="0" w:type="dxa"/>
            <w:vAlign w:val="bottom"/>
          </w:tcPr>
          <w:p>
            <w:pPr>
              <w:spacing w:after="0"/>
              <w:rPr>
                <w:sz w:val="1"/>
                <w:szCs w:val="1"/>
                <w:color w:val="auto"/>
              </w:rPr>
            </w:pPr>
          </w:p>
        </w:tc>
      </w:tr>
      <w:tr>
        <w:trPr>
          <w:trHeight w:val="148"/>
        </w:trPr>
        <w:tc>
          <w:tcPr>
            <w:tcW w:w="736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Realized and unrealized gain on investments and Credit Facility:</w:t>
            </w:r>
          </w:p>
        </w:tc>
        <w:tc>
          <w:tcPr>
            <w:tcW w:w="16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tcPr>
          <w:p>
            <w:pPr>
              <w:spacing w:after="0"/>
              <w:rPr>
                <w:sz w:val="20"/>
                <w:szCs w:val="20"/>
                <w:color w:val="auto"/>
              </w:rPr>
            </w:pPr>
            <w:r>
              <w:rPr>
                <w:rFonts w:ascii="Arial" w:cs="Arial" w:eastAsia="Arial" w:hAnsi="Arial"/>
                <w:sz w:val="13"/>
                <w:szCs w:val="13"/>
                <w:color w:val="auto"/>
              </w:rPr>
              <w:t>Net realized gain on non-controlled, non-affiliated investments</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482,797</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1,104,627</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1,076,854</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1,547,470</w:t>
            </w:r>
          </w:p>
        </w:tc>
        <w:tc>
          <w:tcPr>
            <w:tcW w:w="0" w:type="dxa"/>
            <w:vAlign w:val="bottom"/>
          </w:tcPr>
          <w:p>
            <w:pPr>
              <w:spacing w:after="0"/>
              <w:rPr>
                <w:sz w:val="1"/>
                <w:szCs w:val="1"/>
                <w:color w:val="auto"/>
              </w:rPr>
            </w:pPr>
          </w:p>
        </w:tc>
      </w:tr>
      <w:tr>
        <w:trPr>
          <w:trHeight w:val="149"/>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Net change in unrealized appreciation on:</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360" w:type="dxa"/>
            <w:vAlign w:val="bottom"/>
          </w:tcPr>
          <w:p>
            <w:pPr>
              <w:ind w:left="440"/>
              <w:spacing w:after="0"/>
              <w:rPr>
                <w:sz w:val="20"/>
                <w:szCs w:val="20"/>
                <w:color w:val="auto"/>
              </w:rPr>
            </w:pPr>
            <w:r>
              <w:rPr>
                <w:rFonts w:ascii="Arial" w:cs="Arial" w:eastAsia="Arial" w:hAnsi="Arial"/>
                <w:sz w:val="13"/>
                <w:szCs w:val="13"/>
                <w:color w:val="auto"/>
              </w:rPr>
              <w:t>Non-controlled, non-affiliated investments</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3,029,990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435,183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5,264,781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76,398</w:t>
            </w:r>
          </w:p>
        </w:tc>
        <w:tc>
          <w:tcPr>
            <w:tcW w:w="0" w:type="dxa"/>
            <w:vAlign w:val="bottom"/>
          </w:tcPr>
          <w:p>
            <w:pPr>
              <w:spacing w:after="0"/>
              <w:rPr>
                <w:sz w:val="1"/>
                <w:szCs w:val="1"/>
                <w:color w:val="auto"/>
              </w:rPr>
            </w:pPr>
          </w:p>
        </w:tc>
      </w:tr>
      <w:tr>
        <w:trPr>
          <w:trHeight w:val="148"/>
        </w:trPr>
        <w:tc>
          <w:tcPr>
            <w:tcW w:w="73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Credit Facility appreciation (See Note 5)</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(377,500)</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440"/>
              <w:spacing w:after="0"/>
              <w:rPr>
                <w:sz w:val="20"/>
                <w:szCs w:val="20"/>
                <w:color w:val="auto"/>
              </w:rPr>
            </w:pPr>
            <w:r>
              <w:rPr>
                <w:rFonts w:ascii="Arial" w:cs="Arial" w:eastAsia="Arial" w:hAnsi="Arial"/>
                <w:sz w:val="13"/>
                <w:szCs w:val="13"/>
                <w:b w:val="1"/>
                <w:bCs w:val="1"/>
                <w:color w:val="auto"/>
              </w:rPr>
              <w:t>Net change in unrealized appreciation on investments and Credit Facility</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3,029,990</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435,183</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5,264,781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3"/>
                <w:szCs w:val="13"/>
                <w:color w:val="auto"/>
              </w:rPr>
              <w:t>(301,102)</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Net realized and unrealized gain from investments and Credit Facility</w:t>
            </w: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3,512,787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1,539,810</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6,341,635</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1,246,368</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vMerge w:val="continue"/>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7,237,297</w:t>
            </w:r>
          </w:p>
        </w:tc>
        <w:tc>
          <w:tcPr>
            <w:tcW w:w="2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3,205,735</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13,294,078</w:t>
            </w: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4,971,166</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3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Basic - Net increase in net assets resulting from operations per common share (See Note 6)</w:t>
            </w:r>
          </w:p>
        </w:tc>
        <w:tc>
          <w:tcPr>
            <w:tcW w:w="160" w:type="dxa"/>
            <w:vAlign w:val="bottom"/>
            <w:shd w:val="clear" w:color="auto" w:fill="CCEEFF"/>
          </w:tcPr>
          <w:p>
            <w:pPr>
              <w:spacing w:after="0" w:line="143" w:lineRule="exact"/>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0.49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0.45</w:t>
            </w:r>
          </w:p>
        </w:tc>
        <w:tc>
          <w:tcPr>
            <w:tcW w:w="2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43" w:lineRule="exact"/>
              <w:rPr>
                <w:sz w:val="20"/>
                <w:szCs w:val="20"/>
                <w:color w:val="auto"/>
              </w:rPr>
            </w:pPr>
            <w:r>
              <w:rPr>
                <w:rFonts w:ascii="Arial" w:cs="Arial" w:eastAsia="Arial" w:hAnsi="Arial"/>
                <w:sz w:val="13"/>
                <w:szCs w:val="13"/>
                <w:color w:val="auto"/>
              </w:rPr>
              <w:t>0.89</w:t>
            </w:r>
          </w:p>
        </w:tc>
        <w:tc>
          <w:tcPr>
            <w:tcW w:w="24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line="143" w:lineRule="exact"/>
              <w:rPr>
                <w:sz w:val="20"/>
                <w:szCs w:val="20"/>
                <w:color w:val="auto"/>
              </w:rPr>
            </w:pPr>
            <w:r>
              <w:rPr>
                <w:rFonts w:ascii="Arial" w:cs="Arial" w:eastAsia="Arial" w:hAnsi="Arial"/>
                <w:sz w:val="13"/>
                <w:szCs w:val="13"/>
                <w:color w:val="auto"/>
              </w:rPr>
              <w:t>0.72</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3"/>
                <w:szCs w:val="13"/>
                <w:color w:val="auto"/>
              </w:rPr>
              <w:t>Basic - Net investment income per common share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360" w:type="dxa"/>
            <w:vAlign w:val="bottom"/>
            <w:vMerge w:val="continue"/>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0.25</w:t>
            </w:r>
          </w:p>
        </w:tc>
        <w:tc>
          <w:tcPr>
            <w:tcW w:w="2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0.24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0.47</w:t>
            </w: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0.54</w:t>
            </w:r>
          </w:p>
        </w:tc>
        <w:tc>
          <w:tcPr>
            <w:tcW w:w="0" w:type="dxa"/>
            <w:vAlign w:val="bottom"/>
          </w:tcPr>
          <w:p>
            <w:pPr>
              <w:spacing w:after="0"/>
              <w:rPr>
                <w:sz w:val="1"/>
                <w:szCs w:val="1"/>
                <w:color w:val="auto"/>
              </w:rPr>
            </w:pPr>
          </w:p>
        </w:tc>
      </w:tr>
      <w:tr>
        <w:trPr>
          <w:trHeight w:val="27"/>
        </w:trPr>
        <w:tc>
          <w:tcPr>
            <w:tcW w:w="7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Diluted - Net increase in net assets resulting from operations per common share (See Note 6)</w:t>
            </w:r>
          </w:p>
        </w:tc>
        <w:tc>
          <w:tcPr>
            <w:tcW w:w="16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0.89</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0.71</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3"/>
                <w:szCs w:val="13"/>
                <w:color w:val="auto"/>
              </w:rPr>
              <w:t>Diluted - Net investment income per common share</w:t>
            </w: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360" w:type="dxa"/>
            <w:vAlign w:val="bottom"/>
            <w:vMerge w:val="continue"/>
          </w:tcPr>
          <w:p>
            <w:pPr>
              <w:spacing w:after="0"/>
              <w:rPr>
                <w:sz w:val="13"/>
                <w:szCs w:val="13"/>
                <w:color w:val="auto"/>
              </w:rPr>
            </w:pPr>
          </w:p>
        </w:tc>
        <w:tc>
          <w:tcPr>
            <w:tcW w:w="160" w:type="dxa"/>
            <w:vAlign w:val="bottom"/>
          </w:tcPr>
          <w:p>
            <w:pPr>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0.25</w:t>
            </w:r>
          </w:p>
        </w:tc>
        <w:tc>
          <w:tcPr>
            <w:tcW w:w="200" w:type="dxa"/>
            <w:vAlign w:val="bottom"/>
          </w:tcPr>
          <w:p>
            <w:pPr>
              <w:spacing w:after="0"/>
              <w:rPr>
                <w:sz w:val="13"/>
                <w:szCs w:val="13"/>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0.24</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0.47</w:t>
            </w:r>
          </w:p>
        </w:tc>
        <w:tc>
          <w:tcPr>
            <w:tcW w:w="24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720" w:type="dxa"/>
            <w:vAlign w:val="bottom"/>
            <w:gridSpan w:val="2"/>
          </w:tcPr>
          <w:p>
            <w:pPr>
              <w:jc w:val="right"/>
              <w:ind w:right="80"/>
              <w:spacing w:after="0"/>
              <w:rPr>
                <w:sz w:val="20"/>
                <w:szCs w:val="20"/>
                <w:color w:val="auto"/>
              </w:rPr>
            </w:pPr>
            <w:r>
              <w:rPr>
                <w:rFonts w:ascii="Arial" w:cs="Arial" w:eastAsia="Arial" w:hAnsi="Arial"/>
                <w:sz w:val="13"/>
                <w:szCs w:val="13"/>
                <w:color w:val="auto"/>
              </w:rPr>
              <w:t>0.53</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11240"/>
          </w:cols>
          <w:pgMar w:left="320" w:top="459"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CHANGES IN NET ASSETS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8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gridSpan w:val="6"/>
          </w:tcPr>
          <w:p>
            <w:pPr>
              <w:jc w:val="right"/>
              <w:ind w:right="180"/>
              <w:spacing w:after="0"/>
              <w:rPr>
                <w:sz w:val="20"/>
                <w:szCs w:val="20"/>
                <w:color w:val="auto"/>
              </w:rPr>
            </w:pPr>
            <w:r>
              <w:rPr>
                <w:rFonts w:ascii="Arial" w:cs="Arial" w:eastAsia="Arial" w:hAnsi="Arial"/>
                <w:sz w:val="13"/>
                <w:szCs w:val="13"/>
                <w:b w:val="1"/>
                <w:bCs w:val="1"/>
                <w:color w:val="auto"/>
                <w:w w:val="95"/>
              </w:rPr>
              <w:t>Six Months Ended March 31,</w:t>
            </w:r>
          </w:p>
        </w:tc>
      </w:tr>
      <w:tr>
        <w:trPr>
          <w:trHeight w:val="142"/>
        </w:trPr>
        <w:tc>
          <w:tcPr>
            <w:tcW w:w="6580" w:type="dxa"/>
            <w:vAlign w:val="bottom"/>
            <w:tcBorders>
              <w:bottom w:val="single" w:sz="8" w:color="CCEEFF"/>
            </w:tcBorders>
          </w:tcPr>
          <w:p>
            <w:pPr>
              <w:spacing w:after="0"/>
              <w:rPr>
                <w:sz w:val="12"/>
                <w:szCs w:val="12"/>
                <w:color w:val="auto"/>
              </w:rPr>
            </w:pPr>
          </w:p>
        </w:tc>
        <w:tc>
          <w:tcPr>
            <w:tcW w:w="27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2014</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r>
      <w:tr>
        <w:trPr>
          <w:trHeight w:val="128"/>
        </w:trPr>
        <w:tc>
          <w:tcPr>
            <w:tcW w:w="658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Net increase in net assets from operations:</w:t>
            </w:r>
          </w:p>
        </w:tc>
        <w:tc>
          <w:tcPr>
            <w:tcW w:w="2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8"/>
        </w:trPr>
        <w:tc>
          <w:tcPr>
            <w:tcW w:w="6580" w:type="dxa"/>
            <w:vAlign w:val="bottom"/>
          </w:tcPr>
          <w:p>
            <w:pPr>
              <w:ind w:left="440"/>
              <w:spacing w:after="0"/>
              <w:rPr>
                <w:sz w:val="20"/>
                <w:szCs w:val="20"/>
                <w:color w:val="auto"/>
              </w:rPr>
            </w:pPr>
            <w:r>
              <w:rPr>
                <w:rFonts w:ascii="Arial" w:cs="Arial" w:eastAsia="Arial" w:hAnsi="Arial"/>
                <w:sz w:val="13"/>
                <w:szCs w:val="13"/>
                <w:color w:val="auto"/>
              </w:rPr>
              <w:t>Net investment income</w:t>
            </w:r>
          </w:p>
        </w:tc>
        <w:tc>
          <w:tcPr>
            <w:tcW w:w="27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6,952,443</w:t>
            </w:r>
          </w:p>
        </w:tc>
        <w:tc>
          <w:tcPr>
            <w:tcW w:w="180" w:type="dxa"/>
            <w:vAlign w:val="bottom"/>
          </w:tcPr>
          <w:p>
            <w:pPr>
              <w:spacing w:after="0"/>
              <w:rPr>
                <w:sz w:val="12"/>
                <w:szCs w:val="12"/>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3,724,798</w:t>
            </w:r>
          </w:p>
        </w:tc>
      </w:tr>
      <w:tr>
        <w:trPr>
          <w:trHeight w:val="149"/>
        </w:trPr>
        <w:tc>
          <w:tcPr>
            <w:tcW w:w="65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realized gain on investments</w:t>
            </w: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1,076,854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1,547,470</w:t>
            </w:r>
          </w:p>
        </w:tc>
      </w:tr>
      <w:tr>
        <w:trPr>
          <w:trHeight w:val="148"/>
        </w:trPr>
        <w:tc>
          <w:tcPr>
            <w:tcW w:w="6580" w:type="dxa"/>
            <w:vAlign w:val="bottom"/>
          </w:tcPr>
          <w:p>
            <w:pPr>
              <w:ind w:left="440"/>
              <w:spacing w:after="0"/>
              <w:rPr>
                <w:sz w:val="20"/>
                <w:szCs w:val="20"/>
                <w:color w:val="auto"/>
              </w:rPr>
            </w:pPr>
            <w:r>
              <w:rPr>
                <w:rFonts w:ascii="Arial" w:cs="Arial" w:eastAsia="Arial" w:hAnsi="Arial"/>
                <w:sz w:val="13"/>
                <w:szCs w:val="13"/>
                <w:color w:val="auto"/>
              </w:rPr>
              <w:t>Net change in unrealized appreciation on investments</w:t>
            </w: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5,264,781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76,398</w:t>
            </w:r>
          </w:p>
        </w:tc>
      </w:tr>
      <w:tr>
        <w:trPr>
          <w:trHeight w:val="148"/>
        </w:trPr>
        <w:tc>
          <w:tcPr>
            <w:tcW w:w="65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Net change in unrealized appreciation on Credit Facility</w:t>
            </w: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(377,500)</w:t>
            </w:r>
          </w:p>
        </w:tc>
      </w:tr>
      <w:tr>
        <w:trPr>
          <w:trHeight w:val="163"/>
        </w:trPr>
        <w:tc>
          <w:tcPr>
            <w:tcW w:w="6580" w:type="dxa"/>
            <w:vAlign w:val="bottom"/>
          </w:tcPr>
          <w:p>
            <w:pPr>
              <w:ind w:left="440"/>
              <w:spacing w:after="0"/>
              <w:rPr>
                <w:sz w:val="20"/>
                <w:szCs w:val="20"/>
                <w:color w:val="auto"/>
              </w:rPr>
            </w:pPr>
            <w:r>
              <w:rPr>
                <w:rFonts w:ascii="Arial" w:cs="Arial" w:eastAsia="Arial" w:hAnsi="Arial"/>
                <w:sz w:val="13"/>
                <w:szCs w:val="13"/>
                <w:b w:val="1"/>
                <w:bCs w:val="1"/>
                <w:color w:val="auto"/>
              </w:rPr>
              <w:t>Net increase in net assets resulting from operations</w:t>
            </w:r>
          </w:p>
        </w:tc>
        <w:tc>
          <w:tcPr>
            <w:tcW w:w="27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13,294,078</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4,971,166</w:t>
            </w:r>
          </w:p>
        </w:tc>
        <w:tc>
          <w:tcPr>
            <w:tcW w:w="80" w:type="dxa"/>
            <w:vAlign w:val="bottom"/>
          </w:tcPr>
          <w:p>
            <w:pPr>
              <w:spacing w:after="0"/>
              <w:rPr>
                <w:sz w:val="14"/>
                <w:szCs w:val="14"/>
                <w:color w:val="auto"/>
              </w:rPr>
            </w:pPr>
          </w:p>
        </w:tc>
      </w:tr>
      <w:tr>
        <w:trPr>
          <w:trHeight w:val="148"/>
        </w:trPr>
        <w:tc>
          <w:tcPr>
            <w:tcW w:w="6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Distributions to stockholders:</w:t>
            </w: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56"/>
        </w:trPr>
        <w:tc>
          <w:tcPr>
            <w:tcW w:w="6580" w:type="dxa"/>
            <w:vAlign w:val="bottom"/>
          </w:tcPr>
          <w:p>
            <w:pPr>
              <w:ind w:left="440"/>
              <w:spacing w:after="0"/>
              <w:rPr>
                <w:sz w:val="20"/>
                <w:szCs w:val="20"/>
                <w:color w:val="auto"/>
              </w:rPr>
            </w:pPr>
            <w:r>
              <w:rPr>
                <w:rFonts w:ascii="Arial" w:cs="Arial" w:eastAsia="Arial" w:hAnsi="Arial"/>
                <w:sz w:val="13"/>
                <w:szCs w:val="13"/>
                <w:color w:val="auto"/>
              </w:rPr>
              <w:t>Distributions</w:t>
            </w:r>
          </w:p>
        </w:tc>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3"/>
                <w:szCs w:val="13"/>
                <w:color w:val="auto"/>
              </w:rPr>
              <w:t>(8,007,705)</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(3,442,503)</w:t>
            </w:r>
          </w:p>
        </w:tc>
      </w:tr>
      <w:tr>
        <w:trPr>
          <w:trHeight w:val="148"/>
        </w:trPr>
        <w:tc>
          <w:tcPr>
            <w:tcW w:w="6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Capital transactions:</w:t>
            </w:r>
          </w:p>
        </w:tc>
        <w:tc>
          <w:tcPr>
            <w:tcW w:w="270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8"/>
        </w:trPr>
        <w:tc>
          <w:tcPr>
            <w:tcW w:w="6580" w:type="dxa"/>
            <w:vAlign w:val="bottom"/>
          </w:tcPr>
          <w:p>
            <w:pPr>
              <w:ind w:left="440"/>
              <w:spacing w:after="0"/>
              <w:rPr>
                <w:sz w:val="20"/>
                <w:szCs w:val="20"/>
                <w:color w:val="auto"/>
              </w:rPr>
            </w:pPr>
            <w:r>
              <w:rPr>
                <w:rFonts w:ascii="Arial" w:cs="Arial" w:eastAsia="Arial" w:hAnsi="Arial"/>
                <w:sz w:val="13"/>
                <w:szCs w:val="13"/>
                <w:color w:val="auto"/>
              </w:rPr>
              <w:t>Public offering and distributions reinvested</w:t>
            </w:r>
          </w:p>
        </w:tc>
        <w:tc>
          <w:tcPr>
            <w:tcW w:w="2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rPr>
              <w:t>42,006,945</w:t>
            </w:r>
          </w:p>
        </w:tc>
      </w:tr>
      <w:tr>
        <w:trPr>
          <w:trHeight w:val="148"/>
        </w:trPr>
        <w:tc>
          <w:tcPr>
            <w:tcW w:w="65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Offering costs</w:t>
            </w: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(400,000)</w:t>
            </w:r>
          </w:p>
        </w:tc>
      </w:tr>
      <w:tr>
        <w:trPr>
          <w:trHeight w:val="163"/>
        </w:trPr>
        <w:tc>
          <w:tcPr>
            <w:tcW w:w="6580" w:type="dxa"/>
            <w:vAlign w:val="bottom"/>
          </w:tcPr>
          <w:p>
            <w:pPr>
              <w:ind w:left="440"/>
              <w:spacing w:after="0"/>
              <w:rPr>
                <w:sz w:val="20"/>
                <w:szCs w:val="20"/>
                <w:color w:val="auto"/>
              </w:rPr>
            </w:pPr>
            <w:r>
              <w:rPr>
                <w:rFonts w:ascii="Arial" w:cs="Arial" w:eastAsia="Arial" w:hAnsi="Arial"/>
                <w:sz w:val="13"/>
                <w:szCs w:val="13"/>
                <w:b w:val="1"/>
                <w:bCs w:val="1"/>
                <w:color w:val="auto"/>
              </w:rPr>
              <w:t>Net increase in net assets resulting from capital transactions</w:t>
            </w:r>
          </w:p>
        </w:tc>
        <w:tc>
          <w:tcPr>
            <w:tcW w:w="270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41,606,945</w:t>
            </w:r>
          </w:p>
        </w:tc>
        <w:tc>
          <w:tcPr>
            <w:tcW w:w="80" w:type="dxa"/>
            <w:vAlign w:val="bottom"/>
          </w:tcPr>
          <w:p>
            <w:pPr>
              <w:spacing w:after="0"/>
              <w:rPr>
                <w:sz w:val="14"/>
                <w:szCs w:val="14"/>
                <w:color w:val="auto"/>
              </w:rPr>
            </w:pPr>
          </w:p>
        </w:tc>
      </w:tr>
      <w:tr>
        <w:trPr>
          <w:trHeight w:val="148"/>
        </w:trPr>
        <w:tc>
          <w:tcPr>
            <w:tcW w:w="65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 in net assets</w:t>
            </w:r>
          </w:p>
        </w:tc>
        <w:tc>
          <w:tcPr>
            <w:tcW w:w="2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5,286,373</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43,135,608</w:t>
            </w:r>
          </w:p>
        </w:tc>
      </w:tr>
      <w:tr>
        <w:trPr>
          <w:trHeight w:val="156"/>
        </w:trPr>
        <w:tc>
          <w:tcPr>
            <w:tcW w:w="6580" w:type="dxa"/>
            <w:vAlign w:val="bottom"/>
          </w:tcPr>
          <w:p>
            <w:pPr>
              <w:spacing w:after="0"/>
              <w:rPr>
                <w:sz w:val="20"/>
                <w:szCs w:val="20"/>
                <w:color w:val="auto"/>
              </w:rPr>
            </w:pPr>
            <w:r>
              <w:rPr>
                <w:rFonts w:ascii="Arial" w:cs="Arial" w:eastAsia="Arial" w:hAnsi="Arial"/>
                <w:sz w:val="13"/>
                <w:szCs w:val="13"/>
                <w:b w:val="1"/>
                <w:bCs w:val="1"/>
                <w:color w:val="auto"/>
              </w:rPr>
              <w:t>Net assets:</w:t>
            </w:r>
          </w:p>
        </w:tc>
        <w:tc>
          <w:tcPr>
            <w:tcW w:w="27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8"/>
        </w:trPr>
        <w:tc>
          <w:tcPr>
            <w:tcW w:w="65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Beginning of period</w:t>
            </w:r>
          </w:p>
        </w:tc>
        <w:tc>
          <w:tcPr>
            <w:tcW w:w="27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210,066,394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95,743,877</w:t>
            </w:r>
          </w:p>
        </w:tc>
        <w:tc>
          <w:tcPr>
            <w:tcW w:w="80" w:type="dxa"/>
            <w:vAlign w:val="bottom"/>
            <w:shd w:val="clear" w:color="auto" w:fill="CCEEFF"/>
          </w:tcPr>
          <w:p>
            <w:pPr>
              <w:spacing w:after="0"/>
              <w:rPr>
                <w:sz w:val="12"/>
                <w:szCs w:val="12"/>
                <w:color w:val="auto"/>
              </w:rPr>
            </w:pPr>
          </w:p>
        </w:tc>
      </w:tr>
      <w:tr>
        <w:trPr>
          <w:trHeight w:val="156"/>
        </w:trPr>
        <w:tc>
          <w:tcPr>
            <w:tcW w:w="6580" w:type="dxa"/>
            <w:vAlign w:val="bottom"/>
          </w:tcPr>
          <w:p>
            <w:pPr>
              <w:ind w:left="440"/>
              <w:spacing w:after="0"/>
              <w:rPr>
                <w:sz w:val="20"/>
                <w:szCs w:val="20"/>
                <w:color w:val="auto"/>
              </w:rPr>
            </w:pPr>
            <w:r>
              <w:rPr>
                <w:rFonts w:ascii="Arial" w:cs="Arial" w:eastAsia="Arial" w:hAnsi="Arial"/>
                <w:sz w:val="13"/>
                <w:szCs w:val="13"/>
                <w:color w:val="auto"/>
              </w:rPr>
              <w:t>End of period</w:t>
            </w:r>
          </w:p>
        </w:tc>
        <w:tc>
          <w:tcPr>
            <w:tcW w:w="27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w w:val="94"/>
              </w:rPr>
              <w:t>215,352,767</w:t>
            </w:r>
          </w:p>
        </w:tc>
        <w:tc>
          <w:tcPr>
            <w:tcW w:w="180" w:type="dxa"/>
            <w:vAlign w:val="bottom"/>
          </w:tcPr>
          <w:p>
            <w:pPr>
              <w:spacing w:after="0"/>
              <w:rPr>
                <w:sz w:val="13"/>
                <w:szCs w:val="13"/>
                <w:color w:val="auto"/>
              </w:rPr>
            </w:pPr>
          </w:p>
        </w:tc>
        <w:tc>
          <w:tcPr>
            <w:tcW w:w="22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138,879,485</w:t>
            </w:r>
          </w:p>
        </w:tc>
      </w:tr>
      <w:tr>
        <w:trPr>
          <w:trHeight w:val="20"/>
        </w:trPr>
        <w:tc>
          <w:tcPr>
            <w:tcW w:w="658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43"/>
        </w:trPr>
        <w:tc>
          <w:tcPr>
            <w:tcW w:w="6580" w:type="dxa"/>
            <w:vAlign w:val="bottom"/>
            <w:shd w:val="clear" w:color="auto" w:fill="CCEEFF"/>
          </w:tcPr>
          <w:p>
            <w:pPr>
              <w:ind w:left="440"/>
              <w:spacing w:after="0" w:line="143" w:lineRule="exact"/>
              <w:rPr>
                <w:sz w:val="20"/>
                <w:szCs w:val="20"/>
                <w:color w:val="auto"/>
              </w:rPr>
            </w:pPr>
            <w:r>
              <w:rPr>
                <w:rFonts w:ascii="Arial" w:cs="Arial" w:eastAsia="Arial" w:hAnsi="Arial"/>
                <w:sz w:val="13"/>
                <w:szCs w:val="13"/>
                <w:color w:val="auto"/>
              </w:rPr>
              <w:t>Distributions in excess of net investment income, end of period</w:t>
            </w:r>
          </w:p>
        </w:tc>
        <w:tc>
          <w:tcPr>
            <w:tcW w:w="27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20"/>
              <w:spacing w:after="0" w:line="143" w:lineRule="exact"/>
              <w:rPr>
                <w:sz w:val="20"/>
                <w:szCs w:val="20"/>
                <w:color w:val="auto"/>
              </w:rPr>
            </w:pPr>
            <w:r>
              <w:rPr>
                <w:rFonts w:ascii="Arial" w:cs="Arial" w:eastAsia="Arial" w:hAnsi="Arial"/>
                <w:sz w:val="13"/>
                <w:szCs w:val="13"/>
                <w:color w:val="auto"/>
              </w:rPr>
              <w:t>(580,496)</w:t>
            </w:r>
          </w:p>
        </w:tc>
        <w:tc>
          <w:tcPr>
            <w:tcW w:w="2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
              <w:spacing w:after="0" w:line="143" w:lineRule="exact"/>
              <w:rPr>
                <w:sz w:val="20"/>
                <w:szCs w:val="20"/>
                <w:color w:val="auto"/>
              </w:rPr>
            </w:pPr>
            <w:r>
              <w:rPr>
                <w:rFonts w:ascii="Arial" w:cs="Arial" w:eastAsia="Arial" w:hAnsi="Arial"/>
                <w:sz w:val="13"/>
                <w:szCs w:val="13"/>
                <w:color w:val="auto"/>
              </w:rPr>
              <w:t>(1,030,705)</w:t>
            </w:r>
          </w:p>
        </w:tc>
      </w:tr>
      <w:tr>
        <w:trPr>
          <w:trHeight w:val="155"/>
        </w:trPr>
        <w:tc>
          <w:tcPr>
            <w:tcW w:w="6580" w:type="dxa"/>
            <w:vAlign w:val="bottom"/>
          </w:tcPr>
          <w:p>
            <w:pPr>
              <w:spacing w:after="0"/>
              <w:rPr>
                <w:sz w:val="20"/>
                <w:szCs w:val="20"/>
                <w:color w:val="auto"/>
              </w:rPr>
            </w:pPr>
            <w:r>
              <w:rPr>
                <w:rFonts w:ascii="Arial" w:cs="Arial" w:eastAsia="Arial" w:hAnsi="Arial"/>
                <w:sz w:val="13"/>
                <w:szCs w:val="13"/>
                <w:b w:val="1"/>
                <w:bCs w:val="1"/>
                <w:color w:val="auto"/>
              </w:rPr>
              <w:t>Capital share activity:</w:t>
            </w:r>
          </w:p>
        </w:tc>
        <w:tc>
          <w:tcPr>
            <w:tcW w:w="27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6580" w:type="dxa"/>
            <w:vAlign w:val="bottom"/>
            <w:shd w:val="clear" w:color="auto" w:fill="CCEEFF"/>
          </w:tcPr>
          <w:p>
            <w:pPr>
              <w:ind w:left="440"/>
              <w:spacing w:after="0"/>
              <w:rPr>
                <w:sz w:val="20"/>
                <w:szCs w:val="20"/>
                <w:color w:val="auto"/>
              </w:rPr>
            </w:pPr>
            <w:r>
              <w:rPr>
                <w:rFonts w:ascii="Arial" w:cs="Arial" w:eastAsia="Arial" w:hAnsi="Arial"/>
                <w:sz w:val="13"/>
                <w:szCs w:val="13"/>
                <w:color w:val="auto"/>
              </w:rPr>
              <w:t>Shares issued from public offering</w:t>
            </w:r>
          </w:p>
        </w:tc>
        <w:tc>
          <w:tcPr>
            <w:tcW w:w="27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2"/>
                <w:szCs w:val="12"/>
                <w:color w:val="auto"/>
              </w:rPr>
            </w:pPr>
          </w:p>
        </w:tc>
      </w:tr>
      <w:tr>
        <w:trPr>
          <w:trHeight w:val="155"/>
        </w:trPr>
        <w:tc>
          <w:tcPr>
            <w:tcW w:w="6580" w:type="dxa"/>
            <w:vAlign w:val="bottom"/>
          </w:tcPr>
          <w:p>
            <w:pPr>
              <w:ind w:left="440"/>
              <w:spacing w:after="0"/>
              <w:rPr>
                <w:sz w:val="20"/>
                <w:szCs w:val="20"/>
                <w:color w:val="auto"/>
              </w:rPr>
            </w:pPr>
            <w:r>
              <w:rPr>
                <w:rFonts w:ascii="Arial" w:cs="Arial" w:eastAsia="Arial" w:hAnsi="Arial"/>
                <w:sz w:val="13"/>
                <w:szCs w:val="13"/>
                <w:color w:val="auto"/>
              </w:rPr>
              <w:t>Shares issued from reinvestment of distributions</w:t>
            </w:r>
          </w:p>
        </w:tc>
        <w:tc>
          <w:tcPr>
            <w:tcW w:w="27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484</w:t>
            </w:r>
          </w:p>
        </w:tc>
        <w:tc>
          <w:tcPr>
            <w:tcW w:w="80" w:type="dxa"/>
            <w:vAlign w:val="bottom"/>
          </w:tcPr>
          <w:p>
            <w:pPr>
              <w:spacing w:after="0"/>
              <w:rPr>
                <w:sz w:val="13"/>
                <w:szCs w:val="13"/>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240"/>
          </w:cols>
          <w:pgMar w:left="320" w:top="459"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CASH FLOWS</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6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w w:val="95"/>
              </w:rPr>
              <w:t>Six Months Ended March 31,</w:t>
            </w:r>
          </w:p>
        </w:tc>
        <w:tc>
          <w:tcPr>
            <w:tcW w:w="0" w:type="dxa"/>
            <w:vAlign w:val="bottom"/>
          </w:tcPr>
          <w:p>
            <w:pPr>
              <w:spacing w:after="0"/>
              <w:rPr>
                <w:sz w:val="1"/>
                <w:szCs w:val="1"/>
                <w:color w:val="auto"/>
              </w:rPr>
            </w:pPr>
          </w:p>
        </w:tc>
      </w:tr>
      <w:tr>
        <w:trPr>
          <w:trHeight w:val="142"/>
        </w:trPr>
        <w:tc>
          <w:tcPr>
            <w:tcW w:w="840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2014</w:t>
            </w:r>
          </w:p>
        </w:tc>
        <w:tc>
          <w:tcPr>
            <w:tcW w:w="28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2013</w:t>
            </w: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40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Cash flows from operating activities:</w:t>
            </w:r>
          </w:p>
        </w:tc>
        <w:tc>
          <w:tcPr>
            <w:tcW w:w="9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8400" w:type="dxa"/>
            <w:vAlign w:val="bottom"/>
          </w:tcPr>
          <w:p>
            <w:pPr>
              <w:ind w:left="440"/>
              <w:spacing w:after="0"/>
              <w:rPr>
                <w:sz w:val="20"/>
                <w:szCs w:val="20"/>
                <w:color w:val="auto"/>
              </w:rPr>
            </w:pPr>
            <w:r>
              <w:rPr>
                <w:rFonts w:ascii="Arial" w:cs="Arial" w:eastAsia="Arial" w:hAnsi="Arial"/>
                <w:sz w:val="13"/>
                <w:szCs w:val="13"/>
                <w:color w:val="auto"/>
              </w:rPr>
              <w:t>Net increase in net assets resulting from operations</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13,294,078</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4,971,166</w:t>
            </w:r>
          </w:p>
        </w:tc>
        <w:tc>
          <w:tcPr>
            <w:tcW w:w="0" w:type="dxa"/>
            <w:vAlign w:val="bottom"/>
          </w:tcPr>
          <w:p>
            <w:pPr>
              <w:spacing w:after="0"/>
              <w:rPr>
                <w:sz w:val="1"/>
                <w:szCs w:val="1"/>
                <w:color w:val="auto"/>
              </w:rPr>
            </w:pPr>
          </w:p>
        </w:tc>
      </w:tr>
      <w:tr>
        <w:trPr>
          <w:trHeight w:val="148"/>
        </w:trPr>
        <w:tc>
          <w:tcPr>
            <w:tcW w:w="8400" w:type="dxa"/>
            <w:vAlign w:val="bottom"/>
            <w:shd w:val="clear" w:color="auto" w:fill="CCEEFF"/>
          </w:tcPr>
          <w:p>
            <w:pPr>
              <w:ind w:left="440"/>
              <w:spacing w:after="0"/>
              <w:rPr>
                <w:sz w:val="20"/>
                <w:szCs w:val="20"/>
                <w:color w:val="auto"/>
              </w:rPr>
            </w:pPr>
            <w:r>
              <w:rPr>
                <w:rFonts w:ascii="Arial" w:cs="Arial" w:eastAsia="Arial" w:hAnsi="Arial"/>
                <w:sz w:val="13"/>
                <w:szCs w:val="13"/>
                <w:color w:val="auto"/>
              </w:rPr>
              <w:t>Adjustments to reconcile net increase in net assets resulting from operations to net cash (used for) provided by operating activities:</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0" w:type="dxa"/>
            <w:vAlign w:val="bottom"/>
          </w:tcPr>
          <w:p>
            <w:pPr>
              <w:ind w:left="880"/>
              <w:spacing w:after="0"/>
              <w:rPr>
                <w:sz w:val="20"/>
                <w:szCs w:val="20"/>
                <w:color w:val="auto"/>
              </w:rPr>
            </w:pPr>
            <w:r>
              <w:rPr>
                <w:rFonts w:ascii="Arial" w:cs="Arial" w:eastAsia="Arial" w:hAnsi="Arial"/>
                <w:sz w:val="13"/>
                <w:szCs w:val="13"/>
                <w:color w:val="auto"/>
              </w:rPr>
              <w:t>Net change in unrealized appreciation on investments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(5,264,781)</w:t>
            </w:r>
          </w:p>
        </w:tc>
        <w:tc>
          <w:tcPr>
            <w:tcW w:w="8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(76,398)</w:t>
            </w:r>
          </w:p>
        </w:tc>
        <w:tc>
          <w:tcPr>
            <w:tcW w:w="0" w:type="dxa"/>
            <w:vAlign w:val="bottom"/>
          </w:tcPr>
          <w:p>
            <w:pPr>
              <w:spacing w:after="0"/>
              <w:rPr>
                <w:sz w:val="1"/>
                <w:szCs w:val="1"/>
                <w:color w:val="auto"/>
              </w:rPr>
            </w:pPr>
          </w:p>
        </w:tc>
      </w:tr>
      <w:tr>
        <w:trPr>
          <w:trHeight w:val="149"/>
        </w:trPr>
        <w:tc>
          <w:tcPr>
            <w:tcW w:w="84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Net change in unrealized appreciation on Credit Facility</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377,500</w:t>
            </w:r>
          </w:p>
        </w:tc>
        <w:tc>
          <w:tcPr>
            <w:tcW w:w="0" w:type="dxa"/>
            <w:vAlign w:val="bottom"/>
          </w:tcPr>
          <w:p>
            <w:pPr>
              <w:spacing w:after="0"/>
              <w:rPr>
                <w:sz w:val="1"/>
                <w:szCs w:val="1"/>
                <w:color w:val="auto"/>
              </w:rPr>
            </w:pPr>
          </w:p>
        </w:tc>
      </w:tr>
      <w:tr>
        <w:trPr>
          <w:trHeight w:val="148"/>
        </w:trPr>
        <w:tc>
          <w:tcPr>
            <w:tcW w:w="8400" w:type="dxa"/>
            <w:vAlign w:val="bottom"/>
          </w:tcPr>
          <w:p>
            <w:pPr>
              <w:ind w:left="880"/>
              <w:spacing w:after="0"/>
              <w:rPr>
                <w:sz w:val="20"/>
                <w:szCs w:val="20"/>
                <w:color w:val="auto"/>
              </w:rPr>
            </w:pPr>
            <w:r>
              <w:rPr>
                <w:rFonts w:ascii="Arial" w:cs="Arial" w:eastAsia="Arial" w:hAnsi="Arial"/>
                <w:sz w:val="13"/>
                <w:szCs w:val="13"/>
                <w:color w:val="auto"/>
              </w:rPr>
              <w:t>Net realized gain on investments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(1,076,854)</w:t>
            </w:r>
          </w:p>
        </w:tc>
        <w:tc>
          <w:tcPr>
            <w:tcW w:w="8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(1,547,470)</w:t>
            </w:r>
          </w:p>
        </w:tc>
        <w:tc>
          <w:tcPr>
            <w:tcW w:w="0" w:type="dxa"/>
            <w:vAlign w:val="bottom"/>
          </w:tcPr>
          <w:p>
            <w:pPr>
              <w:spacing w:after="0"/>
              <w:rPr>
                <w:sz w:val="1"/>
                <w:szCs w:val="1"/>
                <w:color w:val="auto"/>
              </w:rPr>
            </w:pPr>
          </w:p>
        </w:tc>
      </w:tr>
      <w:tr>
        <w:trPr>
          <w:trHeight w:val="148"/>
        </w:trPr>
        <w:tc>
          <w:tcPr>
            <w:tcW w:w="84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Net accretion of discount and amortization of premium</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(680,975)</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(565,957)</w:t>
            </w:r>
          </w:p>
        </w:tc>
        <w:tc>
          <w:tcPr>
            <w:tcW w:w="0" w:type="dxa"/>
            <w:vAlign w:val="bottom"/>
          </w:tcPr>
          <w:p>
            <w:pPr>
              <w:spacing w:after="0"/>
              <w:rPr>
                <w:sz w:val="1"/>
                <w:szCs w:val="1"/>
                <w:color w:val="auto"/>
              </w:rPr>
            </w:pPr>
          </w:p>
        </w:tc>
      </w:tr>
      <w:tr>
        <w:trPr>
          <w:trHeight w:val="148"/>
        </w:trPr>
        <w:tc>
          <w:tcPr>
            <w:tcW w:w="8400" w:type="dxa"/>
            <w:vAlign w:val="bottom"/>
          </w:tcPr>
          <w:p>
            <w:pPr>
              <w:ind w:left="880"/>
              <w:spacing w:after="0"/>
              <w:rPr>
                <w:sz w:val="20"/>
                <w:szCs w:val="20"/>
                <w:color w:val="auto"/>
              </w:rPr>
            </w:pPr>
            <w:r>
              <w:rPr>
                <w:rFonts w:ascii="Arial" w:cs="Arial" w:eastAsia="Arial" w:hAnsi="Arial"/>
                <w:sz w:val="13"/>
                <w:szCs w:val="13"/>
                <w:color w:val="auto"/>
              </w:rPr>
              <w:t>Purchases of investments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w w:val="93"/>
              </w:rPr>
              <w:t>(154,345,653)</w:t>
            </w:r>
          </w:p>
        </w:tc>
        <w:tc>
          <w:tcPr>
            <w:tcW w:w="8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(83,971,182)</w:t>
            </w:r>
          </w:p>
        </w:tc>
        <w:tc>
          <w:tcPr>
            <w:tcW w:w="0" w:type="dxa"/>
            <w:vAlign w:val="bottom"/>
          </w:tcPr>
          <w:p>
            <w:pPr>
              <w:spacing w:after="0"/>
              <w:rPr>
                <w:sz w:val="1"/>
                <w:szCs w:val="1"/>
                <w:color w:val="auto"/>
              </w:rPr>
            </w:pPr>
          </w:p>
        </w:tc>
      </w:tr>
      <w:tr>
        <w:trPr>
          <w:trHeight w:val="148"/>
        </w:trPr>
        <w:tc>
          <w:tcPr>
            <w:tcW w:w="84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Payment-in-kind income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(128,333)</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(101,480)</w:t>
            </w:r>
          </w:p>
        </w:tc>
        <w:tc>
          <w:tcPr>
            <w:tcW w:w="0" w:type="dxa"/>
            <w:vAlign w:val="bottom"/>
          </w:tcPr>
          <w:p>
            <w:pPr>
              <w:spacing w:after="0"/>
              <w:rPr>
                <w:sz w:val="1"/>
                <w:szCs w:val="1"/>
                <w:color w:val="auto"/>
              </w:rPr>
            </w:pPr>
          </w:p>
        </w:tc>
      </w:tr>
      <w:tr>
        <w:trPr>
          <w:trHeight w:val="149"/>
        </w:trPr>
        <w:tc>
          <w:tcPr>
            <w:tcW w:w="8400" w:type="dxa"/>
            <w:vAlign w:val="bottom"/>
          </w:tcPr>
          <w:p>
            <w:pPr>
              <w:ind w:left="880"/>
              <w:spacing w:after="0"/>
              <w:rPr>
                <w:sz w:val="20"/>
                <w:szCs w:val="20"/>
                <w:color w:val="auto"/>
              </w:rPr>
            </w:pPr>
            <w:r>
              <w:rPr>
                <w:rFonts w:ascii="Arial" w:cs="Arial" w:eastAsia="Arial" w:hAnsi="Arial"/>
                <w:sz w:val="13"/>
                <w:szCs w:val="13"/>
                <w:color w:val="auto"/>
              </w:rPr>
              <w:t>Proceeds from dispositions of investments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91,157,502</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74,227,125</w:t>
            </w:r>
          </w:p>
        </w:tc>
        <w:tc>
          <w:tcPr>
            <w:tcW w:w="0" w:type="dxa"/>
            <w:vAlign w:val="bottom"/>
          </w:tcPr>
          <w:p>
            <w:pPr>
              <w:spacing w:after="0"/>
              <w:rPr>
                <w:sz w:val="1"/>
                <w:szCs w:val="1"/>
                <w:color w:val="auto"/>
              </w:rPr>
            </w:pPr>
          </w:p>
        </w:tc>
      </w:tr>
      <w:tr>
        <w:trPr>
          <w:trHeight w:val="148"/>
        </w:trPr>
        <w:tc>
          <w:tcPr>
            <w:tcW w:w="84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Decrease in interest receivable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307,764</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157,768</w:t>
            </w:r>
          </w:p>
        </w:tc>
        <w:tc>
          <w:tcPr>
            <w:tcW w:w="0" w:type="dxa"/>
            <w:vAlign w:val="bottom"/>
          </w:tcPr>
          <w:p>
            <w:pPr>
              <w:spacing w:after="0"/>
              <w:rPr>
                <w:sz w:val="1"/>
                <w:szCs w:val="1"/>
                <w:color w:val="auto"/>
              </w:rPr>
            </w:pPr>
          </w:p>
        </w:tc>
      </w:tr>
      <w:tr>
        <w:trPr>
          <w:trHeight w:val="148"/>
        </w:trPr>
        <w:tc>
          <w:tcPr>
            <w:tcW w:w="8400" w:type="dxa"/>
            <w:vAlign w:val="bottom"/>
          </w:tcPr>
          <w:p>
            <w:pPr>
              <w:ind w:left="880"/>
              <w:spacing w:after="0"/>
              <w:rPr>
                <w:sz w:val="20"/>
                <w:szCs w:val="20"/>
                <w:color w:val="auto"/>
              </w:rPr>
            </w:pPr>
            <w:r>
              <w:rPr>
                <w:rFonts w:ascii="Arial" w:cs="Arial" w:eastAsia="Arial" w:hAnsi="Arial"/>
                <w:sz w:val="13"/>
                <w:szCs w:val="13"/>
                <w:color w:val="auto"/>
              </w:rPr>
              <w:t>(Increase) decrease in receivable for investments sold</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(2,375,389)</w:t>
            </w: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986,278</w:t>
            </w:r>
          </w:p>
        </w:tc>
        <w:tc>
          <w:tcPr>
            <w:tcW w:w="0" w:type="dxa"/>
            <w:vAlign w:val="bottom"/>
          </w:tcPr>
          <w:p>
            <w:pPr>
              <w:spacing w:after="0"/>
              <w:rPr>
                <w:sz w:val="1"/>
                <w:szCs w:val="1"/>
                <w:color w:val="auto"/>
              </w:rPr>
            </w:pPr>
          </w:p>
        </w:tc>
      </w:tr>
      <w:tr>
        <w:trPr>
          <w:trHeight w:val="148"/>
        </w:trPr>
        <w:tc>
          <w:tcPr>
            <w:tcW w:w="84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Decrease in prepaid expenses and other assets</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85,439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260,578</w:t>
            </w:r>
          </w:p>
        </w:tc>
        <w:tc>
          <w:tcPr>
            <w:tcW w:w="0" w:type="dxa"/>
            <w:vAlign w:val="bottom"/>
          </w:tcPr>
          <w:p>
            <w:pPr>
              <w:spacing w:after="0"/>
              <w:rPr>
                <w:sz w:val="1"/>
                <w:szCs w:val="1"/>
                <w:color w:val="auto"/>
              </w:rPr>
            </w:pPr>
          </w:p>
        </w:tc>
      </w:tr>
      <w:tr>
        <w:trPr>
          <w:trHeight w:val="148"/>
        </w:trPr>
        <w:tc>
          <w:tcPr>
            <w:tcW w:w="8400" w:type="dxa"/>
            <w:vAlign w:val="bottom"/>
          </w:tcPr>
          <w:p>
            <w:pPr>
              <w:ind w:left="880"/>
              <w:spacing w:after="0"/>
              <w:rPr>
                <w:sz w:val="20"/>
                <w:szCs w:val="20"/>
                <w:color w:val="auto"/>
              </w:rPr>
            </w:pPr>
            <w:r>
              <w:rPr>
                <w:rFonts w:ascii="Arial" w:cs="Arial" w:eastAsia="Arial" w:hAnsi="Arial"/>
                <w:sz w:val="13"/>
                <w:szCs w:val="13"/>
                <w:color w:val="auto"/>
              </w:rPr>
              <w:t>(Decrease) increase in payable for investments purchased</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(7,133,956)</w:t>
            </w: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8,494,869</w:t>
            </w:r>
          </w:p>
        </w:tc>
        <w:tc>
          <w:tcPr>
            <w:tcW w:w="0" w:type="dxa"/>
            <w:vAlign w:val="bottom"/>
          </w:tcPr>
          <w:p>
            <w:pPr>
              <w:spacing w:after="0"/>
              <w:rPr>
                <w:sz w:val="1"/>
                <w:szCs w:val="1"/>
                <w:color w:val="auto"/>
              </w:rPr>
            </w:pPr>
          </w:p>
        </w:tc>
      </w:tr>
      <w:tr>
        <w:trPr>
          <w:trHeight w:val="149"/>
        </w:trPr>
        <w:tc>
          <w:tcPr>
            <w:tcW w:w="84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Increase (decrease) in interest payable on Credit Facility</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134,469</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(8,074)</w:t>
            </w:r>
          </w:p>
        </w:tc>
        <w:tc>
          <w:tcPr>
            <w:tcW w:w="0" w:type="dxa"/>
            <w:vAlign w:val="bottom"/>
          </w:tcPr>
          <w:p>
            <w:pPr>
              <w:spacing w:after="0"/>
              <w:rPr>
                <w:sz w:val="1"/>
                <w:szCs w:val="1"/>
                <w:color w:val="auto"/>
              </w:rPr>
            </w:pPr>
          </w:p>
        </w:tc>
      </w:tr>
      <w:tr>
        <w:trPr>
          <w:trHeight w:val="148"/>
        </w:trPr>
        <w:tc>
          <w:tcPr>
            <w:tcW w:w="8400" w:type="dxa"/>
            <w:vAlign w:val="bottom"/>
          </w:tcPr>
          <w:p>
            <w:pPr>
              <w:ind w:left="880"/>
              <w:spacing w:after="0"/>
              <w:rPr>
                <w:sz w:val="20"/>
                <w:szCs w:val="20"/>
                <w:color w:val="auto"/>
              </w:rPr>
            </w:pPr>
            <w:r>
              <w:rPr>
                <w:rFonts w:ascii="Arial" w:cs="Arial" w:eastAsia="Arial" w:hAnsi="Arial"/>
                <w:sz w:val="13"/>
                <w:szCs w:val="13"/>
                <w:color w:val="auto"/>
              </w:rPr>
              <w:t>Increase in management fee payable</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221,314</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31,890</w:t>
            </w:r>
          </w:p>
        </w:tc>
        <w:tc>
          <w:tcPr>
            <w:tcW w:w="0" w:type="dxa"/>
            <w:vAlign w:val="bottom"/>
          </w:tcPr>
          <w:p>
            <w:pPr>
              <w:spacing w:after="0"/>
              <w:rPr>
                <w:sz w:val="1"/>
                <w:szCs w:val="1"/>
                <w:color w:val="auto"/>
              </w:rPr>
            </w:pPr>
          </w:p>
        </w:tc>
      </w:tr>
      <w:tr>
        <w:trPr>
          <w:trHeight w:val="148"/>
        </w:trPr>
        <w:tc>
          <w:tcPr>
            <w:tcW w:w="84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Increase in performance-based incentive fee payable</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1,077,421</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369,753</w:t>
            </w:r>
          </w:p>
        </w:tc>
        <w:tc>
          <w:tcPr>
            <w:tcW w:w="0" w:type="dxa"/>
            <w:vAlign w:val="bottom"/>
          </w:tcPr>
          <w:p>
            <w:pPr>
              <w:spacing w:after="0"/>
              <w:rPr>
                <w:sz w:val="1"/>
                <w:szCs w:val="1"/>
                <w:color w:val="auto"/>
              </w:rPr>
            </w:pPr>
          </w:p>
        </w:tc>
      </w:tr>
      <w:tr>
        <w:trPr>
          <w:trHeight w:val="148"/>
        </w:trPr>
        <w:tc>
          <w:tcPr>
            <w:tcW w:w="8400" w:type="dxa"/>
            <w:vAlign w:val="bottom"/>
          </w:tcPr>
          <w:p>
            <w:pPr>
              <w:ind w:left="880"/>
              <w:spacing w:after="0"/>
              <w:rPr>
                <w:sz w:val="20"/>
                <w:szCs w:val="20"/>
                <w:color w:val="auto"/>
              </w:rPr>
            </w:pPr>
            <w:r>
              <w:rPr>
                <w:rFonts w:ascii="Arial" w:cs="Arial" w:eastAsia="Arial" w:hAnsi="Arial"/>
                <w:sz w:val="13"/>
                <w:szCs w:val="13"/>
                <w:color w:val="auto"/>
              </w:rPr>
              <w:t>(Decrease) increase in accrued other expenses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(399,695)</w:t>
            </w:r>
          </w:p>
        </w:tc>
        <w:tc>
          <w:tcPr>
            <w:tcW w:w="80" w:type="dxa"/>
            <w:vAlign w:val="bottom"/>
          </w:tcPr>
          <w:p>
            <w:pPr>
              <w:spacing w:after="0"/>
              <w:rPr>
                <w:sz w:val="12"/>
                <w:szCs w:val="12"/>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412,214</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84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Net cash (used for) provided by operating activities</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(65,127,649)</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4,018,580</w:t>
            </w:r>
          </w:p>
        </w:tc>
        <w:tc>
          <w:tcPr>
            <w:tcW w:w="0" w:type="dxa"/>
            <w:vAlign w:val="bottom"/>
          </w:tcPr>
          <w:p>
            <w:pPr>
              <w:spacing w:after="0"/>
              <w:rPr>
                <w:sz w:val="1"/>
                <w:szCs w:val="1"/>
                <w:color w:val="auto"/>
              </w:rPr>
            </w:pPr>
          </w:p>
        </w:tc>
      </w:tr>
      <w:tr>
        <w:trPr>
          <w:trHeight w:val="155"/>
        </w:trPr>
        <w:tc>
          <w:tcPr>
            <w:tcW w:w="8400" w:type="dxa"/>
            <w:vAlign w:val="bottom"/>
          </w:tcPr>
          <w:p>
            <w:pPr>
              <w:spacing w:after="0"/>
              <w:rPr>
                <w:sz w:val="20"/>
                <w:szCs w:val="20"/>
                <w:color w:val="auto"/>
              </w:rPr>
            </w:pPr>
            <w:r>
              <w:rPr>
                <w:rFonts w:ascii="Arial" w:cs="Arial" w:eastAsia="Arial" w:hAnsi="Arial"/>
                <w:sz w:val="13"/>
                <w:szCs w:val="13"/>
                <w:b w:val="1"/>
                <w:bCs w:val="1"/>
                <w:color w:val="auto"/>
              </w:rPr>
              <w:t>Cash flows from financing activities:</w:t>
            </w:r>
          </w:p>
        </w:tc>
        <w:tc>
          <w:tcPr>
            <w:tcW w:w="9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4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Public offering</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42,000,000</w:t>
            </w:r>
          </w:p>
        </w:tc>
        <w:tc>
          <w:tcPr>
            <w:tcW w:w="0" w:type="dxa"/>
            <w:vAlign w:val="bottom"/>
          </w:tcPr>
          <w:p>
            <w:pPr>
              <w:spacing w:after="0"/>
              <w:rPr>
                <w:sz w:val="1"/>
                <w:szCs w:val="1"/>
                <w:color w:val="auto"/>
              </w:rPr>
            </w:pPr>
          </w:p>
        </w:tc>
      </w:tr>
      <w:tr>
        <w:trPr>
          <w:trHeight w:val="149"/>
        </w:trPr>
        <w:tc>
          <w:tcPr>
            <w:tcW w:w="8400" w:type="dxa"/>
            <w:vAlign w:val="bottom"/>
          </w:tcPr>
          <w:p>
            <w:pPr>
              <w:ind w:left="880"/>
              <w:spacing w:after="0"/>
              <w:rPr>
                <w:sz w:val="20"/>
                <w:szCs w:val="20"/>
                <w:color w:val="auto"/>
              </w:rPr>
            </w:pPr>
            <w:r>
              <w:rPr>
                <w:rFonts w:ascii="Arial" w:cs="Arial" w:eastAsia="Arial" w:hAnsi="Arial"/>
                <w:sz w:val="13"/>
                <w:szCs w:val="13"/>
                <w:color w:val="auto"/>
              </w:rPr>
              <w:t>Offering costs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(400,000)</w:t>
            </w:r>
          </w:p>
        </w:tc>
        <w:tc>
          <w:tcPr>
            <w:tcW w:w="0" w:type="dxa"/>
            <w:vAlign w:val="bottom"/>
          </w:tcPr>
          <w:p>
            <w:pPr>
              <w:spacing w:after="0"/>
              <w:rPr>
                <w:sz w:val="1"/>
                <w:szCs w:val="1"/>
                <w:color w:val="auto"/>
              </w:rPr>
            </w:pPr>
          </w:p>
        </w:tc>
      </w:tr>
      <w:tr>
        <w:trPr>
          <w:trHeight w:val="148"/>
        </w:trPr>
        <w:tc>
          <w:tcPr>
            <w:tcW w:w="84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Deferred sales load paid</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(2,055,000)</w:t>
            </w:r>
          </w:p>
        </w:tc>
        <w:tc>
          <w:tcPr>
            <w:tcW w:w="0" w:type="dxa"/>
            <w:vAlign w:val="bottom"/>
          </w:tcPr>
          <w:p>
            <w:pPr>
              <w:spacing w:after="0"/>
              <w:rPr>
                <w:sz w:val="1"/>
                <w:szCs w:val="1"/>
                <w:color w:val="auto"/>
              </w:rPr>
            </w:pPr>
          </w:p>
        </w:tc>
      </w:tr>
      <w:tr>
        <w:trPr>
          <w:trHeight w:val="148"/>
        </w:trPr>
        <w:tc>
          <w:tcPr>
            <w:tcW w:w="8400" w:type="dxa"/>
            <w:vAlign w:val="bottom"/>
          </w:tcPr>
          <w:p>
            <w:pPr>
              <w:ind w:left="880"/>
              <w:spacing w:after="0"/>
              <w:rPr>
                <w:sz w:val="20"/>
                <w:szCs w:val="20"/>
                <w:color w:val="auto"/>
              </w:rPr>
            </w:pPr>
            <w:r>
              <w:rPr>
                <w:rFonts w:ascii="Arial" w:cs="Arial" w:eastAsia="Arial" w:hAnsi="Arial"/>
                <w:sz w:val="13"/>
                <w:szCs w:val="13"/>
                <w:color w:val="auto"/>
              </w:rPr>
              <w:t>Distributions paid to stockholders</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(7,970,460)</w:t>
            </w:r>
          </w:p>
        </w:tc>
        <w:tc>
          <w:tcPr>
            <w:tcW w:w="8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(3,384,135)</w:t>
            </w:r>
          </w:p>
        </w:tc>
        <w:tc>
          <w:tcPr>
            <w:tcW w:w="0" w:type="dxa"/>
            <w:vAlign w:val="bottom"/>
          </w:tcPr>
          <w:p>
            <w:pPr>
              <w:spacing w:after="0"/>
              <w:rPr>
                <w:sz w:val="1"/>
                <w:szCs w:val="1"/>
                <w:color w:val="auto"/>
              </w:rPr>
            </w:pPr>
          </w:p>
        </w:tc>
      </w:tr>
      <w:tr>
        <w:trPr>
          <w:trHeight w:val="148"/>
        </w:trPr>
        <w:tc>
          <w:tcPr>
            <w:tcW w:w="8400" w:type="dxa"/>
            <w:vAlign w:val="bottom"/>
            <w:shd w:val="clear" w:color="auto" w:fill="CCEEFF"/>
          </w:tcPr>
          <w:p>
            <w:pPr>
              <w:ind w:left="880"/>
              <w:spacing w:after="0"/>
              <w:rPr>
                <w:sz w:val="20"/>
                <w:szCs w:val="20"/>
                <w:color w:val="auto"/>
              </w:rPr>
            </w:pPr>
            <w:r>
              <w:rPr>
                <w:rFonts w:ascii="Arial" w:cs="Arial" w:eastAsia="Arial" w:hAnsi="Arial"/>
                <w:sz w:val="13"/>
                <w:szCs w:val="13"/>
                <w:color w:val="auto"/>
              </w:rPr>
              <w:t>Borrowings under Credit Facility (See Notes 5 and 9)</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9"/>
              </w:rPr>
              <w:t>112,500,000</w:t>
            </w: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45,250,000</w:t>
            </w:r>
          </w:p>
        </w:tc>
        <w:tc>
          <w:tcPr>
            <w:tcW w:w="0" w:type="dxa"/>
            <w:vAlign w:val="bottom"/>
          </w:tcPr>
          <w:p>
            <w:pPr>
              <w:spacing w:after="0"/>
              <w:rPr>
                <w:sz w:val="1"/>
                <w:szCs w:val="1"/>
                <w:color w:val="auto"/>
              </w:rPr>
            </w:pPr>
          </w:p>
        </w:tc>
      </w:tr>
      <w:tr>
        <w:trPr>
          <w:trHeight w:val="148"/>
        </w:trPr>
        <w:tc>
          <w:tcPr>
            <w:tcW w:w="8400" w:type="dxa"/>
            <w:vAlign w:val="bottom"/>
          </w:tcPr>
          <w:p>
            <w:pPr>
              <w:ind w:left="880"/>
              <w:spacing w:after="0"/>
              <w:rPr>
                <w:sz w:val="20"/>
                <w:szCs w:val="20"/>
                <w:color w:val="auto"/>
              </w:rPr>
            </w:pPr>
            <w:r>
              <w:rPr>
                <w:rFonts w:ascii="Arial" w:cs="Arial" w:eastAsia="Arial" w:hAnsi="Arial"/>
                <w:sz w:val="13"/>
                <w:szCs w:val="13"/>
                <w:color w:val="auto"/>
              </w:rPr>
              <w:t>Repayments under Credit Facility (See Notes 5 and 9)</w:t>
            </w: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3"/>
                <w:szCs w:val="13"/>
                <w:color w:val="auto"/>
              </w:rPr>
              <w:t>(38,900,000)</w:t>
            </w:r>
          </w:p>
        </w:tc>
        <w:tc>
          <w:tcPr>
            <w:tcW w:w="80" w:type="dxa"/>
            <w:vAlign w:val="bottom"/>
          </w:tcPr>
          <w:p>
            <w:pPr>
              <w:spacing w:after="0"/>
              <w:rPr>
                <w:sz w:val="12"/>
                <w:szCs w:val="12"/>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w w:val="94"/>
              </w:rPr>
              <w:t>(86,550,000)</w:t>
            </w:r>
          </w:p>
        </w:tc>
        <w:tc>
          <w:tcPr>
            <w:tcW w:w="0" w:type="dxa"/>
            <w:vAlign w:val="bottom"/>
          </w:tcPr>
          <w:p>
            <w:pPr>
              <w:spacing w:after="0"/>
              <w:rPr>
                <w:sz w:val="1"/>
                <w:szCs w:val="1"/>
                <w:color w:val="auto"/>
              </w:rPr>
            </w:pPr>
          </w:p>
        </w:tc>
      </w:tr>
      <w:tr>
        <w:trPr>
          <w:trHeight w:val="27"/>
        </w:trPr>
        <w:tc>
          <w:tcPr>
            <w:tcW w:w="8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8400" w:type="dxa"/>
            <w:vAlign w:val="bottom"/>
            <w:shd w:val="clear" w:color="auto" w:fill="CCEEFF"/>
          </w:tcPr>
          <w:p>
            <w:pPr>
              <w:ind w:left="1300"/>
              <w:spacing w:after="0"/>
              <w:rPr>
                <w:sz w:val="20"/>
                <w:szCs w:val="20"/>
                <w:color w:val="auto"/>
              </w:rPr>
            </w:pPr>
            <w:r>
              <w:rPr>
                <w:rFonts w:ascii="Arial" w:cs="Arial" w:eastAsia="Arial" w:hAnsi="Arial"/>
                <w:sz w:val="13"/>
                <w:szCs w:val="13"/>
                <w:color w:val="auto"/>
              </w:rPr>
              <w:t>Net cash provided by (used for) financing activities</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65,629,540</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(5,139,135)</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3"/>
                <w:szCs w:val="13"/>
                <w:b w:val="1"/>
                <w:bCs w:val="1"/>
                <w:color w:val="auto"/>
              </w:rPr>
              <w:t>Net increase (decrease) in cash equivalents</w:t>
            </w:r>
          </w:p>
        </w:tc>
        <w:tc>
          <w:tcPr>
            <w:tcW w:w="9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4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501,891</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3"/>
                <w:szCs w:val="13"/>
                <w:color w:val="auto"/>
              </w:rPr>
              <w:t>(1,120,555)</w:t>
            </w:r>
          </w:p>
        </w:tc>
        <w:tc>
          <w:tcPr>
            <w:tcW w:w="0" w:type="dxa"/>
            <w:vAlign w:val="bottom"/>
          </w:tcPr>
          <w:p>
            <w:pPr>
              <w:spacing w:after="0"/>
              <w:rPr>
                <w:sz w:val="1"/>
                <w:szCs w:val="1"/>
                <w:color w:val="auto"/>
              </w:rPr>
            </w:pPr>
          </w:p>
        </w:tc>
      </w:tr>
      <w:tr>
        <w:trPr>
          <w:trHeight w:val="148"/>
        </w:trPr>
        <w:tc>
          <w:tcPr>
            <w:tcW w:w="8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equivalents, beginning of period</w:t>
            </w:r>
          </w:p>
        </w:tc>
        <w:tc>
          <w:tcPr>
            <w:tcW w:w="9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4,578,249</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3,845,803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400" w:type="dxa"/>
            <w:vAlign w:val="bottom"/>
          </w:tcPr>
          <w:p>
            <w:pPr>
              <w:spacing w:after="0"/>
              <w:rPr>
                <w:sz w:val="20"/>
                <w:szCs w:val="20"/>
                <w:color w:val="auto"/>
              </w:rPr>
            </w:pPr>
            <w:r>
              <w:rPr>
                <w:rFonts w:ascii="Arial" w:cs="Arial" w:eastAsia="Arial" w:hAnsi="Arial"/>
                <w:sz w:val="13"/>
                <w:szCs w:val="13"/>
                <w:b w:val="1"/>
                <w:bCs w:val="1"/>
                <w:color w:val="auto"/>
              </w:rPr>
              <w:t>Cash equivalents, end of period</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5,080,140</w:t>
            </w:r>
          </w:p>
        </w:tc>
        <w:tc>
          <w:tcPr>
            <w:tcW w:w="2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2,725,248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shd w:val="clear" w:color="auto" w:fill="CCEEFF"/>
          </w:tcPr>
          <w:p>
            <w:pPr>
              <w:spacing w:after="0" w:line="143" w:lineRule="exact"/>
              <w:rPr>
                <w:sz w:val="20"/>
                <w:szCs w:val="20"/>
                <w:color w:val="auto"/>
              </w:rPr>
            </w:pPr>
            <w:r>
              <w:rPr>
                <w:rFonts w:ascii="Arial" w:cs="Arial" w:eastAsia="Arial" w:hAnsi="Arial"/>
                <w:sz w:val="13"/>
                <w:szCs w:val="13"/>
                <w:b w:val="1"/>
                <w:bCs w:val="1"/>
                <w:color w:val="auto"/>
              </w:rPr>
              <w:t>Supplemental disclosure of cash flow information:</w:t>
            </w:r>
          </w:p>
        </w:tc>
        <w:tc>
          <w:tcPr>
            <w:tcW w:w="9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400" w:type="dxa"/>
            <w:vAlign w:val="bottom"/>
          </w:tcPr>
          <w:p>
            <w:pPr>
              <w:ind w:left="440"/>
              <w:spacing w:after="0"/>
              <w:rPr>
                <w:sz w:val="20"/>
                <w:szCs w:val="20"/>
                <w:color w:val="auto"/>
              </w:rPr>
            </w:pPr>
            <w:r>
              <w:rPr>
                <w:rFonts w:ascii="Arial" w:cs="Arial" w:eastAsia="Arial" w:hAnsi="Arial"/>
                <w:sz w:val="13"/>
                <w:szCs w:val="13"/>
                <w:color w:val="auto"/>
              </w:rPr>
              <w:t>Interest paid</w:t>
            </w:r>
          </w:p>
        </w:tc>
        <w:tc>
          <w:tcPr>
            <w:tcW w:w="9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1,530,656</w:t>
            </w:r>
          </w:p>
        </w:tc>
        <w:tc>
          <w:tcPr>
            <w:tcW w:w="2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rPr>
                <w:sz w:val="20"/>
                <w:szCs w:val="20"/>
                <w:color w:val="auto"/>
              </w:rPr>
            </w:pPr>
            <w:r>
              <w:rPr>
                <w:rFonts w:ascii="Arial" w:cs="Arial" w:eastAsia="Arial" w:hAnsi="Arial"/>
                <w:sz w:val="13"/>
                <w:szCs w:val="13"/>
                <w:color w:val="auto"/>
              </w:rPr>
              <w:t>974,538</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shd w:val="clear" w:color="auto" w:fill="CCEEFF"/>
          </w:tcPr>
          <w:p>
            <w:pPr>
              <w:ind w:left="440"/>
              <w:spacing w:after="0" w:line="143" w:lineRule="exact"/>
              <w:rPr>
                <w:sz w:val="20"/>
                <w:szCs w:val="20"/>
                <w:color w:val="auto"/>
              </w:rPr>
            </w:pPr>
            <w:r>
              <w:rPr>
                <w:rFonts w:ascii="Arial" w:cs="Arial" w:eastAsia="Arial" w:hAnsi="Arial"/>
                <w:sz w:val="13"/>
                <w:szCs w:val="13"/>
                <w:color w:val="auto"/>
              </w:rPr>
              <w:t>Excise taxes paid</w:t>
            </w:r>
          </w:p>
        </w:tc>
        <w:tc>
          <w:tcPr>
            <w:tcW w:w="9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74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256,392</w:t>
            </w: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680" w:type="dxa"/>
            <w:vAlign w:val="bottom"/>
            <w:tcBorders>
              <w:bottom w:val="single" w:sz="8" w:color="auto"/>
            </w:tcBorders>
            <w:shd w:val="clear" w:color="auto" w:fill="CCEEFF"/>
          </w:tcPr>
          <w:p>
            <w:pPr>
              <w:jc w:val="right"/>
              <w:spacing w:after="0" w:line="143" w:lineRule="exact"/>
              <w:rPr>
                <w:sz w:val="20"/>
                <w:szCs w:val="20"/>
                <w:color w:val="auto"/>
              </w:rPr>
            </w:pPr>
            <w:r>
              <w:rPr>
                <w:rFonts w:ascii="Arial" w:cs="Arial" w:eastAsia="Arial" w:hAnsi="Arial"/>
                <w:sz w:val="13"/>
                <w:szCs w:val="13"/>
                <w:color w:val="auto"/>
              </w:rPr>
              <w:t>79,140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400" w:type="dxa"/>
            <w:vAlign w:val="bottom"/>
            <w:vMerge w:val="restart"/>
          </w:tcPr>
          <w:p>
            <w:pPr>
              <w:ind w:left="440"/>
              <w:spacing w:after="0"/>
              <w:rPr>
                <w:sz w:val="20"/>
                <w:szCs w:val="20"/>
                <w:color w:val="auto"/>
              </w:rPr>
            </w:pPr>
            <w:r>
              <w:rPr>
                <w:rFonts w:ascii="Arial" w:cs="Arial" w:eastAsia="Arial" w:hAnsi="Arial"/>
                <w:sz w:val="13"/>
                <w:szCs w:val="13"/>
                <w:color w:val="auto"/>
              </w:rPr>
              <w:t>Distributions reinvested</w:t>
            </w:r>
          </w:p>
        </w:tc>
        <w:tc>
          <w:tcPr>
            <w:tcW w:w="9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vMerge w:val="continue"/>
          </w:tcPr>
          <w:p>
            <w:pPr>
              <w:spacing w:after="0"/>
              <w:rPr>
                <w:sz w:val="12"/>
                <w:szCs w:val="12"/>
                <w:color w:val="auto"/>
              </w:rPr>
            </w:pPr>
          </w:p>
        </w:tc>
        <w:tc>
          <w:tcPr>
            <w:tcW w:w="9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1020" w:type="dxa"/>
            <w:vAlign w:val="bottom"/>
            <w:gridSpan w:val="2"/>
          </w:tcPr>
          <w:p>
            <w:pPr>
              <w:jc w:val="right"/>
              <w:ind w:right="340"/>
              <w:spacing w:after="0" w:line="143" w:lineRule="exact"/>
              <w:rPr>
                <w:sz w:val="20"/>
                <w:szCs w:val="20"/>
                <w:color w:val="auto"/>
              </w:rPr>
            </w:pPr>
            <w:r>
              <w:rPr>
                <w:rFonts w:ascii="Arial" w:cs="Arial" w:eastAsia="Arial" w:hAnsi="Arial"/>
                <w:sz w:val="13"/>
                <w:szCs w:val="13"/>
                <w:color w:val="auto"/>
              </w:rPr>
              <w:t>—</w:t>
            </w:r>
          </w:p>
        </w:tc>
        <w:tc>
          <w:tcPr>
            <w:tcW w:w="80" w:type="dxa"/>
            <w:vAlign w:val="bottom"/>
          </w:tcPr>
          <w:p>
            <w:pPr>
              <w:jc w:val="right"/>
              <w:spacing w:after="0" w:line="143" w:lineRule="exact"/>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6,945</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8400" w:type="dxa"/>
            <w:vAlign w:val="bottom"/>
            <w:shd w:val="clear" w:color="auto" w:fill="CCEEFF"/>
          </w:tcPr>
          <w:p>
            <w:pPr>
              <w:ind w:left="440"/>
              <w:spacing w:after="0" w:line="143" w:lineRule="exact"/>
              <w:rPr>
                <w:sz w:val="20"/>
                <w:szCs w:val="20"/>
                <w:color w:val="auto"/>
              </w:rPr>
            </w:pPr>
            <w:r>
              <w:rPr>
                <w:rFonts w:ascii="Arial" w:cs="Arial" w:eastAsia="Arial" w:hAnsi="Arial"/>
                <w:sz w:val="13"/>
                <w:szCs w:val="13"/>
                <w:color w:val="auto"/>
              </w:rPr>
              <w:t>Conversions and non-cash exchanges</w:t>
            </w:r>
          </w:p>
        </w:tc>
        <w:tc>
          <w:tcPr>
            <w:tcW w:w="98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5,952,277</w:t>
            </w: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140"/>
              <w:spacing w:after="0" w:line="14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240"/>
          </w:cols>
          <w:pgMar w:left="320" w:top="459" w:right="3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MARCH 31, 2014</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60" w:type="dxa"/>
            <w:vAlign w:val="bottom"/>
          </w:tcPr>
          <w:p>
            <w:pPr>
              <w:jc w:val="center"/>
              <w:ind w:right="93"/>
              <w:spacing w:after="0"/>
              <w:rPr>
                <w:sz w:val="20"/>
                <w:szCs w:val="20"/>
                <w:color w:val="auto"/>
              </w:rPr>
            </w:pPr>
            <w:r>
              <w:rPr>
                <w:rFonts w:ascii="Arial" w:cs="Arial" w:eastAsia="Arial" w:hAnsi="Arial"/>
                <w:sz w:val="13"/>
                <w:szCs w:val="13"/>
                <w:b w:val="1"/>
                <w:bCs w:val="1"/>
                <w:color w:val="auto"/>
                <w:w w:val="93"/>
              </w:rPr>
              <w:t>Basis Point</w:t>
            </w: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60" w:type="dxa"/>
            <w:vAlign w:val="bottom"/>
          </w:tcPr>
          <w:p>
            <w:pPr>
              <w:jc w:val="center"/>
              <w:ind w:right="93"/>
              <w:spacing w:after="0"/>
              <w:rPr>
                <w:sz w:val="20"/>
                <w:szCs w:val="20"/>
                <w:color w:val="auto"/>
              </w:rPr>
            </w:pPr>
            <w:r>
              <w:rPr>
                <w:rFonts w:ascii="Arial" w:cs="Arial" w:eastAsia="Arial" w:hAnsi="Arial"/>
                <w:sz w:val="13"/>
                <w:szCs w:val="13"/>
                <w:b w:val="1"/>
                <w:bCs w:val="1"/>
                <w:color w:val="auto"/>
                <w:w w:val="95"/>
              </w:rPr>
              <w:t>Spread</w:t>
            </w: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3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0" w:type="dxa"/>
            <w:vAlign w:val="bottom"/>
          </w:tcPr>
          <w:p>
            <w:pPr>
              <w:jc w:val="right"/>
              <w:ind w:right="173"/>
              <w:spacing w:after="0" w:line="134" w:lineRule="exact"/>
              <w:rPr>
                <w:sz w:val="20"/>
                <w:szCs w:val="20"/>
                <w:color w:val="auto"/>
              </w:rPr>
            </w:pPr>
            <w:r>
              <w:rPr>
                <w:rFonts w:ascii="Arial" w:cs="Arial" w:eastAsia="Arial" w:hAnsi="Arial"/>
                <w:sz w:val="13"/>
                <w:szCs w:val="13"/>
                <w:b w:val="1"/>
                <w:bCs w:val="1"/>
                <w:color w:val="auto"/>
              </w:rPr>
              <w:t>Current</w:t>
            </w:r>
          </w:p>
        </w:tc>
        <w:tc>
          <w:tcPr>
            <w:tcW w:w="1060" w:type="dxa"/>
            <w:vAlign w:val="bottom"/>
          </w:tcPr>
          <w:p>
            <w:pPr>
              <w:jc w:val="center"/>
              <w:ind w:right="93"/>
              <w:spacing w:after="0" w:line="134" w:lineRule="exact"/>
              <w:rPr>
                <w:sz w:val="20"/>
                <w:szCs w:val="20"/>
                <w:color w:val="auto"/>
              </w:rPr>
            </w:pPr>
            <w:r>
              <w:rPr>
                <w:rFonts w:ascii="Arial" w:cs="Arial" w:eastAsia="Arial" w:hAnsi="Arial"/>
                <w:sz w:val="13"/>
                <w:szCs w:val="13"/>
                <w:b w:val="1"/>
                <w:bCs w:val="1"/>
                <w:color w:val="auto"/>
                <w:w w:val="95"/>
              </w:rPr>
              <w:t>Above</w:t>
            </w:r>
          </w:p>
        </w:tc>
        <w:tc>
          <w:tcPr>
            <w:tcW w:w="880" w:type="dxa"/>
            <w:vAlign w:val="bottom"/>
          </w:tcPr>
          <w:p>
            <w:pPr>
              <w:jc w:val="right"/>
              <w:ind w:right="253"/>
              <w:spacing w:after="0" w:line="134" w:lineRule="exact"/>
              <w:rPr>
                <w:sz w:val="20"/>
                <w:szCs w:val="20"/>
                <w:color w:val="auto"/>
              </w:rPr>
            </w:pPr>
            <w:r>
              <w:rPr>
                <w:rFonts w:ascii="Arial" w:cs="Arial" w:eastAsia="Arial" w:hAnsi="Arial"/>
                <w:sz w:val="13"/>
                <w:szCs w:val="13"/>
                <w:b w:val="1"/>
                <w:bCs w:val="1"/>
                <w:color w:val="auto"/>
              </w:rPr>
              <w:t>Par /</w:t>
            </w:r>
          </w:p>
        </w:tc>
        <w:tc>
          <w:tcPr>
            <w:tcW w:w="920" w:type="dxa"/>
            <w:vAlign w:val="bottom"/>
          </w:tcPr>
          <w:p>
            <w:pPr>
              <w:spacing w:after="0"/>
              <w:rPr>
                <w:sz w:val="11"/>
                <w:szCs w:val="11"/>
                <w:color w:val="auto"/>
              </w:rPr>
            </w:pPr>
          </w:p>
        </w:tc>
        <w:tc>
          <w:tcPr>
            <w:tcW w:w="1160" w:type="dxa"/>
            <w:vAlign w:val="bottom"/>
            <w:vMerge w:val="restart"/>
          </w:tcPr>
          <w:p>
            <w:pPr>
              <w:jc w:val="right"/>
              <w:ind w:right="153"/>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6"/>
        </w:trPr>
        <w:tc>
          <w:tcPr>
            <w:tcW w:w="362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Issuer Name</w:t>
            </w: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Maturity</w:t>
            </w: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800" w:type="dxa"/>
            <w:vAlign w:val="bottom"/>
            <w:tcBorders>
              <w:bottom w:val="single" w:sz="8" w:color="auto"/>
            </w:tcBorders>
          </w:tcPr>
          <w:p>
            <w:pPr>
              <w:jc w:val="right"/>
              <w:ind w:right="173"/>
              <w:spacing w:after="0"/>
              <w:rPr>
                <w:sz w:val="20"/>
                <w:szCs w:val="20"/>
                <w:color w:val="auto"/>
              </w:rPr>
            </w:pPr>
            <w:r>
              <w:rPr>
                <w:rFonts w:ascii="Arial" w:cs="Arial" w:eastAsia="Arial" w:hAnsi="Arial"/>
                <w:sz w:val="13"/>
                <w:szCs w:val="13"/>
                <w:b w:val="1"/>
                <w:bCs w:val="1"/>
                <w:color w:val="auto"/>
              </w:rPr>
              <w:t>Coupon</w:t>
            </w:r>
          </w:p>
        </w:tc>
        <w:tc>
          <w:tcPr>
            <w:tcW w:w="1060" w:type="dxa"/>
            <w:vAlign w:val="bottom"/>
            <w:tcBorders>
              <w:bottom w:val="single" w:sz="8" w:color="auto"/>
            </w:tcBorders>
          </w:tcPr>
          <w:p>
            <w:pPr>
              <w:jc w:val="center"/>
              <w:ind w:right="93"/>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880" w:type="dxa"/>
            <w:vAlign w:val="bottom"/>
            <w:tcBorders>
              <w:bottom w:val="single" w:sz="8" w:color="auto"/>
            </w:tcBorders>
          </w:tcPr>
          <w:p>
            <w:pPr>
              <w:jc w:val="right"/>
              <w:ind w:right="193"/>
              <w:spacing w:after="0"/>
              <w:rPr>
                <w:sz w:val="20"/>
                <w:szCs w:val="20"/>
                <w:color w:val="auto"/>
              </w:rPr>
            </w:pPr>
            <w:r>
              <w:rPr>
                <w:rFonts w:ascii="Arial" w:cs="Arial" w:eastAsia="Arial" w:hAnsi="Arial"/>
                <w:sz w:val="13"/>
                <w:szCs w:val="13"/>
                <w:b w:val="1"/>
                <w:bCs w:val="1"/>
                <w:color w:val="auto"/>
              </w:rPr>
              <w:t>Shares</w:t>
            </w:r>
          </w:p>
        </w:tc>
        <w:tc>
          <w:tcPr>
            <w:tcW w:w="920" w:type="dxa"/>
            <w:vAlign w:val="bottom"/>
            <w:tcBorders>
              <w:bottom w:val="single" w:sz="8" w:color="auto"/>
            </w:tcBorders>
          </w:tcPr>
          <w:p>
            <w:pPr>
              <w:jc w:val="right"/>
              <w:ind w:right="253"/>
              <w:spacing w:after="0"/>
              <w:rPr>
                <w:sz w:val="20"/>
                <w:szCs w:val="20"/>
                <w:color w:val="auto"/>
              </w:rPr>
            </w:pPr>
            <w:r>
              <w:rPr>
                <w:rFonts w:ascii="Arial" w:cs="Arial" w:eastAsia="Arial" w:hAnsi="Arial"/>
                <w:sz w:val="13"/>
                <w:szCs w:val="13"/>
                <w:b w:val="1"/>
                <w:bCs w:val="1"/>
                <w:color w:val="auto"/>
              </w:rPr>
              <w:t>Cost</w:t>
            </w: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9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6420" w:type="dxa"/>
            <w:vAlign w:val="bottom"/>
            <w:gridSpan w:val="3"/>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Companies—180.7% </w:t>
            </w:r>
            <w:r>
              <w:rPr>
                <w:rFonts w:ascii="Arial" w:cs="Arial" w:eastAsia="Arial" w:hAnsi="Arial"/>
                <w:sz w:val="15"/>
                <w:szCs w:val="15"/>
                <w:b w:val="1"/>
                <w:bCs w:val="1"/>
                <w:color w:val="auto"/>
                <w:vertAlign w:val="superscript"/>
              </w:rPr>
              <w:t>(3), (4)</w:t>
            </w:r>
          </w:p>
        </w:tc>
        <w:tc>
          <w:tcPr>
            <w:tcW w:w="8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6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Debt—158.9%</w:t>
            </w:r>
          </w:p>
        </w:tc>
        <w:tc>
          <w:tcPr>
            <w:tcW w:w="8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ABG Intermediate Holdings 2, LLC</w:t>
            </w:r>
          </w:p>
        </w:tc>
        <w:tc>
          <w:tcPr>
            <w:tcW w:w="820" w:type="dxa"/>
            <w:vAlign w:val="bottom"/>
          </w:tcPr>
          <w:p>
            <w:pPr>
              <w:ind w:left="120"/>
              <w:spacing w:after="0"/>
              <w:rPr>
                <w:sz w:val="20"/>
                <w:szCs w:val="20"/>
                <w:color w:val="auto"/>
              </w:rPr>
            </w:pPr>
            <w:r>
              <w:rPr>
                <w:rFonts w:ascii="Arial" w:cs="Arial" w:eastAsia="Arial" w:hAnsi="Arial"/>
                <w:sz w:val="13"/>
                <w:szCs w:val="13"/>
                <w:color w:val="auto"/>
              </w:rPr>
              <w:t>06/28/2019</w:t>
            </w:r>
          </w:p>
        </w:tc>
        <w:tc>
          <w:tcPr>
            <w:tcW w:w="198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6,982,500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$ 6,948,362</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   7,069,781</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AKA Diversified Holdings,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04/02/2018</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11.90%</w:t>
            </w:r>
          </w:p>
        </w:tc>
        <w:tc>
          <w:tcPr>
            <w:tcW w:w="1060" w:type="dxa"/>
            <w:vAlign w:val="bottom"/>
            <w:shd w:val="clear" w:color="auto" w:fill="CCEEFF"/>
          </w:tcPr>
          <w:p>
            <w:pPr>
              <w:jc w:val="right"/>
              <w:ind w:right="73"/>
              <w:spacing w:after="0" w:line="149" w:lineRule="exact"/>
              <w:rPr>
                <w:sz w:val="20"/>
                <w:szCs w:val="20"/>
                <w:color w:val="auto"/>
              </w:rPr>
            </w:pPr>
            <w:r>
              <w:rPr>
                <w:rFonts w:ascii="Arial" w:cs="Arial" w:eastAsia="Arial" w:hAnsi="Arial"/>
                <w:sz w:val="11"/>
                <w:szCs w:val="11"/>
                <w:color w:val="auto"/>
              </w:rPr>
              <w:t>L+1,175</w:t>
            </w:r>
            <w:r>
              <w:rPr>
                <w:rFonts w:ascii="Arial" w:cs="Arial" w:eastAsia="Arial" w:hAnsi="Arial"/>
                <w:sz w:val="17"/>
                <w:szCs w:val="17"/>
                <w:color w:val="auto"/>
                <w:vertAlign w:val="superscript"/>
              </w:rPr>
              <w:t>(9)</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6,542,557</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6,379,530</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6,379,413</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1"/>
                <w:szCs w:val="11"/>
                <w:color w:val="auto"/>
              </w:rPr>
              <w:t xml:space="preserve">AKA Diversified Holdings, Inc. </w:t>
            </w:r>
            <w:r>
              <w:rPr>
                <w:rFonts w:ascii="Arial" w:cs="Arial" w:eastAsia="Arial" w:hAnsi="Arial"/>
                <w:sz w:val="17"/>
                <w:szCs w:val="17"/>
                <w:color w:val="auto"/>
                <w:vertAlign w:val="superscript"/>
              </w:rPr>
              <w:t>(8), (10)</w:t>
            </w:r>
          </w:p>
        </w:tc>
        <w:tc>
          <w:tcPr>
            <w:tcW w:w="820" w:type="dxa"/>
            <w:vAlign w:val="bottom"/>
          </w:tcPr>
          <w:p>
            <w:pPr>
              <w:ind w:left="120"/>
              <w:spacing w:after="0"/>
              <w:rPr>
                <w:sz w:val="20"/>
                <w:szCs w:val="20"/>
                <w:color w:val="auto"/>
              </w:rPr>
            </w:pPr>
            <w:r>
              <w:rPr>
                <w:rFonts w:ascii="Arial" w:cs="Arial" w:eastAsia="Arial" w:hAnsi="Arial"/>
                <w:sz w:val="13"/>
                <w:szCs w:val="13"/>
                <w:color w:val="auto"/>
              </w:rPr>
              <w:t>04/02/2018</w:t>
            </w:r>
          </w:p>
        </w:tc>
        <w:tc>
          <w:tcPr>
            <w:tcW w:w="1980" w:type="dxa"/>
            <w:vAlign w:val="bottom"/>
          </w:tcPr>
          <w:p>
            <w:pPr>
              <w:jc w:val="center"/>
              <w:spacing w:after="0"/>
              <w:rPr>
                <w:sz w:val="20"/>
                <w:szCs w:val="20"/>
                <w:color w:val="auto"/>
              </w:rPr>
            </w:pPr>
            <w:r>
              <w:rPr>
                <w:rFonts w:ascii="Arial" w:cs="Arial" w:eastAsia="Arial" w:hAnsi="Arial"/>
                <w:sz w:val="13"/>
                <w:szCs w:val="13"/>
                <w:color w:val="auto"/>
                <w:w w:val="96"/>
              </w:rPr>
              <w:t>Retail</w:t>
            </w:r>
          </w:p>
        </w:tc>
        <w:tc>
          <w:tcPr>
            <w:tcW w:w="800" w:type="dxa"/>
            <w:vAlign w:val="bottom"/>
          </w:tcPr>
          <w:p>
            <w:pPr>
              <w:jc w:val="right"/>
              <w:ind w:right="233"/>
              <w:spacing w:after="0"/>
              <w:rPr>
                <w:sz w:val="20"/>
                <w:szCs w:val="20"/>
                <w:color w:val="auto"/>
              </w:rPr>
            </w:pPr>
            <w:r>
              <w:rPr>
                <w:rFonts w:ascii="Arial" w:cs="Arial" w:eastAsia="Arial" w:hAnsi="Arial"/>
                <w:sz w:val="13"/>
                <w:szCs w:val="13"/>
                <w:color w:val="auto"/>
              </w:rPr>
              <w:t>—</w:t>
            </w:r>
          </w:p>
        </w:tc>
        <w:tc>
          <w:tcPr>
            <w:tcW w:w="1060" w:type="dxa"/>
            <w:vAlign w:val="bottom"/>
          </w:tcPr>
          <w:p>
            <w:pPr>
              <w:jc w:val="right"/>
              <w:ind w:right="273"/>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2,000,000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2,000,000</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ALG USA Holdings, LLC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02/28/2019</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7.00%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8,415,000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8,353,842</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8,415,000</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Alvogen Pharma US, Inc.</w:t>
            </w:r>
          </w:p>
        </w:tc>
        <w:tc>
          <w:tcPr>
            <w:tcW w:w="820" w:type="dxa"/>
            <w:vAlign w:val="bottom"/>
          </w:tcPr>
          <w:p>
            <w:pPr>
              <w:ind w:left="120"/>
              <w:spacing w:after="0"/>
              <w:rPr>
                <w:sz w:val="20"/>
                <w:szCs w:val="20"/>
                <w:color w:val="auto"/>
              </w:rPr>
            </w:pPr>
            <w:r>
              <w:rPr>
                <w:rFonts w:ascii="Arial" w:cs="Arial" w:eastAsia="Arial" w:hAnsi="Arial"/>
                <w:sz w:val="13"/>
                <w:szCs w:val="13"/>
                <w:color w:val="auto"/>
              </w:rPr>
              <w:t>05/23/2018</w:t>
            </w:r>
          </w:p>
        </w:tc>
        <w:tc>
          <w:tcPr>
            <w:tcW w:w="198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2,936,813</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2,907,355</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2,955,168</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AMF Bowling Centers,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06/29/2018</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8.75%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L+750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7,850,000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7,647,108</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7,987,375</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Ancile Solutions, Inc.</w:t>
            </w:r>
          </w:p>
        </w:tc>
        <w:tc>
          <w:tcPr>
            <w:tcW w:w="820" w:type="dxa"/>
            <w:vAlign w:val="bottom"/>
          </w:tcPr>
          <w:p>
            <w:pPr>
              <w:ind w:left="120"/>
              <w:spacing w:after="0"/>
              <w:rPr>
                <w:sz w:val="20"/>
                <w:szCs w:val="20"/>
                <w:color w:val="auto"/>
              </w:rPr>
            </w:pPr>
            <w:r>
              <w:rPr>
                <w:rFonts w:ascii="Arial" w:cs="Arial" w:eastAsia="Arial" w:hAnsi="Arial"/>
                <w:sz w:val="13"/>
                <w:szCs w:val="13"/>
                <w:color w:val="auto"/>
              </w:rPr>
              <w:t>07/16/2018</w:t>
            </w:r>
          </w:p>
        </w:tc>
        <w:tc>
          <w:tcPr>
            <w:tcW w:w="198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6.25%</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4,875,000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4,834,453</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4,887,187</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AP Gaming I, LLC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12/21/2020</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9.25%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L+825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1,396,500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1,355,842</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1,386,026</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ARC Automotive Group, Inc.</w:t>
            </w:r>
          </w:p>
        </w:tc>
        <w:tc>
          <w:tcPr>
            <w:tcW w:w="820" w:type="dxa"/>
            <w:vAlign w:val="bottom"/>
          </w:tcPr>
          <w:p>
            <w:pPr>
              <w:ind w:left="120"/>
              <w:spacing w:after="0"/>
              <w:rPr>
                <w:sz w:val="20"/>
                <w:szCs w:val="20"/>
                <w:color w:val="auto"/>
              </w:rPr>
            </w:pPr>
            <w:r>
              <w:rPr>
                <w:rFonts w:ascii="Arial" w:cs="Arial" w:eastAsia="Arial" w:hAnsi="Arial"/>
                <w:sz w:val="13"/>
                <w:szCs w:val="13"/>
                <w:color w:val="auto"/>
              </w:rPr>
              <w:t>11/15/2018</w:t>
            </w:r>
          </w:p>
        </w:tc>
        <w:tc>
          <w:tcPr>
            <w:tcW w:w="198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6.25%</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2,518,125</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2,498,664</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2,530,716</w:t>
            </w: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Ascend Learning, LLC</w:t>
            </w:r>
          </w:p>
        </w:tc>
        <w:tc>
          <w:tcPr>
            <w:tcW w:w="82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07/31/2019</w:t>
            </w: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8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6.00%</w:t>
            </w:r>
          </w:p>
        </w:tc>
        <w:tc>
          <w:tcPr>
            <w:tcW w:w="106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2,992,500</w:t>
            </w:r>
          </w:p>
        </w:tc>
        <w:tc>
          <w:tcPr>
            <w:tcW w:w="92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2,978,371</w:t>
            </w:r>
          </w:p>
        </w:tc>
        <w:tc>
          <w:tcPr>
            <w:tcW w:w="11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3,018,684</w:t>
            </w:r>
          </w:p>
        </w:tc>
        <w:tc>
          <w:tcPr>
            <w:tcW w:w="0" w:type="dxa"/>
            <w:vAlign w:val="bottom"/>
          </w:tcPr>
          <w:p>
            <w:pPr>
              <w:spacing w:after="0"/>
              <w:rPr>
                <w:sz w:val="1"/>
                <w:szCs w:val="1"/>
                <w:color w:val="auto"/>
              </w:rPr>
            </w:pPr>
          </w:p>
        </w:tc>
      </w:tr>
      <w:tr>
        <w:trPr>
          <w:trHeight w:val="159"/>
        </w:trPr>
        <w:tc>
          <w:tcPr>
            <w:tcW w:w="3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Aspen Dental Management, Inc.</w:t>
            </w:r>
          </w:p>
        </w:tc>
        <w:tc>
          <w:tcPr>
            <w:tcW w:w="820" w:type="dxa"/>
            <w:vAlign w:val="bottom"/>
          </w:tcPr>
          <w:p>
            <w:pPr>
              <w:ind w:left="120"/>
              <w:spacing w:after="0"/>
              <w:rPr>
                <w:sz w:val="20"/>
                <w:szCs w:val="20"/>
                <w:color w:val="auto"/>
              </w:rPr>
            </w:pPr>
            <w:r>
              <w:rPr>
                <w:rFonts w:ascii="Arial" w:cs="Arial" w:eastAsia="Arial" w:hAnsi="Arial"/>
                <w:sz w:val="13"/>
                <w:szCs w:val="13"/>
                <w:color w:val="auto"/>
              </w:rPr>
              <w:t>10/06/2016</w:t>
            </w:r>
          </w:p>
        </w:tc>
        <w:tc>
          <w:tcPr>
            <w:tcW w:w="198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2,932,500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2,905,821</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2,932,500</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ATI Holdings,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12/20/2019</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5.00%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L+400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2,962,500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2,937,168</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2,994,584</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Azure Midstream Energy LLC</w:t>
            </w:r>
          </w:p>
        </w:tc>
        <w:tc>
          <w:tcPr>
            <w:tcW w:w="820" w:type="dxa"/>
            <w:vAlign w:val="bottom"/>
          </w:tcPr>
          <w:p>
            <w:pPr>
              <w:ind w:left="120"/>
              <w:spacing w:after="0"/>
              <w:rPr>
                <w:sz w:val="20"/>
                <w:szCs w:val="20"/>
                <w:color w:val="auto"/>
              </w:rPr>
            </w:pPr>
            <w:r>
              <w:rPr>
                <w:rFonts w:ascii="Arial" w:cs="Arial" w:eastAsia="Arial" w:hAnsi="Arial"/>
                <w:sz w:val="13"/>
                <w:szCs w:val="13"/>
                <w:color w:val="auto"/>
              </w:rPr>
              <w:t>11/15/2018</w:t>
            </w:r>
          </w:p>
        </w:tc>
        <w:tc>
          <w:tcPr>
            <w:tcW w:w="1980" w:type="dxa"/>
            <w:vAlign w:val="bottom"/>
          </w:tcPr>
          <w:p>
            <w:pPr>
              <w:jc w:val="center"/>
              <w:spacing w:after="0"/>
              <w:rPr>
                <w:sz w:val="20"/>
                <w:szCs w:val="20"/>
                <w:color w:val="auto"/>
              </w:rPr>
            </w:pPr>
            <w:r>
              <w:rPr>
                <w:rFonts w:ascii="Arial" w:cs="Arial" w:eastAsia="Arial" w:hAnsi="Arial"/>
                <w:sz w:val="13"/>
                <w:szCs w:val="13"/>
                <w:color w:val="auto"/>
                <w:w w:val="93"/>
              </w:rPr>
              <w:t>Energy: Oil and Gas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6.50%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5,431,250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5,355,896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5,471,984</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BBB Industries, LLC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03/27/2019</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5.50%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L+425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2,850,000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2,829,626</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2,850,000</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BBTS Borrower LP</w:t>
            </w:r>
          </w:p>
        </w:tc>
        <w:tc>
          <w:tcPr>
            <w:tcW w:w="820" w:type="dxa"/>
            <w:vAlign w:val="bottom"/>
          </w:tcPr>
          <w:p>
            <w:pPr>
              <w:ind w:left="120"/>
              <w:spacing w:after="0"/>
              <w:rPr>
                <w:sz w:val="20"/>
                <w:szCs w:val="20"/>
                <w:color w:val="auto"/>
              </w:rPr>
            </w:pPr>
            <w:r>
              <w:rPr>
                <w:rFonts w:ascii="Arial" w:cs="Arial" w:eastAsia="Arial" w:hAnsi="Arial"/>
                <w:sz w:val="13"/>
                <w:szCs w:val="13"/>
                <w:color w:val="auto"/>
              </w:rPr>
              <w:t>06/04/2019</w:t>
            </w:r>
          </w:p>
        </w:tc>
        <w:tc>
          <w:tcPr>
            <w:tcW w:w="1980" w:type="dxa"/>
            <w:vAlign w:val="bottom"/>
          </w:tcPr>
          <w:p>
            <w:pPr>
              <w:jc w:val="center"/>
              <w:spacing w:after="0"/>
              <w:rPr>
                <w:sz w:val="20"/>
                <w:szCs w:val="20"/>
                <w:color w:val="auto"/>
              </w:rPr>
            </w:pPr>
            <w:r>
              <w:rPr>
                <w:rFonts w:ascii="Arial" w:cs="Arial" w:eastAsia="Arial" w:hAnsi="Arial"/>
                <w:sz w:val="13"/>
                <w:szCs w:val="13"/>
                <w:color w:val="auto"/>
                <w:w w:val="93"/>
              </w:rPr>
              <w:t>Energy: Oil and Gas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7.75%</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L+650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6,930,000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6,872,492</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6,988,489</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CBAC Borrower, LLC </w:t>
            </w:r>
            <w:r>
              <w:rPr>
                <w:rFonts w:ascii="Arial" w:cs="Arial" w:eastAsia="Arial" w:hAnsi="Arial"/>
                <w:sz w:val="17"/>
                <w:szCs w:val="17"/>
                <w:color w:val="auto"/>
                <w:vertAlign w:val="superscript"/>
              </w:rPr>
              <w:t>(8)</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07/02/2020</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8.25%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L+700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4,956,172</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5,200,000</w:t>
            </w: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Cetera Financial Group, Inc.</w:t>
            </w:r>
          </w:p>
        </w:tc>
        <w:tc>
          <w:tcPr>
            <w:tcW w:w="28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08/07/2019   Banking, Finance, Insurance and</w:t>
            </w:r>
          </w:p>
        </w:tc>
        <w:tc>
          <w:tcPr>
            <w:tcW w:w="8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6.50%</w:t>
            </w:r>
          </w:p>
        </w:tc>
        <w:tc>
          <w:tcPr>
            <w:tcW w:w="106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L+550</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4,937,500</w:t>
            </w:r>
          </w:p>
        </w:tc>
        <w:tc>
          <w:tcPr>
            <w:tcW w:w="920" w:type="dxa"/>
            <w:vAlign w:val="bottom"/>
          </w:tcPr>
          <w:p>
            <w:pPr>
              <w:jc w:val="right"/>
              <w:ind w:right="53"/>
              <w:spacing w:after="0" w:line="138" w:lineRule="exact"/>
              <w:rPr>
                <w:sz w:val="20"/>
                <w:szCs w:val="20"/>
                <w:color w:val="auto"/>
              </w:rPr>
            </w:pPr>
            <w:r>
              <w:rPr>
                <w:rFonts w:ascii="Arial" w:cs="Arial" w:eastAsia="Arial" w:hAnsi="Arial"/>
                <w:sz w:val="13"/>
                <w:szCs w:val="13"/>
                <w:color w:val="auto"/>
              </w:rPr>
              <w:t>4,849,008</w:t>
            </w:r>
          </w:p>
        </w:tc>
        <w:tc>
          <w:tcPr>
            <w:tcW w:w="11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4,937,500</w:t>
            </w:r>
          </w:p>
        </w:tc>
        <w:tc>
          <w:tcPr>
            <w:tcW w:w="0" w:type="dxa"/>
            <w:vAlign w:val="bottom"/>
          </w:tcPr>
          <w:p>
            <w:pPr>
              <w:spacing w:after="0"/>
              <w:rPr>
                <w:sz w:val="1"/>
                <w:szCs w:val="1"/>
                <w:color w:val="auto"/>
              </w:rPr>
            </w:pPr>
          </w:p>
        </w:tc>
      </w:tr>
      <w:tr>
        <w:trPr>
          <w:trHeight w:val="159"/>
        </w:trPr>
        <w:tc>
          <w:tcPr>
            <w:tcW w:w="3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92"/>
              </w:rPr>
              <w:t>Real Estate</w:t>
            </w: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Charming Charlie LLC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12/24/2019</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Non-Durable</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9.00%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L+800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4,500,000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4,435,461</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4,494,375</w:t>
            </w: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Chicken Soup for the Soul Publishing, LLC</w:t>
            </w:r>
          </w:p>
        </w:tc>
        <w:tc>
          <w:tcPr>
            <w:tcW w:w="820" w:type="dxa"/>
            <w:vAlign w:val="bottom"/>
          </w:tcPr>
          <w:p>
            <w:pPr>
              <w:ind w:left="120"/>
              <w:spacing w:after="0" w:line="138" w:lineRule="exact"/>
              <w:rPr>
                <w:sz w:val="20"/>
                <w:szCs w:val="20"/>
                <w:color w:val="auto"/>
              </w:rPr>
            </w:pPr>
            <w:r>
              <w:rPr>
                <w:rFonts w:ascii="Arial" w:cs="Arial" w:eastAsia="Arial" w:hAnsi="Arial"/>
                <w:sz w:val="13"/>
                <w:szCs w:val="13"/>
                <w:color w:val="auto"/>
              </w:rPr>
              <w:t>01/08/2019</w:t>
            </w:r>
          </w:p>
        </w:tc>
        <w:tc>
          <w:tcPr>
            <w:tcW w:w="198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8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7.25%</w:t>
            </w:r>
          </w:p>
        </w:tc>
        <w:tc>
          <w:tcPr>
            <w:tcW w:w="106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L+600</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5,000,000</w:t>
            </w:r>
          </w:p>
        </w:tc>
        <w:tc>
          <w:tcPr>
            <w:tcW w:w="920" w:type="dxa"/>
            <w:vAlign w:val="bottom"/>
          </w:tcPr>
          <w:p>
            <w:pPr>
              <w:jc w:val="right"/>
              <w:ind w:right="53"/>
              <w:spacing w:after="0" w:line="138" w:lineRule="exact"/>
              <w:rPr>
                <w:sz w:val="20"/>
                <w:szCs w:val="20"/>
                <w:color w:val="auto"/>
              </w:rPr>
            </w:pPr>
            <w:r>
              <w:rPr>
                <w:rFonts w:ascii="Arial" w:cs="Arial" w:eastAsia="Arial" w:hAnsi="Arial"/>
                <w:sz w:val="13"/>
                <w:szCs w:val="13"/>
                <w:color w:val="auto"/>
              </w:rPr>
              <w:t>4,950,147</w:t>
            </w:r>
          </w:p>
        </w:tc>
        <w:tc>
          <w:tcPr>
            <w:tcW w:w="11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4,950,000</w:t>
            </w:r>
          </w:p>
        </w:tc>
        <w:tc>
          <w:tcPr>
            <w:tcW w:w="0" w:type="dxa"/>
            <w:vAlign w:val="bottom"/>
          </w:tcPr>
          <w:p>
            <w:pPr>
              <w:spacing w:after="0"/>
              <w:rPr>
                <w:sz w:val="1"/>
                <w:szCs w:val="1"/>
                <w:color w:val="auto"/>
              </w:rPr>
            </w:pPr>
          </w:p>
        </w:tc>
      </w:tr>
      <w:tr>
        <w:trPr>
          <w:trHeight w:val="159"/>
        </w:trPr>
        <w:tc>
          <w:tcPr>
            <w:tcW w:w="3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Cydcor LLC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06/12/2017</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9.75%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L+725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1,874,374</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1,874,374</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1,874,374</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20"/>
                <w:szCs w:val="20"/>
                <w:color w:val="auto"/>
              </w:rPr>
            </w:pPr>
            <w:r>
              <w:rPr>
                <w:rFonts w:ascii="Arial" w:cs="Arial" w:eastAsia="Arial" w:hAnsi="Arial"/>
                <w:sz w:val="13"/>
                <w:szCs w:val="13"/>
                <w:color w:val="auto"/>
              </w:rPr>
              <w:t>DCS Business Services, Inc.</w:t>
            </w:r>
          </w:p>
        </w:tc>
        <w:tc>
          <w:tcPr>
            <w:tcW w:w="820" w:type="dxa"/>
            <w:vAlign w:val="bottom"/>
          </w:tcPr>
          <w:p>
            <w:pPr>
              <w:ind w:left="120"/>
              <w:spacing w:after="0"/>
              <w:rPr>
                <w:sz w:val="20"/>
                <w:szCs w:val="20"/>
                <w:color w:val="auto"/>
              </w:rPr>
            </w:pPr>
            <w:r>
              <w:rPr>
                <w:rFonts w:ascii="Arial" w:cs="Arial" w:eastAsia="Arial" w:hAnsi="Arial"/>
                <w:sz w:val="13"/>
                <w:szCs w:val="13"/>
                <w:color w:val="auto"/>
              </w:rPr>
              <w:t>03/19/2018</w:t>
            </w:r>
          </w:p>
        </w:tc>
        <w:tc>
          <w:tcPr>
            <w:tcW w:w="198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7.25%</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3,584,781</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3,540,083</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3,495,161</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Document Technologies,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12/03/2018</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Business Services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5.50%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L+425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951,556</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945,202</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949,177</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EAG, Inc.</w:t>
            </w:r>
          </w:p>
        </w:tc>
        <w:tc>
          <w:tcPr>
            <w:tcW w:w="820" w:type="dxa"/>
            <w:vAlign w:val="bottom"/>
          </w:tcPr>
          <w:p>
            <w:pPr>
              <w:ind w:left="120"/>
              <w:spacing w:after="0"/>
              <w:rPr>
                <w:sz w:val="20"/>
                <w:szCs w:val="20"/>
                <w:color w:val="auto"/>
              </w:rPr>
            </w:pPr>
            <w:r>
              <w:rPr>
                <w:rFonts w:ascii="Arial" w:cs="Arial" w:eastAsia="Arial" w:hAnsi="Arial"/>
                <w:sz w:val="13"/>
                <w:szCs w:val="13"/>
                <w:color w:val="auto"/>
              </w:rPr>
              <w:t>07/28/2017</w:t>
            </w:r>
          </w:p>
        </w:tc>
        <w:tc>
          <w:tcPr>
            <w:tcW w:w="198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L+450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864,408</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862,105</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860,086</w:t>
            </w: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Edmentum, Inc.</w:t>
            </w:r>
          </w:p>
        </w:tc>
        <w:tc>
          <w:tcPr>
            <w:tcW w:w="82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05/17/2018</w:t>
            </w: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8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5.50%</w:t>
            </w:r>
          </w:p>
        </w:tc>
        <w:tc>
          <w:tcPr>
            <w:tcW w:w="106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L+450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929,654</w:t>
            </w:r>
          </w:p>
        </w:tc>
        <w:tc>
          <w:tcPr>
            <w:tcW w:w="92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929,654</w:t>
            </w:r>
          </w:p>
        </w:tc>
        <w:tc>
          <w:tcPr>
            <w:tcW w:w="11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934,302</w:t>
            </w:r>
          </w:p>
        </w:tc>
        <w:tc>
          <w:tcPr>
            <w:tcW w:w="0" w:type="dxa"/>
            <w:vAlign w:val="bottom"/>
          </w:tcPr>
          <w:p>
            <w:pPr>
              <w:spacing w:after="0"/>
              <w:rPr>
                <w:sz w:val="1"/>
                <w:szCs w:val="1"/>
                <w:color w:val="auto"/>
              </w:rPr>
            </w:pPr>
          </w:p>
        </w:tc>
      </w:tr>
      <w:tr>
        <w:trPr>
          <w:trHeight w:val="159"/>
        </w:trPr>
        <w:tc>
          <w:tcPr>
            <w:tcW w:w="3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Emerald Performance Materials, LLC</w:t>
            </w:r>
          </w:p>
        </w:tc>
        <w:tc>
          <w:tcPr>
            <w:tcW w:w="820" w:type="dxa"/>
            <w:vAlign w:val="bottom"/>
          </w:tcPr>
          <w:p>
            <w:pPr>
              <w:ind w:left="120"/>
              <w:spacing w:after="0"/>
              <w:rPr>
                <w:sz w:val="20"/>
                <w:szCs w:val="20"/>
                <w:color w:val="auto"/>
              </w:rPr>
            </w:pPr>
            <w:r>
              <w:rPr>
                <w:rFonts w:ascii="Arial" w:cs="Arial" w:eastAsia="Arial" w:hAnsi="Arial"/>
                <w:sz w:val="13"/>
                <w:szCs w:val="13"/>
                <w:color w:val="auto"/>
              </w:rPr>
              <w:t>05/18/2018</w:t>
            </w:r>
          </w:p>
        </w:tc>
        <w:tc>
          <w:tcPr>
            <w:tcW w:w="198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6.75%</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2,457,488</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2,441,964</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2,469,776</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eResearchtechnology,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05/02/2018</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6.00%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L+475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2,955,094</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2,942,791</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2,958,788</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20"/>
                <w:szCs w:val="20"/>
                <w:color w:val="auto"/>
              </w:rPr>
            </w:pPr>
            <w:r>
              <w:rPr>
                <w:rFonts w:ascii="Arial" w:cs="Arial" w:eastAsia="Arial" w:hAnsi="Arial"/>
                <w:sz w:val="13"/>
                <w:szCs w:val="13"/>
                <w:color w:val="auto"/>
              </w:rPr>
              <w:t>e-Rewards, Inc.</w:t>
            </w:r>
          </w:p>
        </w:tc>
        <w:tc>
          <w:tcPr>
            <w:tcW w:w="820" w:type="dxa"/>
            <w:vAlign w:val="bottom"/>
          </w:tcPr>
          <w:p>
            <w:pPr>
              <w:ind w:left="120"/>
              <w:spacing w:after="0"/>
              <w:rPr>
                <w:sz w:val="20"/>
                <w:szCs w:val="20"/>
                <w:color w:val="auto"/>
              </w:rPr>
            </w:pPr>
            <w:r>
              <w:rPr>
                <w:rFonts w:ascii="Arial" w:cs="Arial" w:eastAsia="Arial" w:hAnsi="Arial"/>
                <w:sz w:val="13"/>
                <w:szCs w:val="13"/>
                <w:color w:val="auto"/>
              </w:rPr>
              <w:t>10/29/2018</w:t>
            </w:r>
          </w:p>
        </w:tc>
        <w:tc>
          <w:tcPr>
            <w:tcW w:w="198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9,937,500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9,755,408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9,887,813</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FHC Health Systems,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01/09/2018</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5.75%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L+475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4,562,500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4,523,888</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4,562,500</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Fishnet Security, Inc.</w:t>
            </w:r>
          </w:p>
        </w:tc>
        <w:tc>
          <w:tcPr>
            <w:tcW w:w="820" w:type="dxa"/>
            <w:vAlign w:val="bottom"/>
          </w:tcPr>
          <w:p>
            <w:pPr>
              <w:ind w:left="120"/>
              <w:spacing w:after="0"/>
              <w:rPr>
                <w:sz w:val="20"/>
                <w:szCs w:val="20"/>
                <w:color w:val="auto"/>
              </w:rPr>
            </w:pPr>
            <w:r>
              <w:rPr>
                <w:rFonts w:ascii="Arial" w:cs="Arial" w:eastAsia="Arial" w:hAnsi="Arial"/>
                <w:sz w:val="13"/>
                <w:szCs w:val="13"/>
                <w:color w:val="auto"/>
              </w:rPr>
              <w:t>11/30/2017</w:t>
            </w:r>
          </w:p>
        </w:tc>
        <w:tc>
          <w:tcPr>
            <w:tcW w:w="198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6.25%</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3,629,063</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3,606,006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3,631,349</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GlobalLogic Holdings,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05/31/2019</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6.25%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L+525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3,990,000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3,952,033</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3,950,100</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Golden Nugget, Inc.</w:t>
            </w:r>
          </w:p>
        </w:tc>
        <w:tc>
          <w:tcPr>
            <w:tcW w:w="820" w:type="dxa"/>
            <w:vAlign w:val="bottom"/>
          </w:tcPr>
          <w:p>
            <w:pPr>
              <w:ind w:left="120"/>
              <w:spacing w:after="0"/>
              <w:rPr>
                <w:sz w:val="20"/>
                <w:szCs w:val="20"/>
                <w:color w:val="auto"/>
              </w:rPr>
            </w:pPr>
            <w:r>
              <w:rPr>
                <w:rFonts w:ascii="Arial" w:cs="Arial" w:eastAsia="Arial" w:hAnsi="Arial"/>
                <w:sz w:val="13"/>
                <w:szCs w:val="13"/>
                <w:color w:val="auto"/>
              </w:rPr>
              <w:t>11/21/2019</w:t>
            </w:r>
          </w:p>
        </w:tc>
        <w:tc>
          <w:tcPr>
            <w:tcW w:w="198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5.50%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L+450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7,980,000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7,927,558</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8,149,575</w:t>
            </w: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Granite Broadcasting Corporation</w:t>
            </w:r>
          </w:p>
        </w:tc>
        <w:tc>
          <w:tcPr>
            <w:tcW w:w="82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05/23/2018</w:t>
            </w: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8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6.75%</w:t>
            </w:r>
          </w:p>
        </w:tc>
        <w:tc>
          <w:tcPr>
            <w:tcW w:w="106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2,529,823</w:t>
            </w:r>
          </w:p>
        </w:tc>
        <w:tc>
          <w:tcPr>
            <w:tcW w:w="92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2,525,402</w:t>
            </w:r>
          </w:p>
        </w:tc>
        <w:tc>
          <w:tcPr>
            <w:tcW w:w="11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2,540,903</w:t>
            </w:r>
          </w:p>
        </w:tc>
        <w:tc>
          <w:tcPr>
            <w:tcW w:w="0" w:type="dxa"/>
            <w:vAlign w:val="bottom"/>
          </w:tcPr>
          <w:p>
            <w:pPr>
              <w:spacing w:after="0"/>
              <w:rPr>
                <w:sz w:val="1"/>
                <w:szCs w:val="1"/>
                <w:color w:val="auto"/>
              </w:rPr>
            </w:pPr>
          </w:p>
        </w:tc>
      </w:tr>
      <w:tr>
        <w:trPr>
          <w:trHeight w:val="159"/>
        </w:trPr>
        <w:tc>
          <w:tcPr>
            <w:tcW w:w="3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Subscription</w:t>
            </w: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w w:val="99"/>
              </w:rPr>
              <w:t>Greenway Health, LLC (f/k/a Vitera Healthcare Solutions, LLC)</w:t>
            </w:r>
          </w:p>
        </w:tc>
        <w:tc>
          <w:tcPr>
            <w:tcW w:w="820" w:type="dxa"/>
            <w:vAlign w:val="bottom"/>
          </w:tcPr>
          <w:p>
            <w:pPr>
              <w:ind w:left="120"/>
              <w:spacing w:after="0"/>
              <w:rPr>
                <w:sz w:val="20"/>
                <w:szCs w:val="20"/>
                <w:color w:val="auto"/>
              </w:rPr>
            </w:pPr>
            <w:r>
              <w:rPr>
                <w:rFonts w:ascii="Arial" w:cs="Arial" w:eastAsia="Arial" w:hAnsi="Arial"/>
                <w:sz w:val="13"/>
                <w:szCs w:val="13"/>
                <w:color w:val="auto"/>
              </w:rPr>
              <w:t>11/04/2020</w:t>
            </w:r>
          </w:p>
        </w:tc>
        <w:tc>
          <w:tcPr>
            <w:tcW w:w="198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6,982,500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6,917,432</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6,938,859</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Help/Systems Holdings,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06/28/2019</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High Tech Industries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5.50%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L+450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4,975,000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4,932,037</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4,937,688</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Howard Berger Co. LLC</w:t>
            </w:r>
          </w:p>
        </w:tc>
        <w:tc>
          <w:tcPr>
            <w:tcW w:w="820" w:type="dxa"/>
            <w:vAlign w:val="bottom"/>
          </w:tcPr>
          <w:p>
            <w:pPr>
              <w:ind w:left="120"/>
              <w:spacing w:after="0"/>
              <w:rPr>
                <w:sz w:val="20"/>
                <w:szCs w:val="20"/>
                <w:color w:val="auto"/>
              </w:rPr>
            </w:pPr>
            <w:r>
              <w:rPr>
                <w:rFonts w:ascii="Arial" w:cs="Arial" w:eastAsia="Arial" w:hAnsi="Arial"/>
                <w:sz w:val="13"/>
                <w:szCs w:val="13"/>
                <w:color w:val="auto"/>
              </w:rPr>
              <w:t>08/03/2017</w:t>
            </w:r>
          </w:p>
        </w:tc>
        <w:tc>
          <w:tcPr>
            <w:tcW w:w="1980" w:type="dxa"/>
            <w:vAlign w:val="bottom"/>
          </w:tcPr>
          <w:p>
            <w:pPr>
              <w:jc w:val="center"/>
              <w:spacing w:after="0"/>
              <w:rPr>
                <w:sz w:val="20"/>
                <w:szCs w:val="20"/>
                <w:color w:val="auto"/>
              </w:rPr>
            </w:pPr>
            <w:r>
              <w:rPr>
                <w:rFonts w:ascii="Arial" w:cs="Arial" w:eastAsia="Arial" w:hAnsi="Arial"/>
                <w:sz w:val="13"/>
                <w:szCs w:val="13"/>
                <w:color w:val="auto"/>
                <w:w w:val="92"/>
              </w:rPr>
              <w:t>Wholesale</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L+575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2,572,899</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2,547,399</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2,418,525</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03/30/2017</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11.50%</w:t>
            </w:r>
          </w:p>
        </w:tc>
        <w:tc>
          <w:tcPr>
            <w:tcW w:w="1060" w:type="dxa"/>
            <w:vAlign w:val="bottom"/>
            <w:shd w:val="clear" w:color="auto" w:fill="CCEEFF"/>
          </w:tcPr>
          <w:p>
            <w:pPr>
              <w:jc w:val="right"/>
              <w:ind w:right="273"/>
              <w:spacing w:after="0"/>
              <w:rPr>
                <w:sz w:val="20"/>
                <w:szCs w:val="20"/>
                <w:color w:val="auto"/>
              </w:rPr>
            </w:pPr>
            <w:r>
              <w:rPr>
                <w:rFonts w:ascii="Arial" w:cs="Arial" w:eastAsia="Arial" w:hAnsi="Arial"/>
                <w:sz w:val="13"/>
                <w:szCs w:val="13"/>
                <w:color w:val="auto"/>
              </w:rPr>
              <w:t>—</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2,000,000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1,973,786</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2,175,000</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820" w:type="dxa"/>
            <w:vAlign w:val="bottom"/>
          </w:tcPr>
          <w:p>
            <w:pPr>
              <w:ind w:left="120"/>
              <w:spacing w:after="0"/>
              <w:rPr>
                <w:sz w:val="20"/>
                <w:szCs w:val="20"/>
                <w:color w:val="auto"/>
              </w:rPr>
            </w:pPr>
            <w:r>
              <w:rPr>
                <w:rFonts w:ascii="Arial" w:cs="Arial" w:eastAsia="Arial" w:hAnsi="Arial"/>
                <w:sz w:val="13"/>
                <w:szCs w:val="13"/>
                <w:color w:val="auto"/>
              </w:rPr>
              <w:t>05/01/2019</w:t>
            </w:r>
          </w:p>
        </w:tc>
        <w:tc>
          <w:tcPr>
            <w:tcW w:w="1980" w:type="dxa"/>
            <w:vAlign w:val="bottom"/>
          </w:tcPr>
          <w:p>
            <w:pPr>
              <w:jc w:val="center"/>
              <w:spacing w:after="0"/>
              <w:rPr>
                <w:sz w:val="20"/>
                <w:szCs w:val="20"/>
                <w:color w:val="auto"/>
              </w:rPr>
            </w:pPr>
            <w:r>
              <w:rPr>
                <w:rFonts w:ascii="Arial" w:cs="Arial" w:eastAsia="Arial" w:hAnsi="Arial"/>
                <w:sz w:val="13"/>
                <w:szCs w:val="13"/>
                <w:color w:val="auto"/>
                <w:w w:val="92"/>
              </w:rPr>
              <w:t>Business Services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7.25%</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L+600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13,118,522</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12,961,262</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12,790,559</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InfuSystem Holdings,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11/30/2016</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11.57%</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P+832</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2,175,000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2,175,000</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2,213,207</w:t>
            </w: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Instant Web, LLC, Term Loan A</w:t>
            </w:r>
          </w:p>
        </w:tc>
        <w:tc>
          <w:tcPr>
            <w:tcW w:w="820" w:type="dxa"/>
            <w:vAlign w:val="bottom"/>
          </w:tcPr>
          <w:p>
            <w:pPr>
              <w:ind w:left="120"/>
              <w:spacing w:after="0" w:line="138" w:lineRule="exact"/>
              <w:rPr>
                <w:sz w:val="20"/>
                <w:szCs w:val="20"/>
                <w:color w:val="auto"/>
              </w:rPr>
            </w:pPr>
            <w:r>
              <w:rPr>
                <w:rFonts w:ascii="Arial" w:cs="Arial" w:eastAsia="Arial" w:hAnsi="Arial"/>
                <w:sz w:val="13"/>
                <w:szCs w:val="13"/>
                <w:color w:val="auto"/>
              </w:rPr>
              <w:t>03/28/2019</w:t>
            </w:r>
          </w:p>
        </w:tc>
        <w:tc>
          <w:tcPr>
            <w:tcW w:w="198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8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5.50%</w:t>
            </w:r>
          </w:p>
        </w:tc>
        <w:tc>
          <w:tcPr>
            <w:tcW w:w="106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L+450</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5,500,000</w:t>
            </w:r>
          </w:p>
        </w:tc>
        <w:tc>
          <w:tcPr>
            <w:tcW w:w="920" w:type="dxa"/>
            <w:vAlign w:val="bottom"/>
          </w:tcPr>
          <w:p>
            <w:pPr>
              <w:jc w:val="right"/>
              <w:ind w:right="53"/>
              <w:spacing w:after="0" w:line="138" w:lineRule="exact"/>
              <w:rPr>
                <w:sz w:val="20"/>
                <w:szCs w:val="20"/>
                <w:color w:val="auto"/>
              </w:rPr>
            </w:pPr>
            <w:r>
              <w:rPr>
                <w:rFonts w:ascii="Arial" w:cs="Arial" w:eastAsia="Arial" w:hAnsi="Arial"/>
                <w:sz w:val="13"/>
                <w:szCs w:val="13"/>
                <w:color w:val="auto"/>
              </w:rPr>
              <w:t>5,417,534</w:t>
            </w:r>
          </w:p>
        </w:tc>
        <w:tc>
          <w:tcPr>
            <w:tcW w:w="11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5,417,500</w:t>
            </w:r>
          </w:p>
        </w:tc>
        <w:tc>
          <w:tcPr>
            <w:tcW w:w="0" w:type="dxa"/>
            <w:vAlign w:val="bottom"/>
          </w:tcPr>
          <w:p>
            <w:pPr>
              <w:spacing w:after="0"/>
              <w:rPr>
                <w:sz w:val="1"/>
                <w:szCs w:val="1"/>
                <w:color w:val="auto"/>
              </w:rPr>
            </w:pPr>
          </w:p>
        </w:tc>
      </w:tr>
      <w:tr>
        <w:trPr>
          <w:trHeight w:val="159"/>
        </w:trPr>
        <w:tc>
          <w:tcPr>
            <w:tcW w:w="3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96"/>
              </w:rPr>
              <w:t>Publishing</w:t>
            </w: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Instant Web, LLC, Term Loan B</w:t>
            </w:r>
          </w:p>
        </w:tc>
        <w:tc>
          <w:tcPr>
            <w:tcW w:w="820" w:type="dxa"/>
            <w:vAlign w:val="bottom"/>
            <w:shd w:val="clear" w:color="auto" w:fill="CCEEFF"/>
          </w:tcPr>
          <w:p>
            <w:pPr>
              <w:ind w:left="120"/>
              <w:spacing w:after="0" w:line="138" w:lineRule="exact"/>
              <w:rPr>
                <w:sz w:val="20"/>
                <w:szCs w:val="20"/>
                <w:color w:val="auto"/>
              </w:rPr>
            </w:pPr>
            <w:r>
              <w:rPr>
                <w:rFonts w:ascii="Arial" w:cs="Arial" w:eastAsia="Arial" w:hAnsi="Arial"/>
                <w:sz w:val="13"/>
                <w:szCs w:val="13"/>
                <w:color w:val="auto"/>
              </w:rPr>
              <w:t>03/28/2019</w:t>
            </w:r>
          </w:p>
        </w:tc>
        <w:tc>
          <w:tcPr>
            <w:tcW w:w="198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8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12.00%</w:t>
            </w:r>
          </w:p>
        </w:tc>
        <w:tc>
          <w:tcPr>
            <w:tcW w:w="106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L+1,100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4,500,000</w:t>
            </w:r>
          </w:p>
        </w:tc>
        <w:tc>
          <w:tcPr>
            <w:tcW w:w="92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4,432,522</w:t>
            </w:r>
          </w:p>
        </w:tc>
        <w:tc>
          <w:tcPr>
            <w:tcW w:w="11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4,432,500</w:t>
            </w:r>
          </w:p>
        </w:tc>
        <w:tc>
          <w:tcPr>
            <w:tcW w:w="0" w:type="dxa"/>
            <w:vAlign w:val="bottom"/>
          </w:tcPr>
          <w:p>
            <w:pPr>
              <w:spacing w:after="0"/>
              <w:rPr>
                <w:sz w:val="1"/>
                <w:szCs w:val="1"/>
                <w:color w:val="auto"/>
              </w:rPr>
            </w:pPr>
          </w:p>
        </w:tc>
      </w:tr>
      <w:tr>
        <w:trPr>
          <w:trHeight w:val="159"/>
        </w:trPr>
        <w:tc>
          <w:tcPr>
            <w:tcW w:w="3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Jackson Hewitt Tax Service Inc.</w:t>
            </w:r>
          </w:p>
        </w:tc>
        <w:tc>
          <w:tcPr>
            <w:tcW w:w="820" w:type="dxa"/>
            <w:vAlign w:val="bottom"/>
          </w:tcPr>
          <w:p>
            <w:pPr>
              <w:ind w:left="120"/>
              <w:spacing w:after="0"/>
              <w:rPr>
                <w:sz w:val="20"/>
                <w:szCs w:val="20"/>
                <w:color w:val="auto"/>
              </w:rPr>
            </w:pPr>
            <w:r>
              <w:rPr>
                <w:rFonts w:ascii="Arial" w:cs="Arial" w:eastAsia="Arial" w:hAnsi="Arial"/>
                <w:sz w:val="13"/>
                <w:szCs w:val="13"/>
                <w:color w:val="auto"/>
              </w:rPr>
              <w:t>10/16/2017</w:t>
            </w:r>
          </w:p>
        </w:tc>
        <w:tc>
          <w:tcPr>
            <w:tcW w:w="198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10.00%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L+850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5,140,179</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5,049,774</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5,101,627</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JHCI Acquisition,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07/11/2019</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Transportation: Cargo</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7.00%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1,912,273</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1,887,332</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1,940,957</w:t>
            </w:r>
          </w:p>
        </w:tc>
        <w:tc>
          <w:tcPr>
            <w:tcW w:w="0" w:type="dxa"/>
            <w:vAlign w:val="bottom"/>
          </w:tcPr>
          <w:p>
            <w:pPr>
              <w:spacing w:after="0"/>
              <w:rPr>
                <w:sz w:val="1"/>
                <w:szCs w:val="1"/>
                <w:color w:val="auto"/>
              </w:rPr>
            </w:pPr>
          </w:p>
        </w:tc>
      </w:tr>
      <w:tr>
        <w:trPr>
          <w:trHeight w:val="149"/>
        </w:trPr>
        <w:tc>
          <w:tcPr>
            <w:tcW w:w="3620" w:type="dxa"/>
            <w:vAlign w:val="bottom"/>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(8)</w:t>
            </w:r>
          </w:p>
        </w:tc>
        <w:tc>
          <w:tcPr>
            <w:tcW w:w="820" w:type="dxa"/>
            <w:vAlign w:val="bottom"/>
          </w:tcPr>
          <w:p>
            <w:pPr>
              <w:ind w:left="120"/>
              <w:spacing w:after="0"/>
              <w:rPr>
                <w:sz w:val="20"/>
                <w:szCs w:val="20"/>
                <w:color w:val="auto"/>
              </w:rPr>
            </w:pPr>
            <w:r>
              <w:rPr>
                <w:rFonts w:ascii="Arial" w:cs="Arial" w:eastAsia="Arial" w:hAnsi="Arial"/>
                <w:sz w:val="13"/>
                <w:szCs w:val="13"/>
                <w:color w:val="auto"/>
              </w:rPr>
              <w:t>08/19/2019</w:t>
            </w:r>
          </w:p>
        </w:tc>
        <w:tc>
          <w:tcPr>
            <w:tcW w:w="198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10.00%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L+900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6,157,648</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6,042,706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6,164,119</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(8)</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11/30/2018</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6.50%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L+525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5,955,000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5,875,571</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5,783,794</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20"/>
                <w:szCs w:val="20"/>
                <w:color w:val="auto"/>
              </w:rPr>
            </w:pPr>
            <w:r>
              <w:rPr>
                <w:rFonts w:ascii="Arial" w:cs="Arial" w:eastAsia="Arial" w:hAnsi="Arial"/>
                <w:sz w:val="13"/>
                <w:szCs w:val="13"/>
                <w:color w:val="auto"/>
              </w:rPr>
              <w:t>LJ Host Merger Sub, Inc.</w:t>
            </w:r>
          </w:p>
        </w:tc>
        <w:tc>
          <w:tcPr>
            <w:tcW w:w="820" w:type="dxa"/>
            <w:vAlign w:val="bottom"/>
          </w:tcPr>
          <w:p>
            <w:pPr>
              <w:ind w:left="120"/>
              <w:spacing w:after="0"/>
              <w:rPr>
                <w:sz w:val="20"/>
                <w:szCs w:val="20"/>
                <w:color w:val="auto"/>
              </w:rPr>
            </w:pPr>
            <w:r>
              <w:rPr>
                <w:rFonts w:ascii="Arial" w:cs="Arial" w:eastAsia="Arial" w:hAnsi="Arial"/>
                <w:sz w:val="13"/>
                <w:szCs w:val="13"/>
                <w:color w:val="auto"/>
              </w:rPr>
              <w:t>12/23/2019</w:t>
            </w:r>
          </w:p>
        </w:tc>
        <w:tc>
          <w:tcPr>
            <w:tcW w:w="1980" w:type="dxa"/>
            <w:vAlign w:val="bottom"/>
          </w:tcPr>
          <w:p>
            <w:pPr>
              <w:jc w:val="center"/>
              <w:spacing w:after="0"/>
              <w:rPr>
                <w:sz w:val="20"/>
                <w:szCs w:val="20"/>
                <w:color w:val="auto"/>
              </w:rPr>
            </w:pPr>
            <w:r>
              <w:rPr>
                <w:rFonts w:ascii="Arial" w:cs="Arial" w:eastAsia="Arial" w:hAnsi="Arial"/>
                <w:sz w:val="13"/>
                <w:szCs w:val="13"/>
                <w:color w:val="auto"/>
                <w:w w:val="95"/>
              </w:rPr>
              <w:t>High Tech Industries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L+475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4,968,750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4,921,296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4,919,063</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Meritas Schools Holdings, LLC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06/25/2019</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7.00%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L+575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2,977,500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2,951,064</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2,981,222</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Milk Specialties Company</w:t>
            </w:r>
          </w:p>
        </w:tc>
        <w:tc>
          <w:tcPr>
            <w:tcW w:w="820" w:type="dxa"/>
            <w:vAlign w:val="bottom"/>
          </w:tcPr>
          <w:p>
            <w:pPr>
              <w:ind w:left="120"/>
              <w:spacing w:after="0"/>
              <w:rPr>
                <w:sz w:val="20"/>
                <w:szCs w:val="20"/>
                <w:color w:val="auto"/>
              </w:rPr>
            </w:pPr>
            <w:r>
              <w:rPr>
                <w:rFonts w:ascii="Arial" w:cs="Arial" w:eastAsia="Arial" w:hAnsi="Arial"/>
                <w:sz w:val="13"/>
                <w:szCs w:val="13"/>
                <w:color w:val="auto"/>
              </w:rPr>
              <w:t>11/09/2018</w:t>
            </w:r>
          </w:p>
        </w:tc>
        <w:tc>
          <w:tcPr>
            <w:tcW w:w="198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7.50%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L+625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3,326,560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3,299,910</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3,314,085</w:t>
            </w:r>
          </w:p>
        </w:tc>
        <w:tc>
          <w:tcPr>
            <w:tcW w:w="0" w:type="dxa"/>
            <w:vAlign w:val="bottom"/>
          </w:tcPr>
          <w:p>
            <w:pPr>
              <w:spacing w:after="0"/>
              <w:rPr>
                <w:sz w:val="1"/>
                <w:szCs w:val="1"/>
                <w:color w:val="auto"/>
              </w:rPr>
            </w:pPr>
          </w:p>
        </w:tc>
      </w:tr>
      <w:tr>
        <w:trPr>
          <w:trHeight w:val="138"/>
        </w:trPr>
        <w:tc>
          <w:tcPr>
            <w:tcW w:w="36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2800" w:type="dxa"/>
            <w:vAlign w:val="bottom"/>
            <w:gridSpan w:val="2"/>
            <w:shd w:val="clear" w:color="auto" w:fill="CCEEFF"/>
          </w:tcPr>
          <w:p>
            <w:pPr>
              <w:ind w:left="120"/>
              <w:spacing w:after="0" w:line="138" w:lineRule="exact"/>
              <w:rPr>
                <w:sz w:val="20"/>
                <w:szCs w:val="20"/>
                <w:color w:val="auto"/>
              </w:rPr>
            </w:pPr>
            <w:r>
              <w:rPr>
                <w:rFonts w:ascii="Arial" w:cs="Arial" w:eastAsia="Arial" w:hAnsi="Arial"/>
                <w:sz w:val="13"/>
                <w:szCs w:val="13"/>
                <w:color w:val="auto"/>
              </w:rPr>
              <w:t>04/24/2018   Banking, Finance, Insurance and</w:t>
            </w:r>
          </w:p>
        </w:tc>
        <w:tc>
          <w:tcPr>
            <w:tcW w:w="80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7.00%</w:t>
            </w:r>
          </w:p>
        </w:tc>
        <w:tc>
          <w:tcPr>
            <w:tcW w:w="106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L+550</w:t>
            </w:r>
          </w:p>
        </w:tc>
        <w:tc>
          <w:tcPr>
            <w:tcW w:w="88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912,500</w:t>
            </w:r>
          </w:p>
        </w:tc>
        <w:tc>
          <w:tcPr>
            <w:tcW w:w="920" w:type="dxa"/>
            <w:vAlign w:val="bottom"/>
            <w:shd w:val="clear" w:color="auto" w:fill="CCEEFF"/>
          </w:tcPr>
          <w:p>
            <w:pPr>
              <w:jc w:val="right"/>
              <w:ind w:right="53"/>
              <w:spacing w:after="0" w:line="138" w:lineRule="exact"/>
              <w:rPr>
                <w:sz w:val="20"/>
                <w:szCs w:val="20"/>
                <w:color w:val="auto"/>
              </w:rPr>
            </w:pPr>
            <w:r>
              <w:rPr>
                <w:rFonts w:ascii="Arial" w:cs="Arial" w:eastAsia="Arial" w:hAnsi="Arial"/>
                <w:sz w:val="13"/>
                <w:szCs w:val="13"/>
                <w:color w:val="auto"/>
              </w:rPr>
              <w:t>903,004</w:t>
            </w:r>
          </w:p>
        </w:tc>
        <w:tc>
          <w:tcPr>
            <w:tcW w:w="1160" w:type="dxa"/>
            <w:vAlign w:val="bottom"/>
            <w:shd w:val="clear" w:color="auto" w:fill="CCEEFF"/>
          </w:tcPr>
          <w:p>
            <w:pPr>
              <w:jc w:val="right"/>
              <w:ind w:right="153"/>
              <w:spacing w:after="0" w:line="138" w:lineRule="exact"/>
              <w:rPr>
                <w:sz w:val="20"/>
                <w:szCs w:val="20"/>
                <w:color w:val="auto"/>
              </w:rPr>
            </w:pPr>
            <w:r>
              <w:rPr>
                <w:rFonts w:ascii="Arial" w:cs="Arial" w:eastAsia="Arial" w:hAnsi="Arial"/>
                <w:sz w:val="13"/>
                <w:szCs w:val="13"/>
                <w:color w:val="auto"/>
              </w:rPr>
              <w:t>915,922</w:t>
            </w:r>
          </w:p>
        </w:tc>
        <w:tc>
          <w:tcPr>
            <w:tcW w:w="0" w:type="dxa"/>
            <w:vAlign w:val="bottom"/>
          </w:tcPr>
          <w:p>
            <w:pPr>
              <w:spacing w:after="0"/>
              <w:rPr>
                <w:sz w:val="1"/>
                <w:szCs w:val="1"/>
                <w:color w:val="auto"/>
              </w:rPr>
            </w:pPr>
          </w:p>
        </w:tc>
      </w:tr>
      <w:tr>
        <w:trPr>
          <w:trHeight w:val="159"/>
        </w:trPr>
        <w:tc>
          <w:tcPr>
            <w:tcW w:w="36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Real Estate</w:t>
            </w:r>
          </w:p>
        </w:tc>
        <w:tc>
          <w:tcPr>
            <w:tcW w:w="8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National Surgical Hospitals, Inc.</w:t>
            </w:r>
          </w:p>
        </w:tc>
        <w:tc>
          <w:tcPr>
            <w:tcW w:w="820" w:type="dxa"/>
            <w:vAlign w:val="bottom"/>
          </w:tcPr>
          <w:p>
            <w:pPr>
              <w:ind w:left="120"/>
              <w:spacing w:after="0"/>
              <w:rPr>
                <w:sz w:val="20"/>
                <w:szCs w:val="20"/>
                <w:color w:val="auto"/>
              </w:rPr>
            </w:pPr>
            <w:r>
              <w:rPr>
                <w:rFonts w:ascii="Arial" w:cs="Arial" w:eastAsia="Arial" w:hAnsi="Arial"/>
                <w:sz w:val="13"/>
                <w:szCs w:val="13"/>
                <w:color w:val="auto"/>
              </w:rPr>
              <w:t>08/01/2019</w:t>
            </w:r>
          </w:p>
        </w:tc>
        <w:tc>
          <w:tcPr>
            <w:tcW w:w="1980" w:type="dxa"/>
            <w:vAlign w:val="bottom"/>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5.75%</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L+450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6,467,500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6,409,824</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6,491,753</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New Trident HoldCorp,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07/31/2019</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Healthcare and Pharmaceuticals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6.50%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L+525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9,950,000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9,863,105</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9,933,384</w:t>
            </w:r>
          </w:p>
        </w:tc>
        <w:tc>
          <w:tcPr>
            <w:tcW w:w="0" w:type="dxa"/>
            <w:vAlign w:val="bottom"/>
          </w:tcPr>
          <w:p>
            <w:pPr>
              <w:spacing w:after="0"/>
              <w:rPr>
                <w:sz w:val="1"/>
                <w:szCs w:val="1"/>
                <w:color w:val="auto"/>
              </w:rPr>
            </w:pPr>
          </w:p>
        </w:tc>
      </w:tr>
      <w:tr>
        <w:trPr>
          <w:trHeight w:val="148"/>
        </w:trPr>
        <w:tc>
          <w:tcPr>
            <w:tcW w:w="3620" w:type="dxa"/>
            <w:vAlign w:val="bottom"/>
          </w:tcPr>
          <w:p>
            <w:pPr>
              <w:spacing w:after="0"/>
              <w:rPr>
                <w:sz w:val="20"/>
                <w:szCs w:val="20"/>
                <w:color w:val="auto"/>
              </w:rPr>
            </w:pPr>
            <w:r>
              <w:rPr>
                <w:rFonts w:ascii="Arial" w:cs="Arial" w:eastAsia="Arial" w:hAnsi="Arial"/>
                <w:sz w:val="13"/>
                <w:szCs w:val="13"/>
                <w:color w:val="auto"/>
              </w:rPr>
              <w:t>Northfield Park Associates LLC</w:t>
            </w:r>
          </w:p>
        </w:tc>
        <w:tc>
          <w:tcPr>
            <w:tcW w:w="820" w:type="dxa"/>
            <w:vAlign w:val="bottom"/>
          </w:tcPr>
          <w:p>
            <w:pPr>
              <w:ind w:left="120"/>
              <w:spacing w:after="0"/>
              <w:rPr>
                <w:sz w:val="20"/>
                <w:szCs w:val="20"/>
                <w:color w:val="auto"/>
              </w:rPr>
            </w:pPr>
            <w:r>
              <w:rPr>
                <w:rFonts w:ascii="Arial" w:cs="Arial" w:eastAsia="Arial" w:hAnsi="Arial"/>
                <w:sz w:val="13"/>
                <w:szCs w:val="13"/>
                <w:color w:val="auto"/>
              </w:rPr>
              <w:t>12/19/2018</w:t>
            </w:r>
          </w:p>
        </w:tc>
        <w:tc>
          <w:tcPr>
            <w:tcW w:w="198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9.00%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L+775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4,488,750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4,414,086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4,561,692</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OCI Beaumont LLC, Term B-2 Loan</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08/20/2019</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6.25%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6,830,675</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6,782,867</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6,898,982</w:t>
            </w:r>
          </w:p>
        </w:tc>
        <w:tc>
          <w:tcPr>
            <w:tcW w:w="0" w:type="dxa"/>
            <w:vAlign w:val="bottom"/>
          </w:tcPr>
          <w:p>
            <w:pPr>
              <w:spacing w:after="0"/>
              <w:rPr>
                <w:sz w:val="1"/>
                <w:szCs w:val="1"/>
                <w:color w:val="auto"/>
              </w:rPr>
            </w:pPr>
          </w:p>
        </w:tc>
      </w:tr>
      <w:tr>
        <w:trPr>
          <w:trHeight w:val="138"/>
        </w:trPr>
        <w:tc>
          <w:tcPr>
            <w:tcW w:w="3620" w:type="dxa"/>
            <w:vAlign w:val="bottom"/>
          </w:tcPr>
          <w:p>
            <w:pPr>
              <w:spacing w:after="0" w:line="138" w:lineRule="exact"/>
              <w:rPr>
                <w:sz w:val="20"/>
                <w:szCs w:val="20"/>
                <w:color w:val="auto"/>
              </w:rPr>
            </w:pPr>
            <w:r>
              <w:rPr>
                <w:rFonts w:ascii="Arial" w:cs="Arial" w:eastAsia="Arial" w:hAnsi="Arial"/>
                <w:sz w:val="13"/>
                <w:szCs w:val="13"/>
                <w:color w:val="auto"/>
              </w:rPr>
              <w:t>Old Guard Risk Services, Inc.</w:t>
            </w:r>
          </w:p>
        </w:tc>
        <w:tc>
          <w:tcPr>
            <w:tcW w:w="2800" w:type="dxa"/>
            <w:vAlign w:val="bottom"/>
            <w:gridSpan w:val="2"/>
          </w:tcPr>
          <w:p>
            <w:pPr>
              <w:ind w:left="120"/>
              <w:spacing w:after="0" w:line="138" w:lineRule="exact"/>
              <w:rPr>
                <w:sz w:val="20"/>
                <w:szCs w:val="20"/>
                <w:color w:val="auto"/>
              </w:rPr>
            </w:pPr>
            <w:r>
              <w:rPr>
                <w:rFonts w:ascii="Arial" w:cs="Arial" w:eastAsia="Arial" w:hAnsi="Arial"/>
                <w:sz w:val="13"/>
                <w:szCs w:val="13"/>
                <w:color w:val="auto"/>
              </w:rPr>
              <w:t>11/27/2018   Banking, Finance, Insurance and</w:t>
            </w:r>
          </w:p>
        </w:tc>
        <w:tc>
          <w:tcPr>
            <w:tcW w:w="800" w:type="dxa"/>
            <w:vAlign w:val="bottom"/>
          </w:tcPr>
          <w:p>
            <w:pPr>
              <w:jc w:val="right"/>
              <w:ind w:right="53"/>
              <w:spacing w:after="0" w:line="138" w:lineRule="exact"/>
              <w:rPr>
                <w:sz w:val="20"/>
                <w:szCs w:val="20"/>
                <w:color w:val="auto"/>
              </w:rPr>
            </w:pPr>
            <w:r>
              <w:rPr>
                <w:rFonts w:ascii="Arial" w:cs="Arial" w:eastAsia="Arial" w:hAnsi="Arial"/>
                <w:sz w:val="13"/>
                <w:szCs w:val="13"/>
                <w:color w:val="auto"/>
              </w:rPr>
              <w:t>12.50%</w:t>
            </w:r>
          </w:p>
        </w:tc>
        <w:tc>
          <w:tcPr>
            <w:tcW w:w="106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L+1,150</w:t>
            </w:r>
          </w:p>
        </w:tc>
        <w:tc>
          <w:tcPr>
            <w:tcW w:w="880" w:type="dxa"/>
            <w:vAlign w:val="bottom"/>
          </w:tcPr>
          <w:p>
            <w:pPr>
              <w:jc w:val="right"/>
              <w:ind w:right="73"/>
              <w:spacing w:after="0" w:line="138" w:lineRule="exact"/>
              <w:rPr>
                <w:sz w:val="20"/>
                <w:szCs w:val="20"/>
                <w:color w:val="auto"/>
              </w:rPr>
            </w:pPr>
            <w:r>
              <w:rPr>
                <w:rFonts w:ascii="Arial" w:cs="Arial" w:eastAsia="Arial" w:hAnsi="Arial"/>
                <w:sz w:val="13"/>
                <w:szCs w:val="13"/>
                <w:color w:val="auto"/>
              </w:rPr>
              <w:t>7,980,000</w:t>
            </w:r>
          </w:p>
        </w:tc>
        <w:tc>
          <w:tcPr>
            <w:tcW w:w="920" w:type="dxa"/>
            <w:vAlign w:val="bottom"/>
          </w:tcPr>
          <w:p>
            <w:pPr>
              <w:jc w:val="right"/>
              <w:ind w:right="53"/>
              <w:spacing w:after="0" w:line="138" w:lineRule="exact"/>
              <w:rPr>
                <w:sz w:val="20"/>
                <w:szCs w:val="20"/>
                <w:color w:val="auto"/>
              </w:rPr>
            </w:pPr>
            <w:r>
              <w:rPr>
                <w:rFonts w:ascii="Arial" w:cs="Arial" w:eastAsia="Arial" w:hAnsi="Arial"/>
                <w:sz w:val="13"/>
                <w:szCs w:val="13"/>
                <w:color w:val="auto"/>
              </w:rPr>
              <w:t>7,689,650</w:t>
            </w:r>
          </w:p>
        </w:tc>
        <w:tc>
          <w:tcPr>
            <w:tcW w:w="1160" w:type="dxa"/>
            <w:vAlign w:val="bottom"/>
          </w:tcPr>
          <w:p>
            <w:pPr>
              <w:jc w:val="right"/>
              <w:ind w:right="153"/>
              <w:spacing w:after="0" w:line="138" w:lineRule="exact"/>
              <w:rPr>
                <w:sz w:val="20"/>
                <w:szCs w:val="20"/>
                <w:color w:val="auto"/>
              </w:rPr>
            </w:pPr>
            <w:r>
              <w:rPr>
                <w:rFonts w:ascii="Arial" w:cs="Arial" w:eastAsia="Arial" w:hAnsi="Arial"/>
                <w:sz w:val="13"/>
                <w:szCs w:val="13"/>
                <w:color w:val="auto"/>
              </w:rPr>
              <w:t>8,059,800</w:t>
            </w:r>
          </w:p>
        </w:tc>
        <w:tc>
          <w:tcPr>
            <w:tcW w:w="0" w:type="dxa"/>
            <w:vAlign w:val="bottom"/>
          </w:tcPr>
          <w:p>
            <w:pPr>
              <w:spacing w:after="0"/>
              <w:rPr>
                <w:sz w:val="1"/>
                <w:szCs w:val="1"/>
                <w:color w:val="auto"/>
              </w:rPr>
            </w:pPr>
          </w:p>
        </w:tc>
      </w:tr>
      <w:tr>
        <w:trPr>
          <w:trHeight w:val="159"/>
        </w:trPr>
        <w:tc>
          <w:tcPr>
            <w:tcW w:w="3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Arial" w:cs="Arial" w:eastAsia="Arial" w:hAnsi="Arial"/>
                <w:sz w:val="13"/>
                <w:szCs w:val="13"/>
                <w:color w:val="auto"/>
                <w:w w:val="92"/>
              </w:rPr>
              <w:t>Real Estate</w:t>
            </w:r>
          </w:p>
        </w:tc>
        <w:tc>
          <w:tcPr>
            <w:tcW w:w="8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Orbitz Worldwide, Inc., Term Loan 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03/25/2019</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Transportation: Consumer</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5.75%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L+475</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3,970,000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3,970,000</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3,992,828</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20"/>
                <w:szCs w:val="20"/>
                <w:color w:val="auto"/>
              </w:rPr>
            </w:pPr>
            <w:r>
              <w:rPr>
                <w:rFonts w:ascii="Arial" w:cs="Arial" w:eastAsia="Arial" w:hAnsi="Arial"/>
                <w:sz w:val="13"/>
                <w:szCs w:val="13"/>
                <w:color w:val="auto"/>
              </w:rPr>
              <w:t>Packaging Coordinators, Inc.</w:t>
            </w:r>
          </w:p>
        </w:tc>
        <w:tc>
          <w:tcPr>
            <w:tcW w:w="2800" w:type="dxa"/>
            <w:vAlign w:val="bottom"/>
            <w:gridSpan w:val="2"/>
          </w:tcPr>
          <w:p>
            <w:pPr>
              <w:ind w:left="120"/>
              <w:spacing w:after="0"/>
              <w:rPr>
                <w:sz w:val="20"/>
                <w:szCs w:val="20"/>
                <w:color w:val="auto"/>
              </w:rPr>
            </w:pPr>
            <w:r>
              <w:rPr>
                <w:rFonts w:ascii="Arial" w:cs="Arial" w:eastAsia="Arial" w:hAnsi="Arial"/>
                <w:sz w:val="13"/>
                <w:szCs w:val="13"/>
                <w:color w:val="auto"/>
                <w:w w:val="98"/>
              </w:rPr>
              <w:t>05/11/2020   Containers, Packaging and Glass</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5.50%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L+425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2,487,500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2,477,796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2,475,063</w:t>
            </w:r>
          </w:p>
        </w:tc>
        <w:tc>
          <w:tcPr>
            <w:tcW w:w="0" w:type="dxa"/>
            <w:vAlign w:val="bottom"/>
          </w:tcPr>
          <w:p>
            <w:pPr>
              <w:spacing w:after="0"/>
              <w:rPr>
                <w:sz w:val="1"/>
                <w:szCs w:val="1"/>
                <w:color w:val="auto"/>
              </w:rPr>
            </w:pPr>
          </w:p>
        </w:tc>
      </w:tr>
      <w:tr>
        <w:trPr>
          <w:trHeight w:val="149"/>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Pelican Products, Inc.</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3"/>
                <w:szCs w:val="13"/>
                <w:color w:val="auto"/>
                <w:w w:val="98"/>
              </w:rPr>
              <w:t>07/11/2018   Containers, Packaging and Glass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7.25%</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P+400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1,473,750</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1,451,912</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1,477,434</w:t>
            </w:r>
          </w:p>
        </w:tc>
        <w:tc>
          <w:tcPr>
            <w:tcW w:w="0" w:type="dxa"/>
            <w:vAlign w:val="bottom"/>
          </w:tcPr>
          <w:p>
            <w:pPr>
              <w:spacing w:after="0"/>
              <w:rPr>
                <w:sz w:val="1"/>
                <w:szCs w:val="1"/>
                <w:color w:val="auto"/>
              </w:rPr>
            </w:pPr>
          </w:p>
        </w:tc>
      </w:tr>
      <w:tr>
        <w:trPr>
          <w:trHeight w:val="149"/>
        </w:trPr>
        <w:tc>
          <w:tcPr>
            <w:tcW w:w="3620" w:type="dxa"/>
            <w:vAlign w:val="bottom"/>
          </w:tcPr>
          <w:p>
            <w:pPr>
              <w:spacing w:after="0"/>
              <w:rPr>
                <w:sz w:val="20"/>
                <w:szCs w:val="20"/>
                <w:color w:val="auto"/>
              </w:rPr>
            </w:pPr>
            <w:r>
              <w:rPr>
                <w:rFonts w:ascii="Arial" w:cs="Arial" w:eastAsia="Arial" w:hAnsi="Arial"/>
                <w:sz w:val="13"/>
                <w:szCs w:val="13"/>
                <w:color w:val="auto"/>
              </w:rPr>
              <w:t>Polyconcept Finance B.V.</w:t>
            </w:r>
          </w:p>
        </w:tc>
        <w:tc>
          <w:tcPr>
            <w:tcW w:w="820" w:type="dxa"/>
            <w:vAlign w:val="bottom"/>
          </w:tcPr>
          <w:p>
            <w:pPr>
              <w:ind w:left="120"/>
              <w:spacing w:after="0"/>
              <w:rPr>
                <w:sz w:val="20"/>
                <w:szCs w:val="20"/>
                <w:color w:val="auto"/>
              </w:rPr>
            </w:pPr>
            <w:r>
              <w:rPr>
                <w:rFonts w:ascii="Arial" w:cs="Arial" w:eastAsia="Arial" w:hAnsi="Arial"/>
                <w:sz w:val="13"/>
                <w:szCs w:val="13"/>
                <w:color w:val="auto"/>
              </w:rPr>
              <w:t>06/28/2019</w:t>
            </w:r>
          </w:p>
        </w:tc>
        <w:tc>
          <w:tcPr>
            <w:tcW w:w="198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6.00%</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L+475</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7,780,176</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7,712,986</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7,741,275</w:t>
            </w:r>
          </w:p>
        </w:tc>
        <w:tc>
          <w:tcPr>
            <w:tcW w:w="0" w:type="dxa"/>
            <w:vAlign w:val="bottom"/>
          </w:tcPr>
          <w:p>
            <w:pPr>
              <w:spacing w:after="0"/>
              <w:rPr>
                <w:sz w:val="1"/>
                <w:szCs w:val="1"/>
                <w:color w:val="auto"/>
              </w:rPr>
            </w:pPr>
          </w:p>
        </w:tc>
      </w:tr>
      <w:tr>
        <w:trPr>
          <w:trHeight w:val="148"/>
        </w:trPr>
        <w:tc>
          <w:tcPr>
            <w:tcW w:w="3620" w:type="dxa"/>
            <w:vAlign w:val="bottom"/>
            <w:shd w:val="clear" w:color="auto" w:fill="CCEEFF"/>
          </w:tcPr>
          <w:p>
            <w:pPr>
              <w:spacing w:after="0"/>
              <w:rPr>
                <w:sz w:val="20"/>
                <w:szCs w:val="20"/>
                <w:color w:val="auto"/>
              </w:rPr>
            </w:pPr>
            <w:r>
              <w:rPr>
                <w:rFonts w:ascii="Arial" w:cs="Arial" w:eastAsia="Arial" w:hAnsi="Arial"/>
                <w:sz w:val="13"/>
                <w:szCs w:val="13"/>
                <w:color w:val="auto"/>
              </w:rPr>
              <w:t>Premier Dental Services, Inc.</w:t>
            </w:r>
          </w:p>
        </w:tc>
        <w:tc>
          <w:tcPr>
            <w:tcW w:w="8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11/01/2018</w:t>
            </w:r>
          </w:p>
        </w:tc>
        <w:tc>
          <w:tcPr>
            <w:tcW w:w="198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80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6.00%</w:t>
            </w:r>
          </w:p>
        </w:tc>
        <w:tc>
          <w:tcPr>
            <w:tcW w:w="106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L+500</w:t>
            </w:r>
          </w:p>
        </w:tc>
        <w:tc>
          <w:tcPr>
            <w:tcW w:w="88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8,345,091</w:t>
            </w:r>
          </w:p>
        </w:tc>
        <w:tc>
          <w:tcPr>
            <w:tcW w:w="920" w:type="dxa"/>
            <w:vAlign w:val="bottom"/>
            <w:shd w:val="clear" w:color="auto" w:fill="CCEEFF"/>
          </w:tcPr>
          <w:p>
            <w:pPr>
              <w:jc w:val="right"/>
              <w:ind w:right="53"/>
              <w:spacing w:after="0"/>
              <w:rPr>
                <w:sz w:val="20"/>
                <w:szCs w:val="20"/>
                <w:color w:val="auto"/>
              </w:rPr>
            </w:pPr>
            <w:r>
              <w:rPr>
                <w:rFonts w:ascii="Arial" w:cs="Arial" w:eastAsia="Arial" w:hAnsi="Arial"/>
                <w:sz w:val="13"/>
                <w:szCs w:val="13"/>
                <w:color w:val="auto"/>
              </w:rPr>
              <w:t>8,214,737</w:t>
            </w:r>
          </w:p>
        </w:tc>
        <w:tc>
          <w:tcPr>
            <w:tcW w:w="116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8,355,522</w:t>
            </w:r>
          </w:p>
        </w:tc>
        <w:tc>
          <w:tcPr>
            <w:tcW w:w="0" w:type="dxa"/>
            <w:vAlign w:val="bottom"/>
          </w:tcPr>
          <w:p>
            <w:pPr>
              <w:spacing w:after="0"/>
              <w:rPr>
                <w:sz w:val="1"/>
                <w:szCs w:val="1"/>
                <w:color w:val="auto"/>
              </w:rPr>
            </w:pPr>
          </w:p>
        </w:tc>
      </w:tr>
      <w:tr>
        <w:trPr>
          <w:trHeight w:val="172"/>
        </w:trPr>
        <w:tc>
          <w:tcPr>
            <w:tcW w:w="3620" w:type="dxa"/>
            <w:vAlign w:val="bottom"/>
          </w:tcPr>
          <w:p>
            <w:pPr>
              <w:spacing w:after="0"/>
              <w:rPr>
                <w:sz w:val="20"/>
                <w:szCs w:val="20"/>
                <w:color w:val="auto"/>
              </w:rPr>
            </w:pPr>
            <w:r>
              <w:rPr>
                <w:rFonts w:ascii="Arial" w:cs="Arial" w:eastAsia="Arial" w:hAnsi="Arial"/>
                <w:sz w:val="13"/>
                <w:szCs w:val="13"/>
                <w:color w:val="auto"/>
              </w:rPr>
              <w:t>Quality Home Brands Holdings LLC</w:t>
            </w:r>
          </w:p>
        </w:tc>
        <w:tc>
          <w:tcPr>
            <w:tcW w:w="820" w:type="dxa"/>
            <w:vAlign w:val="bottom"/>
          </w:tcPr>
          <w:p>
            <w:pPr>
              <w:ind w:left="120"/>
              <w:spacing w:after="0"/>
              <w:rPr>
                <w:sz w:val="20"/>
                <w:szCs w:val="20"/>
                <w:color w:val="auto"/>
              </w:rPr>
            </w:pPr>
            <w:r>
              <w:rPr>
                <w:rFonts w:ascii="Arial" w:cs="Arial" w:eastAsia="Arial" w:hAnsi="Arial"/>
                <w:sz w:val="13"/>
                <w:szCs w:val="13"/>
                <w:color w:val="auto"/>
              </w:rPr>
              <w:t>12/17/2018</w:t>
            </w:r>
          </w:p>
        </w:tc>
        <w:tc>
          <w:tcPr>
            <w:tcW w:w="1980" w:type="dxa"/>
            <w:vAlign w:val="bottom"/>
          </w:tcPr>
          <w:p>
            <w:pPr>
              <w:jc w:val="center"/>
              <w:spacing w:after="0"/>
              <w:rPr>
                <w:sz w:val="20"/>
                <w:szCs w:val="20"/>
                <w:color w:val="auto"/>
              </w:rPr>
            </w:pPr>
            <w:r>
              <w:rPr>
                <w:rFonts w:ascii="Arial" w:cs="Arial" w:eastAsia="Arial" w:hAnsi="Arial"/>
                <w:sz w:val="13"/>
                <w:szCs w:val="13"/>
                <w:color w:val="auto"/>
                <w:w w:val="93"/>
              </w:rPr>
              <w:t>Consumer Goods: Durable</w:t>
            </w:r>
          </w:p>
        </w:tc>
        <w:tc>
          <w:tcPr>
            <w:tcW w:w="800" w:type="dxa"/>
            <w:vAlign w:val="bottom"/>
          </w:tcPr>
          <w:p>
            <w:pPr>
              <w:jc w:val="right"/>
              <w:ind w:right="53"/>
              <w:spacing w:after="0"/>
              <w:rPr>
                <w:sz w:val="20"/>
                <w:szCs w:val="20"/>
                <w:color w:val="auto"/>
              </w:rPr>
            </w:pPr>
            <w:r>
              <w:rPr>
                <w:rFonts w:ascii="Arial" w:cs="Arial" w:eastAsia="Arial" w:hAnsi="Arial"/>
                <w:sz w:val="13"/>
                <w:szCs w:val="13"/>
                <w:color w:val="auto"/>
              </w:rPr>
              <w:t>7.75%</w:t>
            </w:r>
          </w:p>
        </w:tc>
        <w:tc>
          <w:tcPr>
            <w:tcW w:w="1060" w:type="dxa"/>
            <w:vAlign w:val="bottom"/>
          </w:tcPr>
          <w:p>
            <w:pPr>
              <w:jc w:val="right"/>
              <w:ind w:right="193"/>
              <w:spacing w:after="0"/>
              <w:rPr>
                <w:sz w:val="20"/>
                <w:szCs w:val="20"/>
                <w:color w:val="auto"/>
              </w:rPr>
            </w:pPr>
            <w:r>
              <w:rPr>
                <w:rFonts w:ascii="Arial" w:cs="Arial" w:eastAsia="Arial" w:hAnsi="Arial"/>
                <w:sz w:val="13"/>
                <w:szCs w:val="13"/>
                <w:color w:val="auto"/>
              </w:rPr>
              <w:t>L+650</w:t>
            </w:r>
          </w:p>
        </w:tc>
        <w:tc>
          <w:tcPr>
            <w:tcW w:w="880" w:type="dxa"/>
            <w:vAlign w:val="bottom"/>
          </w:tcPr>
          <w:p>
            <w:pPr>
              <w:jc w:val="right"/>
              <w:ind w:right="73"/>
              <w:spacing w:after="0"/>
              <w:rPr>
                <w:sz w:val="20"/>
                <w:szCs w:val="20"/>
                <w:color w:val="auto"/>
              </w:rPr>
            </w:pPr>
            <w:r>
              <w:rPr>
                <w:rFonts w:ascii="Arial" w:cs="Arial" w:eastAsia="Arial" w:hAnsi="Arial"/>
                <w:sz w:val="13"/>
                <w:szCs w:val="13"/>
                <w:color w:val="auto"/>
              </w:rPr>
              <w:t>4,987,500</w:t>
            </w:r>
          </w:p>
        </w:tc>
        <w:tc>
          <w:tcPr>
            <w:tcW w:w="920" w:type="dxa"/>
            <w:vAlign w:val="bottom"/>
          </w:tcPr>
          <w:p>
            <w:pPr>
              <w:jc w:val="right"/>
              <w:ind w:right="53"/>
              <w:spacing w:after="0"/>
              <w:rPr>
                <w:sz w:val="20"/>
                <w:szCs w:val="20"/>
                <w:color w:val="auto"/>
              </w:rPr>
            </w:pPr>
            <w:r>
              <w:rPr>
                <w:rFonts w:ascii="Arial" w:cs="Arial" w:eastAsia="Arial" w:hAnsi="Arial"/>
                <w:sz w:val="13"/>
                <w:szCs w:val="13"/>
                <w:color w:val="auto"/>
              </w:rPr>
              <w:t>4,939,155</w:t>
            </w:r>
          </w:p>
        </w:tc>
        <w:tc>
          <w:tcPr>
            <w:tcW w:w="1160" w:type="dxa"/>
            <w:vAlign w:val="bottom"/>
          </w:tcPr>
          <w:p>
            <w:pPr>
              <w:jc w:val="right"/>
              <w:ind w:right="153"/>
              <w:spacing w:after="0"/>
              <w:rPr>
                <w:sz w:val="20"/>
                <w:szCs w:val="20"/>
                <w:color w:val="auto"/>
              </w:rPr>
            </w:pPr>
            <w:r>
              <w:rPr>
                <w:rFonts w:ascii="Arial" w:cs="Arial" w:eastAsia="Arial" w:hAnsi="Arial"/>
                <w:sz w:val="13"/>
                <w:szCs w:val="13"/>
                <w:color w:val="auto"/>
              </w:rPr>
              <w:t>5,016,577</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11240"/>
          </w:cols>
          <w:pgMar w:left="320" w:top="459"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jc w:val="center"/>
        <w:spacing w:after="0"/>
        <w:rPr>
          <w:sz w:val="20"/>
          <w:szCs w:val="20"/>
          <w:color w:val="auto"/>
        </w:rPr>
      </w:pPr>
      <w:r>
        <w:rPr>
          <w:rFonts w:ascii="Arial" w:cs="Arial" w:eastAsia="Arial" w:hAnsi="Arial"/>
          <w:sz w:val="13"/>
          <w:szCs w:val="13"/>
          <w:b w:val="1"/>
          <w:bCs w:val="1"/>
          <w:color w:val="auto"/>
        </w:rPr>
        <w:t>MARCH 31, 2014</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Basis Point</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Spread</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Issuer Name</w:t>
            </w: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rPr>
              <w:t>Maturity</w:t>
            </w:r>
          </w:p>
        </w:tc>
        <w:tc>
          <w:tcPr>
            <w:tcW w:w="242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7"/>
              </w:rPr>
              <w:t>Industry</w:t>
            </w:r>
          </w:p>
        </w:tc>
        <w:tc>
          <w:tcPr>
            <w:tcW w:w="960" w:type="dxa"/>
            <w:vAlign w:val="bottom"/>
            <w:gridSpan w:val="2"/>
          </w:tcPr>
          <w:p>
            <w:pPr>
              <w:jc w:val="right"/>
              <w:ind w:right="333"/>
              <w:spacing w:after="0"/>
              <w:rPr>
                <w:sz w:val="20"/>
                <w:szCs w:val="20"/>
                <w:color w:val="auto"/>
              </w:rPr>
            </w:pPr>
            <w:r>
              <w:rPr>
                <w:rFonts w:ascii="Arial" w:cs="Arial" w:eastAsia="Arial" w:hAnsi="Arial"/>
                <w:sz w:val="13"/>
                <w:szCs w:val="13"/>
                <w:b w:val="1"/>
                <w:bCs w:val="1"/>
                <w:color w:val="auto"/>
              </w:rPr>
              <w:t>Current</w:t>
            </w:r>
          </w:p>
        </w:tc>
        <w:tc>
          <w:tcPr>
            <w:tcW w:w="82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Above</w:t>
            </w:r>
          </w:p>
        </w:tc>
        <w:tc>
          <w:tcPr>
            <w:tcW w:w="740" w:type="dxa"/>
            <w:vAlign w:val="bottom"/>
            <w:gridSpan w:val="2"/>
          </w:tcPr>
          <w:p>
            <w:pPr>
              <w:jc w:val="right"/>
              <w:ind w:right="280"/>
              <w:spacing w:after="0"/>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restart"/>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93"/>
              </w:rPr>
              <w:t>Fair Value</w:t>
            </w:r>
          </w:p>
        </w:tc>
        <w:tc>
          <w:tcPr>
            <w:tcW w:w="0" w:type="dxa"/>
            <w:vAlign w:val="bottom"/>
          </w:tcPr>
          <w:p>
            <w:pPr>
              <w:spacing w:after="0"/>
              <w:rPr>
                <w:sz w:val="1"/>
                <w:szCs w:val="1"/>
                <w:color w:val="auto"/>
              </w:rPr>
            </w:pPr>
          </w:p>
        </w:tc>
      </w:tr>
      <w:tr>
        <w:trPr>
          <w:trHeight w:val="148"/>
        </w:trPr>
        <w:tc>
          <w:tcPr>
            <w:tcW w:w="3700" w:type="dxa"/>
            <w:vAlign w:val="bottom"/>
            <w:gridSpan w:val="2"/>
            <w:vMerge w:val="continue"/>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2420" w:type="dxa"/>
            <w:vAlign w:val="bottom"/>
            <w:gridSpan w:val="2"/>
            <w:vMerge w:val="continue"/>
          </w:tcPr>
          <w:p>
            <w:pPr>
              <w:spacing w:after="0"/>
              <w:rPr>
                <w:sz w:val="12"/>
                <w:szCs w:val="12"/>
                <w:color w:val="auto"/>
              </w:rPr>
            </w:pPr>
          </w:p>
        </w:tc>
        <w:tc>
          <w:tcPr>
            <w:tcW w:w="960" w:type="dxa"/>
            <w:vAlign w:val="bottom"/>
            <w:gridSpan w:val="2"/>
          </w:tcPr>
          <w:p>
            <w:pPr>
              <w:jc w:val="right"/>
              <w:ind w:right="333"/>
              <w:spacing w:after="0"/>
              <w:rPr>
                <w:sz w:val="20"/>
                <w:szCs w:val="20"/>
                <w:color w:val="auto"/>
              </w:rPr>
            </w:pPr>
            <w:r>
              <w:rPr>
                <w:rFonts w:ascii="Arial" w:cs="Arial" w:eastAsia="Arial" w:hAnsi="Arial"/>
                <w:sz w:val="13"/>
                <w:szCs w:val="13"/>
                <w:b w:val="1"/>
                <w:bCs w:val="1"/>
                <w:color w:val="auto"/>
              </w:rPr>
              <w:t>Coupon</w:t>
            </w:r>
          </w:p>
        </w:tc>
        <w:tc>
          <w:tcPr>
            <w:tcW w:w="820" w:type="dxa"/>
            <w:vAlign w:val="bottom"/>
            <w:gridSpan w:val="2"/>
          </w:tcPr>
          <w:p>
            <w:pPr>
              <w:jc w:val="center"/>
              <w:ind w:right="180"/>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74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273"/>
              <w:spacing w:after="0"/>
              <w:rPr>
                <w:sz w:val="20"/>
                <w:szCs w:val="20"/>
                <w:color w:val="auto"/>
              </w:rPr>
            </w:pPr>
            <w:r>
              <w:rPr>
                <w:rFonts w:ascii="Arial" w:cs="Arial" w:eastAsia="Arial" w:hAnsi="Arial"/>
                <w:sz w:val="11"/>
                <w:szCs w:val="11"/>
                <w:b w:val="1"/>
                <w:bCs w:val="1"/>
                <w:color w:val="auto"/>
              </w:rPr>
              <w:t>(2)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580" w:type="dxa"/>
            <w:vAlign w:val="bottom"/>
            <w:tcBorders>
              <w:top w:val="single" w:sz="8" w:color="auto"/>
            </w:tcBorders>
            <w:shd w:val="clear" w:color="auto" w:fill="CCEEFF"/>
          </w:tcPr>
          <w:p>
            <w:pPr>
              <w:spacing w:after="0" w:line="131" w:lineRule="exact"/>
              <w:rPr>
                <w:sz w:val="20"/>
                <w:szCs w:val="20"/>
                <w:color w:val="auto"/>
              </w:rPr>
            </w:pPr>
            <w:r>
              <w:rPr>
                <w:rFonts w:ascii="Arial" w:cs="Arial" w:eastAsia="Arial" w:hAnsi="Arial"/>
                <w:sz w:val="10"/>
                <w:szCs w:val="10"/>
                <w:color w:val="auto"/>
              </w:rPr>
              <w:t xml:space="preserve">RCS Capital Corporation </w:t>
            </w:r>
            <w:r>
              <w:rPr>
                <w:rFonts w:ascii="Arial" w:cs="Arial" w:eastAsia="Arial" w:hAnsi="Arial"/>
                <w:sz w:val="15"/>
                <w:szCs w:val="15"/>
                <w:color w:val="auto"/>
                <w:vertAlign w:val="superscript"/>
              </w:rPr>
              <w:t>(8)</w:t>
            </w:r>
          </w:p>
        </w:tc>
        <w:tc>
          <w:tcPr>
            <w:tcW w:w="12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5"/>
              </w:rPr>
              <w:t>04/29/2019</w:t>
            </w:r>
          </w:p>
        </w:tc>
        <w:tc>
          <w:tcPr>
            <w:tcW w:w="100" w:type="dxa"/>
            <w:vAlign w:val="bottom"/>
            <w:tcBorders>
              <w:top w:val="single" w:sz="8" w:color="CCEEFF"/>
            </w:tcBorders>
            <w:shd w:val="clear" w:color="auto" w:fill="CCEEFF"/>
          </w:tcPr>
          <w:p>
            <w:pPr>
              <w:spacing w:after="0"/>
              <w:rPr>
                <w:sz w:val="11"/>
                <w:szCs w:val="11"/>
                <w:color w:val="auto"/>
              </w:rPr>
            </w:pPr>
          </w:p>
        </w:tc>
        <w:tc>
          <w:tcPr>
            <w:tcW w:w="2320" w:type="dxa"/>
            <w:vAlign w:val="bottom"/>
            <w:tcBorders>
              <w:top w:val="single" w:sz="8" w:color="auto"/>
            </w:tcBorders>
            <w:shd w:val="clear" w:color="auto" w:fill="CCEEFF"/>
          </w:tcPr>
          <w:p>
            <w:pPr>
              <w:jc w:val="center"/>
              <w:spacing w:after="0" w:line="131" w:lineRule="exact"/>
              <w:rPr>
                <w:sz w:val="20"/>
                <w:szCs w:val="20"/>
                <w:color w:val="auto"/>
              </w:rPr>
            </w:pPr>
            <w:r>
              <w:rPr>
                <w:rFonts w:ascii="Arial" w:cs="Arial" w:eastAsia="Arial" w:hAnsi="Arial"/>
                <w:sz w:val="13"/>
                <w:szCs w:val="13"/>
                <w:color w:val="auto"/>
                <w:w w:val="93"/>
              </w:rPr>
              <w:t>Banking, Finance, Insurance and Real</w:t>
            </w:r>
          </w:p>
        </w:tc>
        <w:tc>
          <w:tcPr>
            <w:tcW w:w="1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6.50</w:t>
            </w:r>
          </w:p>
        </w:tc>
        <w:tc>
          <w:tcPr>
            <w:tcW w:w="320" w:type="dxa"/>
            <w:vAlign w:val="bottom"/>
            <w:tcBorders>
              <w:top w:val="single" w:sz="8" w:color="CCEEFF"/>
            </w:tcBorders>
            <w:shd w:val="clear" w:color="auto" w:fill="CCEEFF"/>
          </w:tcPr>
          <w:p>
            <w:pPr>
              <w:jc w:val="right"/>
              <w:ind w:right="133"/>
              <w:spacing w:after="0" w:line="131" w:lineRule="exact"/>
              <w:rPr>
                <w:sz w:val="20"/>
                <w:szCs w:val="20"/>
                <w:color w:val="auto"/>
              </w:rPr>
            </w:pPr>
            <w:r>
              <w:rPr>
                <w:rFonts w:ascii="Arial" w:cs="Arial" w:eastAsia="Arial" w:hAnsi="Arial"/>
                <w:sz w:val="13"/>
                <w:szCs w:val="13"/>
                <w:color w:val="auto"/>
                <w:w w:val="86"/>
              </w:rPr>
              <w:t>%</w:t>
            </w: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L+550</w:t>
            </w:r>
          </w:p>
        </w:tc>
        <w:tc>
          <w:tcPr>
            <w:tcW w:w="1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5,000,000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4,950,000</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tcBorders>
            <w:shd w:val="clear" w:color="auto" w:fill="CCEEFF"/>
          </w:tcPr>
          <w:p>
            <w:pPr>
              <w:jc w:val="right"/>
              <w:spacing w:after="0" w:line="131" w:lineRule="exact"/>
              <w:rPr>
                <w:sz w:val="20"/>
                <w:szCs w:val="20"/>
                <w:color w:val="auto"/>
              </w:rPr>
            </w:pPr>
            <w:r>
              <w:rPr>
                <w:rFonts w:ascii="Arial" w:cs="Arial" w:eastAsia="Arial" w:hAnsi="Arial"/>
                <w:sz w:val="13"/>
                <w:szCs w:val="13"/>
                <w:color w:val="auto"/>
              </w:rPr>
              <w:t>5,025,000</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Estate</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11/29/2016</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5"/>
              </w:rPr>
              <w:t>Hotel, Gaming and Leisure</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10.00%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L+875</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4,250,000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4,194,563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4,260,625</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SCE Partners,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08/14/2019</w:t>
            </w:r>
          </w:p>
        </w:tc>
        <w:tc>
          <w:tcPr>
            <w:tcW w:w="1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Hotel, Gaming and Leisure</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8.25%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L+725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12,000,000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11,893,132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11,880,000</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rPr>
                <w:sz w:val="20"/>
                <w:szCs w:val="20"/>
                <w:color w:val="auto"/>
              </w:rPr>
            </w:pPr>
            <w:r>
              <w:rPr>
                <w:rFonts w:ascii="Arial" w:cs="Arial" w:eastAsia="Arial" w:hAnsi="Arial"/>
                <w:sz w:val="13"/>
                <w:szCs w:val="13"/>
                <w:color w:val="auto"/>
              </w:rPr>
              <w:t>Securus Technologies Holdings,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04/30/2020</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Telecommunications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4.75%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L+350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1,990,000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1,972,658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1,985,642</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Sotera Defense Solutions,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04/21/2017</w:t>
            </w:r>
          </w:p>
        </w:tc>
        <w:tc>
          <w:tcPr>
            <w:tcW w:w="1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Aerospace and Defense</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7.50%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L+600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2,609,258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2,593,978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2,289,624</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rPr>
                <w:sz w:val="20"/>
                <w:szCs w:val="20"/>
                <w:color w:val="auto"/>
              </w:rPr>
            </w:pPr>
            <w:r>
              <w:rPr>
                <w:rFonts w:ascii="Arial" w:cs="Arial" w:eastAsia="Arial" w:hAnsi="Arial"/>
                <w:sz w:val="13"/>
                <w:szCs w:val="13"/>
                <w:color w:val="auto"/>
              </w:rPr>
              <w:t>St. George’s University Scholastic Services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12/20/2017</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Consumer Services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8.50%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L+700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1,693,471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1,666,775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1,706,172</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Surgical Specialties Corporation (US),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08/22/2018</w:t>
            </w:r>
          </w:p>
        </w:tc>
        <w:tc>
          <w:tcPr>
            <w:tcW w:w="1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Healthcare and Pharmaceuticals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7.25%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L+575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3,465,000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3,434,951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3,447,675</w:t>
            </w: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rPr>
                <w:sz w:val="20"/>
                <w:szCs w:val="20"/>
                <w:color w:val="auto"/>
              </w:rPr>
            </w:pPr>
            <w:r>
              <w:rPr>
                <w:rFonts w:ascii="Arial" w:cs="Arial" w:eastAsia="Arial" w:hAnsi="Arial"/>
                <w:sz w:val="13"/>
                <w:szCs w:val="13"/>
                <w:color w:val="auto"/>
              </w:rPr>
              <w:t>Sutherland Global Services,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03/06/2019</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7.25%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950,000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933,530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954,750</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Systems Maintenance Services Holding,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10/18/2019</w:t>
            </w:r>
          </w:p>
        </w:tc>
        <w:tc>
          <w:tcPr>
            <w:tcW w:w="1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High Tech Industries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5.25%</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L+425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5,985,000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5,958,112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5,955,075</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rPr>
                <w:sz w:val="20"/>
                <w:szCs w:val="20"/>
                <w:color w:val="auto"/>
              </w:rPr>
            </w:pPr>
            <w:r>
              <w:rPr>
                <w:rFonts w:ascii="Arial" w:cs="Arial" w:eastAsia="Arial" w:hAnsi="Arial"/>
                <w:sz w:val="13"/>
                <w:szCs w:val="13"/>
                <w:color w:val="auto"/>
              </w:rPr>
              <w:t>The Active Network, Inc. and Lanyon, Inc.</w:t>
            </w:r>
          </w:p>
        </w:tc>
        <w:tc>
          <w:tcPr>
            <w:tcW w:w="620" w:type="dxa"/>
            <w:vAlign w:val="bottom"/>
          </w:tcPr>
          <w:p>
            <w:pPr>
              <w:jc w:val="center"/>
              <w:spacing w:after="0"/>
              <w:rPr>
                <w:sz w:val="20"/>
                <w:szCs w:val="20"/>
                <w:color w:val="auto"/>
              </w:rPr>
            </w:pPr>
            <w:r>
              <w:rPr>
                <w:rFonts w:ascii="Arial" w:cs="Arial" w:eastAsia="Arial" w:hAnsi="Arial"/>
                <w:sz w:val="13"/>
                <w:szCs w:val="13"/>
                <w:color w:val="auto"/>
                <w:w w:val="92"/>
              </w:rPr>
              <w:t>11/13/2020</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High Tech Industries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5.50%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L+450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1,995,000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1,986,016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2,011,219</w:t>
            </w:r>
          </w:p>
        </w:tc>
        <w:tc>
          <w:tcPr>
            <w:tcW w:w="0" w:type="dxa"/>
            <w:vAlign w:val="bottom"/>
          </w:tcPr>
          <w:p>
            <w:pPr>
              <w:spacing w:after="0"/>
              <w:rPr>
                <w:sz w:val="1"/>
                <w:szCs w:val="1"/>
                <w:color w:val="auto"/>
              </w:rPr>
            </w:pPr>
          </w:p>
        </w:tc>
      </w:tr>
      <w:tr>
        <w:trPr>
          <w:trHeight w:val="138"/>
        </w:trPr>
        <w:tc>
          <w:tcPr>
            <w:tcW w:w="3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The National Underwriter Company</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05/31/2018</w:t>
            </w:r>
          </w:p>
        </w:tc>
        <w:tc>
          <w:tcPr>
            <w:tcW w:w="10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6"/>
              </w:rPr>
              <w:t>Media: Advertising, Printing and</w:t>
            </w:r>
          </w:p>
        </w:tc>
        <w:tc>
          <w:tcPr>
            <w:tcW w:w="96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6.00%</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L+475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4,246,875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4,212,298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4,246,875</w:t>
            </w: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Publishing</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rPr>
                <w:sz w:val="20"/>
                <w:szCs w:val="20"/>
                <w:color w:val="auto"/>
              </w:rPr>
            </w:pPr>
            <w:r>
              <w:rPr>
                <w:rFonts w:ascii="Arial" w:cs="Arial" w:eastAsia="Arial" w:hAnsi="Arial"/>
                <w:sz w:val="13"/>
                <w:szCs w:val="13"/>
                <w:color w:val="auto"/>
              </w:rPr>
              <w:t>Therakos,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12/27/2017</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Healthcare and Pharmaceuticals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7.50%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L+625</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4,952,467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4,871,857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4,981,340</w:t>
            </w:r>
          </w:p>
        </w:tc>
        <w:tc>
          <w:tcPr>
            <w:tcW w:w="0" w:type="dxa"/>
            <w:vAlign w:val="bottom"/>
          </w:tcPr>
          <w:p>
            <w:pPr>
              <w:spacing w:after="0"/>
              <w:rPr>
                <w:sz w:val="1"/>
                <w:szCs w:val="1"/>
                <w:color w:val="auto"/>
              </w:rPr>
            </w:pPr>
          </w:p>
        </w:tc>
      </w:tr>
      <w:tr>
        <w:trPr>
          <w:trHeight w:val="138"/>
        </w:trPr>
        <w:tc>
          <w:tcPr>
            <w:tcW w:w="37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5"/>
                <w:szCs w:val="15"/>
                <w:color w:val="auto"/>
                <w:vertAlign w:val="superscript"/>
              </w:rPr>
              <w:t>(8)</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04/16/2018</w:t>
            </w:r>
          </w:p>
        </w:tc>
        <w:tc>
          <w:tcPr>
            <w:tcW w:w="10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Telecommunications</w:t>
            </w:r>
          </w:p>
        </w:tc>
        <w:tc>
          <w:tcPr>
            <w:tcW w:w="96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15.00%</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L+1,350</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2,145,377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2,111,300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2,145,377</w:t>
            </w:r>
          </w:p>
        </w:tc>
        <w:tc>
          <w:tcPr>
            <w:tcW w:w="0" w:type="dxa"/>
            <w:vAlign w:val="bottom"/>
          </w:tcPr>
          <w:p>
            <w:pPr>
              <w:spacing w:after="0"/>
              <w:rPr>
                <w:sz w:val="1"/>
                <w:szCs w:val="1"/>
                <w:color w:val="auto"/>
              </w:rPr>
            </w:pPr>
          </w:p>
        </w:tc>
      </w:tr>
      <w:tr>
        <w:trPr>
          <w:trHeight w:val="173"/>
        </w:trPr>
        <w:tc>
          <w:tcPr>
            <w:tcW w:w="3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(PIK 4.00%)</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rPr>
                <w:sz w:val="20"/>
                <w:szCs w:val="20"/>
                <w:color w:val="auto"/>
              </w:rPr>
            </w:pPr>
            <w:r>
              <w:rPr>
                <w:rFonts w:ascii="Arial" w:cs="Arial" w:eastAsia="Arial" w:hAnsi="Arial"/>
                <w:sz w:val="13"/>
                <w:szCs w:val="13"/>
                <w:color w:val="auto"/>
              </w:rPr>
              <w:t>Univita Health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06/19/2017</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Consumer Services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6.50%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2,917,500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2,901,177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2,805,672</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12/22/2016</w:t>
            </w:r>
          </w:p>
        </w:tc>
        <w:tc>
          <w:tcPr>
            <w:tcW w:w="1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7.26%</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L+550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2,940,663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2,928,116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1,749,695</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rPr>
                <w:sz w:val="20"/>
                <w:szCs w:val="20"/>
                <w:color w:val="auto"/>
              </w:rPr>
            </w:pPr>
            <w:r>
              <w:rPr>
                <w:rFonts w:ascii="Arial" w:cs="Arial" w:eastAsia="Arial" w:hAnsi="Arial"/>
                <w:sz w:val="13"/>
                <w:szCs w:val="13"/>
                <w:color w:val="auto"/>
              </w:rPr>
              <w:t>Wilton Brands,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08/30/2018</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4"/>
              </w:rPr>
              <w:t>Consumer Goods: Non-Durable</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7.52%</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L+625</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3,145,000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3,097,956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2,990,895</w:t>
            </w:r>
          </w:p>
        </w:tc>
        <w:tc>
          <w:tcPr>
            <w:tcW w:w="0" w:type="dxa"/>
            <w:vAlign w:val="bottom"/>
          </w:tcPr>
          <w:p>
            <w:pPr>
              <w:spacing w:after="0"/>
              <w:rPr>
                <w:sz w:val="1"/>
                <w:szCs w:val="1"/>
                <w:color w:val="auto"/>
              </w:rPr>
            </w:pPr>
          </w:p>
        </w:tc>
      </w:tr>
      <w:tr>
        <w:trPr>
          <w:trHeight w:val="138"/>
        </w:trPr>
        <w:tc>
          <w:tcPr>
            <w:tcW w:w="37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YP LLC </w:t>
            </w:r>
            <w:r>
              <w:rPr>
                <w:rFonts w:ascii="Arial" w:cs="Arial" w:eastAsia="Arial" w:hAnsi="Arial"/>
                <w:sz w:val="15"/>
                <w:szCs w:val="15"/>
                <w:color w:val="auto"/>
                <w:vertAlign w:val="superscript"/>
              </w:rPr>
              <w:t>(8)</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06/04/2018</w:t>
            </w:r>
          </w:p>
        </w:tc>
        <w:tc>
          <w:tcPr>
            <w:tcW w:w="10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6"/>
              </w:rPr>
              <w:t>Media: Advertising, Printing and</w:t>
            </w:r>
          </w:p>
        </w:tc>
        <w:tc>
          <w:tcPr>
            <w:tcW w:w="96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8.03%</w:t>
            </w:r>
          </w:p>
        </w:tc>
        <w:tc>
          <w:tcPr>
            <w:tcW w:w="820" w:type="dxa"/>
            <w:vAlign w:val="bottom"/>
            <w:gridSpan w:val="2"/>
            <w:shd w:val="clear" w:color="auto" w:fill="CCEEFF"/>
          </w:tcPr>
          <w:p>
            <w:pPr>
              <w:jc w:val="right"/>
              <w:ind w:right="180"/>
              <w:spacing w:after="0" w:line="138" w:lineRule="exact"/>
              <w:rPr>
                <w:sz w:val="20"/>
                <w:szCs w:val="20"/>
                <w:color w:val="auto"/>
              </w:rPr>
            </w:pPr>
            <w:r>
              <w:rPr>
                <w:rFonts w:ascii="Arial" w:cs="Arial" w:eastAsia="Arial" w:hAnsi="Arial"/>
                <w:sz w:val="13"/>
                <w:szCs w:val="13"/>
                <w:color w:val="auto"/>
              </w:rPr>
              <w:t>L+675</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3,662,112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3,583,406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3,691,116</w:t>
            </w: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Publishing</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rPr>
                <w:sz w:val="20"/>
                <w:szCs w:val="20"/>
                <w:color w:val="auto"/>
              </w:rPr>
            </w:pPr>
            <w:r>
              <w:rPr>
                <w:rFonts w:ascii="Arial" w:cs="Arial" w:eastAsia="Arial" w:hAnsi="Arial"/>
                <w:sz w:val="13"/>
                <w:szCs w:val="13"/>
                <w:color w:val="auto"/>
              </w:rPr>
              <w:t>Zest Anchors,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08/17/2020</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Healthcare and Pharmaceuticals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6.50%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L+550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8,955,000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8,791,253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8,955,000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340,116,611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342,243,375</w:t>
            </w:r>
          </w:p>
        </w:tc>
        <w:tc>
          <w:tcPr>
            <w:tcW w:w="0" w:type="dxa"/>
            <w:vAlign w:val="bottom"/>
          </w:tcPr>
          <w:p>
            <w:pPr>
              <w:spacing w:after="0"/>
              <w:rPr>
                <w:sz w:val="1"/>
                <w:szCs w:val="1"/>
                <w:color w:val="auto"/>
              </w:rPr>
            </w:pPr>
          </w:p>
        </w:tc>
      </w:tr>
      <w:tr>
        <w:trPr>
          <w:trHeight w:val="155"/>
        </w:trPr>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Second Lien Secured Debt—15.1%</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09/01/2017</w:t>
            </w:r>
          </w:p>
        </w:tc>
        <w:tc>
          <w:tcPr>
            <w:tcW w:w="1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8"/>
              </w:rPr>
              <w:t>Metals and Mining</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11.50%</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3,120,000</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rPr>
                <w:sz w:val="20"/>
                <w:szCs w:val="20"/>
                <w:color w:val="auto"/>
              </w:rPr>
            </w:pPr>
            <w:r>
              <w:rPr>
                <w:rFonts w:ascii="Arial" w:cs="Arial" w:eastAsia="Arial" w:hAnsi="Arial"/>
                <w:sz w:val="13"/>
                <w:szCs w:val="13"/>
                <w:color w:val="auto"/>
              </w:rPr>
              <w:t>Arsloane Acquisition,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10/01/2020</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Business Services</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11.75%</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L+1,050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5,500,000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5,418,945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5,555,000</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10/02/2019</w:t>
            </w:r>
          </w:p>
        </w:tc>
        <w:tc>
          <w:tcPr>
            <w:tcW w:w="1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5"/>
              </w:rPr>
              <w:t>Hotel, Gaming and Leisure</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L+875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1,700,000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1,672,822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1,525,750</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Carolina Beverage Group, LLC </w:t>
            </w:r>
            <w:r>
              <w:rPr>
                <w:rFonts w:ascii="Arial" w:cs="Arial" w:eastAsia="Arial" w:hAnsi="Arial"/>
                <w:sz w:val="17"/>
                <w:szCs w:val="17"/>
                <w:color w:val="auto"/>
                <w:vertAlign w:val="superscript"/>
              </w:rPr>
              <w:t>(5),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08/01/2018</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1"/>
              </w:rPr>
              <w:t>Beverage, Food and Tobacco</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10.63%</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3,500,000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3,500,000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3,780,000</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ILC Industries,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06/14/2019</w:t>
            </w:r>
          </w:p>
        </w:tc>
        <w:tc>
          <w:tcPr>
            <w:tcW w:w="1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High Tech Industries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11.50%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L+1,000</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1,925,151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1,960,000</w:t>
            </w: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J.A. Cosmetics Holdings, Inc.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07/31/2019</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Consumer Goods: Durable</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11.00%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L+1,000</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4,000,000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3,922,837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3,971,965</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Language Line,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12/20/2016</w:t>
            </w:r>
          </w:p>
        </w:tc>
        <w:tc>
          <w:tcPr>
            <w:tcW w:w="1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1"/>
              </w:rPr>
              <w:t>Consumer Services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10.50%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L+875</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7,100,000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7,008,389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7,015,723</w:t>
            </w: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Penton Media, Inc.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10/02/2020</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Media: Diversified and Production</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9.00%</w:t>
            </w:r>
          </w:p>
        </w:tc>
        <w:tc>
          <w:tcPr>
            <w:tcW w:w="820" w:type="dxa"/>
            <w:vAlign w:val="bottom"/>
            <w:gridSpan w:val="2"/>
          </w:tcPr>
          <w:p>
            <w:pPr>
              <w:jc w:val="right"/>
              <w:ind w:right="180"/>
              <w:spacing w:after="0"/>
              <w:rPr>
                <w:sz w:val="20"/>
                <w:szCs w:val="20"/>
                <w:color w:val="auto"/>
              </w:rPr>
            </w:pPr>
            <w:r>
              <w:rPr>
                <w:rFonts w:ascii="Arial" w:cs="Arial" w:eastAsia="Arial" w:hAnsi="Arial"/>
                <w:sz w:val="13"/>
                <w:szCs w:val="13"/>
                <w:color w:val="auto"/>
              </w:rPr>
              <w:t>L+775</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5,600,000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5,523,556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5,646,648</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8"/>
              </w:rPr>
              <w:t>31,971,700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32,575,086</w:t>
            </w:r>
          </w:p>
        </w:tc>
        <w:tc>
          <w:tcPr>
            <w:tcW w:w="0" w:type="dxa"/>
            <w:vAlign w:val="bottom"/>
          </w:tcPr>
          <w:p>
            <w:pPr>
              <w:spacing w:after="0"/>
              <w:rPr>
                <w:sz w:val="1"/>
                <w:szCs w:val="1"/>
                <w:color w:val="auto"/>
              </w:rPr>
            </w:pPr>
          </w:p>
        </w:tc>
      </w:tr>
      <w:tr>
        <w:trPr>
          <w:trHeight w:val="155"/>
        </w:trPr>
        <w:tc>
          <w:tcPr>
            <w:tcW w:w="370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Notes—5.9%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7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Affinion Group Holdings, Inc. </w:t>
            </w:r>
            <w:r>
              <w:rPr>
                <w:rFonts w:ascii="Arial" w:cs="Arial" w:eastAsia="Arial" w:hAnsi="Arial"/>
                <w:sz w:val="15"/>
                <w:szCs w:val="15"/>
                <w:color w:val="auto"/>
                <w:vertAlign w:val="superscript"/>
              </w:rPr>
              <w:t>(5)</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09/14/2018</w:t>
            </w:r>
          </w:p>
        </w:tc>
        <w:tc>
          <w:tcPr>
            <w:tcW w:w="10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jc w:val="center"/>
              <w:ind w:right="100"/>
              <w:spacing w:after="0" w:line="138" w:lineRule="exact"/>
              <w:rPr>
                <w:sz w:val="20"/>
                <w:szCs w:val="20"/>
                <w:color w:val="auto"/>
              </w:rPr>
            </w:pPr>
            <w:r>
              <w:rPr>
                <w:rFonts w:ascii="Arial" w:cs="Arial" w:eastAsia="Arial" w:hAnsi="Arial"/>
                <w:sz w:val="13"/>
                <w:szCs w:val="13"/>
                <w:color w:val="auto"/>
                <w:w w:val="93"/>
              </w:rPr>
              <w:t>Consumer Goods: Durable</w:t>
            </w:r>
          </w:p>
        </w:tc>
        <w:tc>
          <w:tcPr>
            <w:tcW w:w="96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14.50%</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4,735,000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3,967,153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4,119,450</w:t>
            </w:r>
          </w:p>
        </w:tc>
        <w:tc>
          <w:tcPr>
            <w:tcW w:w="0" w:type="dxa"/>
            <w:vAlign w:val="bottom"/>
          </w:tcPr>
          <w:p>
            <w:pPr>
              <w:spacing w:after="0"/>
              <w:rPr>
                <w:sz w:val="1"/>
                <w:szCs w:val="1"/>
                <w:color w:val="auto"/>
              </w:rPr>
            </w:pPr>
          </w:p>
        </w:tc>
      </w:tr>
      <w:tr>
        <w:trPr>
          <w:trHeight w:val="173"/>
        </w:trPr>
        <w:tc>
          <w:tcPr>
            <w:tcW w:w="35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93"/>
              <w:spacing w:after="0"/>
              <w:rPr>
                <w:sz w:val="20"/>
                <w:szCs w:val="20"/>
                <w:color w:val="auto"/>
              </w:rPr>
            </w:pPr>
            <w:r>
              <w:rPr>
                <w:rFonts w:ascii="Arial" w:cs="Arial" w:eastAsia="Arial" w:hAnsi="Arial"/>
                <w:sz w:val="13"/>
                <w:szCs w:val="13"/>
                <w:color w:val="auto"/>
              </w:rPr>
              <w:t>(PIK 14.50%)</w:t>
            </w:r>
          </w:p>
        </w:tc>
        <w:tc>
          <w:tcPr>
            <w:tcW w:w="6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Affinion Investments LLC </w:t>
            </w:r>
            <w:r>
              <w:rPr>
                <w:rFonts w:ascii="Arial" w:cs="Arial" w:eastAsia="Arial" w:hAnsi="Arial"/>
                <w:sz w:val="17"/>
                <w:szCs w:val="17"/>
                <w:color w:val="auto"/>
                <w:vertAlign w:val="superscript"/>
              </w:rPr>
              <w:t>(5)</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08/15/2018</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Consumer Goods: Durable</w:t>
            </w:r>
          </w:p>
        </w:tc>
        <w:tc>
          <w:tcPr>
            <w:tcW w:w="960" w:type="dxa"/>
            <w:vAlign w:val="bottom"/>
            <w:gridSpan w:val="2"/>
          </w:tcPr>
          <w:p>
            <w:pPr>
              <w:jc w:val="right"/>
              <w:ind w:right="133"/>
              <w:spacing w:after="0"/>
              <w:rPr>
                <w:sz w:val="20"/>
                <w:szCs w:val="20"/>
                <w:color w:val="auto"/>
              </w:rPr>
            </w:pPr>
            <w:r>
              <w:rPr>
                <w:rFonts w:ascii="Arial" w:cs="Arial" w:eastAsia="Arial" w:hAnsi="Arial"/>
                <w:sz w:val="13"/>
                <w:szCs w:val="13"/>
                <w:color w:val="auto"/>
              </w:rPr>
              <w:t>13.50%</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1,734,000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1,745,441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1,760,010</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Credit Infonet,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10/26/2018</w:t>
            </w:r>
          </w:p>
        </w:tc>
        <w:tc>
          <w:tcPr>
            <w:tcW w:w="1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High Tech Industries</w:t>
            </w:r>
          </w:p>
        </w:tc>
        <w:tc>
          <w:tcPr>
            <w:tcW w:w="960" w:type="dxa"/>
            <w:vAlign w:val="bottom"/>
            <w:gridSpan w:val="2"/>
            <w:shd w:val="clear" w:color="auto" w:fill="CCEEFF"/>
          </w:tcPr>
          <w:p>
            <w:pPr>
              <w:jc w:val="right"/>
              <w:ind w:right="133"/>
              <w:spacing w:after="0"/>
              <w:rPr>
                <w:sz w:val="20"/>
                <w:szCs w:val="20"/>
                <w:color w:val="auto"/>
              </w:rPr>
            </w:pPr>
            <w:r>
              <w:rPr>
                <w:rFonts w:ascii="Arial" w:cs="Arial" w:eastAsia="Arial" w:hAnsi="Arial"/>
                <w:sz w:val="13"/>
                <w:szCs w:val="13"/>
                <w:color w:val="auto"/>
              </w:rPr>
              <w:t>12.25%</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1,987,500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1,952,693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1,962,598</w:t>
            </w:r>
          </w:p>
        </w:tc>
        <w:tc>
          <w:tcPr>
            <w:tcW w:w="0" w:type="dxa"/>
            <w:vAlign w:val="bottom"/>
          </w:tcPr>
          <w:p>
            <w:pPr>
              <w:spacing w:after="0"/>
              <w:rPr>
                <w:sz w:val="1"/>
                <w:szCs w:val="1"/>
                <w:color w:val="auto"/>
              </w:rPr>
            </w:pPr>
          </w:p>
        </w:tc>
      </w:tr>
      <w:tr>
        <w:trPr>
          <w:trHeight w:val="138"/>
        </w:trPr>
        <w:tc>
          <w:tcPr>
            <w:tcW w:w="3700" w:type="dxa"/>
            <w:vAlign w:val="bottom"/>
            <w:gridSpan w:val="2"/>
          </w:tcPr>
          <w:p>
            <w:pPr>
              <w:spacing w:after="0" w:line="138" w:lineRule="exact"/>
              <w:rPr>
                <w:sz w:val="20"/>
                <w:szCs w:val="20"/>
                <w:color w:val="auto"/>
              </w:rPr>
            </w:pPr>
            <w:r>
              <w:rPr>
                <w:rFonts w:ascii="Arial" w:cs="Arial" w:eastAsia="Arial" w:hAnsi="Arial"/>
                <w:sz w:val="13"/>
                <w:szCs w:val="13"/>
                <w:color w:val="auto"/>
              </w:rPr>
              <w:t>Varel International Energy Mezzanine Funding Corp.</w:t>
            </w:r>
          </w:p>
        </w:tc>
        <w:tc>
          <w:tcPr>
            <w:tcW w:w="620" w:type="dxa"/>
            <w:vAlign w:val="bottom"/>
          </w:tcPr>
          <w:p>
            <w:pPr>
              <w:jc w:val="center"/>
              <w:spacing w:after="0" w:line="138" w:lineRule="exact"/>
              <w:rPr>
                <w:sz w:val="20"/>
                <w:szCs w:val="20"/>
                <w:color w:val="auto"/>
              </w:rPr>
            </w:pPr>
            <w:r>
              <w:rPr>
                <w:rFonts w:ascii="Arial" w:cs="Arial" w:eastAsia="Arial" w:hAnsi="Arial"/>
                <w:sz w:val="13"/>
                <w:szCs w:val="13"/>
                <w:color w:val="auto"/>
                <w:w w:val="95"/>
              </w:rPr>
              <w:t>01/15/2018</w:t>
            </w:r>
          </w:p>
        </w:tc>
        <w:tc>
          <w:tcPr>
            <w:tcW w:w="100" w:type="dxa"/>
            <w:vAlign w:val="bottom"/>
          </w:tcPr>
          <w:p>
            <w:pPr>
              <w:spacing w:after="0"/>
              <w:rPr>
                <w:sz w:val="11"/>
                <w:szCs w:val="11"/>
                <w:color w:val="auto"/>
              </w:rPr>
            </w:pPr>
          </w:p>
        </w:tc>
        <w:tc>
          <w:tcPr>
            <w:tcW w:w="2420" w:type="dxa"/>
            <w:vAlign w:val="bottom"/>
            <w:gridSpan w:val="2"/>
          </w:tcPr>
          <w:p>
            <w:pPr>
              <w:jc w:val="center"/>
              <w:ind w:right="120"/>
              <w:spacing w:after="0" w:line="138" w:lineRule="exact"/>
              <w:rPr>
                <w:sz w:val="20"/>
                <w:szCs w:val="20"/>
                <w:color w:val="auto"/>
              </w:rPr>
            </w:pPr>
            <w:r>
              <w:rPr>
                <w:rFonts w:ascii="Arial" w:cs="Arial" w:eastAsia="Arial" w:hAnsi="Arial"/>
                <w:sz w:val="13"/>
                <w:szCs w:val="13"/>
                <w:color w:val="auto"/>
                <w:w w:val="93"/>
              </w:rPr>
              <w:t>Energy: Oil and Gas</w:t>
            </w:r>
          </w:p>
        </w:tc>
        <w:tc>
          <w:tcPr>
            <w:tcW w:w="960" w:type="dxa"/>
            <w:vAlign w:val="bottom"/>
            <w:gridSpan w:val="2"/>
          </w:tcPr>
          <w:p>
            <w:pPr>
              <w:jc w:val="right"/>
              <w:ind w:right="133"/>
              <w:spacing w:after="0" w:line="138" w:lineRule="exact"/>
              <w:rPr>
                <w:sz w:val="20"/>
                <w:szCs w:val="20"/>
                <w:color w:val="auto"/>
              </w:rPr>
            </w:pPr>
            <w:r>
              <w:rPr>
                <w:rFonts w:ascii="Arial" w:cs="Arial" w:eastAsia="Arial" w:hAnsi="Arial"/>
                <w:sz w:val="13"/>
                <w:szCs w:val="13"/>
                <w:color w:val="auto"/>
              </w:rPr>
              <w:t>14.00%</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1,847,740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1,818,668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1,995,559</w:t>
            </w:r>
          </w:p>
        </w:tc>
        <w:tc>
          <w:tcPr>
            <w:tcW w:w="0" w:type="dxa"/>
            <w:vAlign w:val="bottom"/>
          </w:tcPr>
          <w:p>
            <w:pPr>
              <w:spacing w:after="0"/>
              <w:rPr>
                <w:sz w:val="1"/>
                <w:szCs w:val="1"/>
                <w:color w:val="auto"/>
              </w:rPr>
            </w:pPr>
          </w:p>
        </w:tc>
      </w:tr>
      <w:tr>
        <w:trPr>
          <w:trHeight w:val="173"/>
        </w:trPr>
        <w:tc>
          <w:tcPr>
            <w:tcW w:w="3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93"/>
              <w:spacing w:after="0"/>
              <w:rPr>
                <w:sz w:val="20"/>
                <w:szCs w:val="20"/>
                <w:color w:val="auto"/>
              </w:rPr>
            </w:pPr>
            <w:r>
              <w:rPr>
                <w:rFonts w:ascii="Arial" w:cs="Arial" w:eastAsia="Arial" w:hAnsi="Arial"/>
                <w:sz w:val="13"/>
                <w:szCs w:val="13"/>
                <w:color w:val="auto"/>
              </w:rPr>
              <w:t>(PIK 4.00%)</w:t>
            </w: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Vestcom International, Inc.</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06/27/2019</w:t>
            </w:r>
          </w:p>
        </w:tc>
        <w:tc>
          <w:tcPr>
            <w:tcW w:w="10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6"/>
              </w:rPr>
              <w:t>Media: Advertising, Printing and</w:t>
            </w:r>
          </w:p>
        </w:tc>
        <w:tc>
          <w:tcPr>
            <w:tcW w:w="960" w:type="dxa"/>
            <w:vAlign w:val="bottom"/>
            <w:gridSpan w:val="2"/>
            <w:shd w:val="clear" w:color="auto" w:fill="CCEEFF"/>
          </w:tcPr>
          <w:p>
            <w:pPr>
              <w:jc w:val="right"/>
              <w:ind w:right="133"/>
              <w:spacing w:after="0" w:line="138" w:lineRule="exact"/>
              <w:rPr>
                <w:sz w:val="20"/>
                <w:szCs w:val="20"/>
                <w:color w:val="auto"/>
              </w:rPr>
            </w:pPr>
            <w:r>
              <w:rPr>
                <w:rFonts w:ascii="Arial" w:cs="Arial" w:eastAsia="Arial" w:hAnsi="Arial"/>
                <w:sz w:val="13"/>
                <w:szCs w:val="13"/>
                <w:color w:val="auto"/>
              </w:rPr>
              <w:t>12.00%</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2,859,027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2,810,526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2,901,912</w:t>
            </w: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Publishing</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72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3700" w:type="dxa"/>
            <w:vAlign w:val="bottom"/>
            <w:gridSpan w:val="2"/>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w w:val="98"/>
              </w:rPr>
              <w:t>12,294,481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12,739,529</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Preferred Equity—0.2%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3700" w:type="dxa"/>
            <w:vAlign w:val="bottom"/>
            <w:gridSpan w:val="2"/>
          </w:tcPr>
          <w:p>
            <w:pPr>
              <w:spacing w:after="0" w:line="138" w:lineRule="exact"/>
              <w:rPr>
                <w:sz w:val="20"/>
                <w:szCs w:val="20"/>
                <w:color w:val="auto"/>
              </w:rPr>
            </w:pPr>
            <w:r>
              <w:rPr>
                <w:rFonts w:ascii="Arial" w:cs="Arial" w:eastAsia="Arial" w:hAnsi="Arial"/>
                <w:sz w:val="13"/>
                <w:szCs w:val="13"/>
                <w:color w:val="auto"/>
              </w:rPr>
              <w:t>J.A. Cosmetics US, Inc.</w:t>
            </w:r>
          </w:p>
        </w:tc>
        <w:tc>
          <w:tcPr>
            <w:tcW w:w="72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242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3"/>
              </w:rPr>
              <w:t>Consumer Goods: Durable</w:t>
            </w:r>
          </w:p>
        </w:tc>
        <w:tc>
          <w:tcPr>
            <w:tcW w:w="960" w:type="dxa"/>
            <w:vAlign w:val="bottom"/>
            <w:gridSpan w:val="2"/>
          </w:tcPr>
          <w:p>
            <w:pPr>
              <w:jc w:val="right"/>
              <w:ind w:right="133"/>
              <w:spacing w:after="0" w:line="138" w:lineRule="exact"/>
              <w:rPr>
                <w:sz w:val="20"/>
                <w:szCs w:val="20"/>
                <w:color w:val="auto"/>
              </w:rPr>
            </w:pPr>
            <w:r>
              <w:rPr>
                <w:rFonts w:ascii="Arial" w:cs="Arial" w:eastAsia="Arial" w:hAnsi="Arial"/>
                <w:sz w:val="13"/>
                <w:szCs w:val="13"/>
                <w:color w:val="auto"/>
              </w:rPr>
              <w:t>8.00%</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400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399,704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399,704</w:t>
            </w:r>
          </w:p>
        </w:tc>
        <w:tc>
          <w:tcPr>
            <w:tcW w:w="0" w:type="dxa"/>
            <w:vAlign w:val="bottom"/>
          </w:tcPr>
          <w:p>
            <w:pPr>
              <w:spacing w:after="0"/>
              <w:rPr>
                <w:sz w:val="1"/>
                <w:szCs w:val="1"/>
                <w:color w:val="auto"/>
              </w:rPr>
            </w:pPr>
          </w:p>
        </w:tc>
      </w:tr>
      <w:tr>
        <w:trPr>
          <w:trHeight w:val="166"/>
        </w:trPr>
        <w:tc>
          <w:tcPr>
            <w:tcW w:w="3700" w:type="dxa"/>
            <w:vAlign w:val="bottom"/>
            <w:gridSpan w:val="2"/>
          </w:tcPr>
          <w:p>
            <w:pPr>
              <w:ind w:left="220"/>
              <w:spacing w:after="0"/>
              <w:rPr>
                <w:sz w:val="20"/>
                <w:szCs w:val="20"/>
                <w:color w:val="auto"/>
              </w:rPr>
            </w:pPr>
            <w:r>
              <w:rPr>
                <w:rFonts w:ascii="Arial" w:cs="Arial" w:eastAsia="Arial" w:hAnsi="Arial"/>
                <w:sz w:val="13"/>
                <w:szCs w:val="13"/>
                <w:color w:val="auto"/>
              </w:rPr>
              <w:t>(J.A. Cosmetics Holdings, Inc.)</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Common Equity/Warrants—0.6% </w:t>
            </w:r>
            <w:r>
              <w:rPr>
                <w:rFonts w:ascii="Arial" w:cs="Arial" w:eastAsia="Arial" w:hAnsi="Arial"/>
                <w:sz w:val="17"/>
                <w:szCs w:val="17"/>
                <w:b w:val="1"/>
                <w:bCs w:val="1"/>
                <w:color w:val="auto"/>
                <w:vertAlign w:val="superscript"/>
              </w:rPr>
              <w:t>(7), (8)</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rPr>
                <w:sz w:val="20"/>
                <w:szCs w:val="20"/>
                <w:color w:val="auto"/>
              </w:rPr>
            </w:pPr>
            <w:r>
              <w:rPr>
                <w:rFonts w:ascii="Arial" w:cs="Arial" w:eastAsia="Arial" w:hAnsi="Arial"/>
                <w:sz w:val="13"/>
                <w:szCs w:val="13"/>
                <w:color w:val="auto"/>
              </w:rPr>
              <w:t>Affinion Group Holdings, Inc., Series A (Warrants)</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12/12/2023</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Consumer Goods: Durable</w:t>
            </w:r>
          </w:p>
        </w:tc>
        <w:tc>
          <w:tcPr>
            <w:tcW w:w="960" w:type="dxa"/>
            <w:vAlign w:val="bottom"/>
            <w:gridSpan w:val="2"/>
          </w:tcPr>
          <w:p>
            <w:pPr>
              <w:jc w:val="right"/>
              <w:ind w:right="31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218,316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275,222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665,864</w:t>
            </w:r>
          </w:p>
        </w:tc>
        <w:tc>
          <w:tcPr>
            <w:tcW w:w="0" w:type="dxa"/>
            <w:vAlign w:val="bottom"/>
          </w:tcPr>
          <w:p>
            <w:pPr>
              <w:spacing w:after="0"/>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 Series B (Warrants)</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12/12/2023</w:t>
            </w:r>
          </w:p>
        </w:tc>
        <w:tc>
          <w:tcPr>
            <w:tcW w:w="10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93"/>
              </w:rPr>
              <w:t>Consumer Goods: Durable</w:t>
            </w:r>
          </w:p>
        </w:tc>
        <w:tc>
          <w:tcPr>
            <w:tcW w:w="960" w:type="dxa"/>
            <w:vAlign w:val="bottom"/>
            <w:gridSpan w:val="2"/>
            <w:shd w:val="clear" w:color="auto" w:fill="CCEEFF"/>
          </w:tcPr>
          <w:p>
            <w:pPr>
              <w:jc w:val="right"/>
              <w:ind w:right="313"/>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1,135,743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34,072</w:t>
            </w:r>
          </w:p>
        </w:tc>
        <w:tc>
          <w:tcPr>
            <w:tcW w:w="0" w:type="dxa"/>
            <w:vAlign w:val="bottom"/>
          </w:tcPr>
          <w:p>
            <w:pPr>
              <w:spacing w:after="0"/>
              <w:rPr>
                <w:sz w:val="1"/>
                <w:szCs w:val="1"/>
                <w:color w:val="auto"/>
              </w:rPr>
            </w:pPr>
          </w:p>
        </w:tc>
      </w:tr>
      <w:tr>
        <w:trPr>
          <w:trHeight w:val="138"/>
        </w:trPr>
        <w:tc>
          <w:tcPr>
            <w:tcW w:w="3700" w:type="dxa"/>
            <w:vAlign w:val="bottom"/>
            <w:gridSpan w:val="2"/>
          </w:tcPr>
          <w:p>
            <w:pPr>
              <w:spacing w:after="0" w:line="138" w:lineRule="exact"/>
              <w:rPr>
                <w:sz w:val="20"/>
                <w:szCs w:val="20"/>
                <w:color w:val="auto"/>
              </w:rPr>
            </w:pPr>
            <w:r>
              <w:rPr>
                <w:rFonts w:ascii="Arial" w:cs="Arial" w:eastAsia="Arial" w:hAnsi="Arial"/>
                <w:sz w:val="13"/>
                <w:szCs w:val="13"/>
                <w:color w:val="auto"/>
              </w:rPr>
              <w:t>J.A. Cosmetics US, Inc.</w:t>
            </w:r>
          </w:p>
        </w:tc>
        <w:tc>
          <w:tcPr>
            <w:tcW w:w="72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2420" w:type="dxa"/>
            <w:vAlign w:val="bottom"/>
            <w:gridSpan w:val="2"/>
          </w:tcPr>
          <w:p>
            <w:pPr>
              <w:jc w:val="center"/>
              <w:ind w:right="100"/>
              <w:spacing w:after="0" w:line="138" w:lineRule="exact"/>
              <w:rPr>
                <w:sz w:val="20"/>
                <w:szCs w:val="20"/>
                <w:color w:val="auto"/>
              </w:rPr>
            </w:pPr>
            <w:r>
              <w:rPr>
                <w:rFonts w:ascii="Arial" w:cs="Arial" w:eastAsia="Arial" w:hAnsi="Arial"/>
                <w:sz w:val="13"/>
                <w:szCs w:val="13"/>
                <w:color w:val="auto"/>
                <w:w w:val="93"/>
              </w:rPr>
              <w:t>Consumer Goods: Durable</w:t>
            </w:r>
          </w:p>
        </w:tc>
        <w:tc>
          <w:tcPr>
            <w:tcW w:w="960" w:type="dxa"/>
            <w:vAlign w:val="bottom"/>
            <w:gridSpan w:val="2"/>
          </w:tcPr>
          <w:p>
            <w:pPr>
              <w:jc w:val="right"/>
              <w:ind w:right="313"/>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30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tcPr>
          <w:p>
            <w:pPr>
              <w:jc w:val="right"/>
              <w:ind w:right="100"/>
              <w:spacing w:after="0" w:line="138" w:lineRule="exact"/>
              <w:rPr>
                <w:sz w:val="20"/>
                <w:szCs w:val="20"/>
                <w:color w:val="auto"/>
              </w:rPr>
            </w:pPr>
            <w:r>
              <w:rPr>
                <w:rFonts w:ascii="Arial" w:cs="Arial" w:eastAsia="Arial" w:hAnsi="Arial"/>
                <w:sz w:val="13"/>
                <w:szCs w:val="13"/>
                <w:color w:val="auto"/>
              </w:rPr>
              <w:t>296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18,037</w:t>
            </w:r>
          </w:p>
        </w:tc>
        <w:tc>
          <w:tcPr>
            <w:tcW w:w="0" w:type="dxa"/>
            <w:vAlign w:val="bottom"/>
          </w:tcPr>
          <w:p>
            <w:pPr>
              <w:spacing w:after="0"/>
              <w:rPr>
                <w:sz w:val="1"/>
                <w:szCs w:val="1"/>
                <w:color w:val="auto"/>
              </w:rPr>
            </w:pPr>
          </w:p>
        </w:tc>
      </w:tr>
      <w:tr>
        <w:trPr>
          <w:trHeight w:val="159"/>
        </w:trPr>
        <w:tc>
          <w:tcPr>
            <w:tcW w:w="3700" w:type="dxa"/>
            <w:vAlign w:val="bottom"/>
            <w:gridSpan w:val="2"/>
          </w:tcPr>
          <w:p>
            <w:pPr>
              <w:ind w:left="220"/>
              <w:spacing w:after="0"/>
              <w:rPr>
                <w:sz w:val="20"/>
                <w:szCs w:val="20"/>
                <w:color w:val="auto"/>
              </w:rPr>
            </w:pPr>
            <w:r>
              <w:rPr>
                <w:rFonts w:ascii="Arial" w:cs="Arial" w:eastAsia="Arial" w:hAnsi="Arial"/>
                <w:sz w:val="13"/>
                <w:szCs w:val="13"/>
                <w:color w:val="auto"/>
              </w:rPr>
              <w:t>(J.A. Cosmetics Holdings, Inc.)</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Old Guard Risk Services, Inc. (Warrants)</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2"/>
              </w:rPr>
              <w:t>11/27/2023</w:t>
            </w:r>
          </w:p>
        </w:tc>
        <w:tc>
          <w:tcPr>
            <w:tcW w:w="100" w:type="dxa"/>
            <w:vAlign w:val="bottom"/>
            <w:shd w:val="clear" w:color="auto" w:fill="CCEEFF"/>
          </w:tcPr>
          <w:p>
            <w:pPr>
              <w:spacing w:after="0"/>
              <w:rPr>
                <w:sz w:val="11"/>
                <w:szCs w:val="11"/>
                <w:color w:val="auto"/>
              </w:rPr>
            </w:pPr>
          </w:p>
        </w:tc>
        <w:tc>
          <w:tcPr>
            <w:tcW w:w="24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3"/>
              </w:rPr>
              <w:t>Banking, Finance, Insurance and Real</w:t>
            </w:r>
          </w:p>
        </w:tc>
        <w:tc>
          <w:tcPr>
            <w:tcW w:w="960" w:type="dxa"/>
            <w:vAlign w:val="bottom"/>
            <w:gridSpan w:val="2"/>
            <w:shd w:val="clear" w:color="auto" w:fill="CCEEFF"/>
          </w:tcPr>
          <w:p>
            <w:pPr>
              <w:jc w:val="right"/>
              <w:ind w:right="313"/>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4,175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58,241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91,866</w:t>
            </w:r>
          </w:p>
        </w:tc>
        <w:tc>
          <w:tcPr>
            <w:tcW w:w="0" w:type="dxa"/>
            <w:vAlign w:val="bottom"/>
          </w:tcPr>
          <w:p>
            <w:pPr>
              <w:spacing w:after="0"/>
              <w:rPr>
                <w:sz w:val="1"/>
                <w:szCs w:val="1"/>
                <w:color w:val="auto"/>
              </w:rPr>
            </w:pPr>
          </w:p>
        </w:tc>
      </w:tr>
      <w:tr>
        <w:trPr>
          <w:trHeight w:val="159"/>
        </w:trPr>
        <w:tc>
          <w:tcPr>
            <w:tcW w:w="35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jc w:val="center"/>
              <w:ind w:right="100"/>
              <w:spacing w:after="0"/>
              <w:rPr>
                <w:sz w:val="20"/>
                <w:szCs w:val="20"/>
                <w:color w:val="auto"/>
              </w:rPr>
            </w:pPr>
            <w:r>
              <w:rPr>
                <w:rFonts w:ascii="Arial" w:cs="Arial" w:eastAsia="Arial" w:hAnsi="Arial"/>
                <w:sz w:val="13"/>
                <w:szCs w:val="13"/>
                <w:color w:val="auto"/>
                <w:w w:val="86"/>
              </w:rPr>
              <w:t>Estate</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700" w:type="dxa"/>
            <w:vAlign w:val="bottom"/>
            <w:gridSpan w:val="2"/>
          </w:tcPr>
          <w:p>
            <w:pPr>
              <w:spacing w:after="0"/>
              <w:rPr>
                <w:sz w:val="20"/>
                <w:szCs w:val="20"/>
                <w:color w:val="auto"/>
              </w:rPr>
            </w:pPr>
            <w:r>
              <w:rPr>
                <w:rFonts w:ascii="Arial" w:cs="Arial" w:eastAsia="Arial" w:hAnsi="Arial"/>
                <w:sz w:val="13"/>
                <w:szCs w:val="13"/>
                <w:color w:val="auto"/>
              </w:rPr>
              <w:t>UniTek Global Services, Inc. (Warrants)</w:t>
            </w:r>
          </w:p>
        </w:tc>
        <w:tc>
          <w:tcPr>
            <w:tcW w:w="720" w:type="dxa"/>
            <w:vAlign w:val="bottom"/>
            <w:gridSpan w:val="2"/>
          </w:tcPr>
          <w:p>
            <w:pPr>
              <w:ind w:left="200"/>
              <w:spacing w:after="0"/>
              <w:rPr>
                <w:sz w:val="20"/>
                <w:szCs w:val="20"/>
                <w:color w:val="auto"/>
              </w:rPr>
            </w:pPr>
            <w:r>
              <w:rPr>
                <w:rFonts w:ascii="Arial" w:cs="Arial" w:eastAsia="Arial" w:hAnsi="Arial"/>
                <w:sz w:val="13"/>
                <w:szCs w:val="13"/>
                <w:color w:val="auto"/>
              </w:rPr>
              <w:t>—</w:t>
            </w: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3"/>
              </w:rPr>
              <w:t>Telecommunications</w:t>
            </w:r>
          </w:p>
        </w:tc>
        <w:tc>
          <w:tcPr>
            <w:tcW w:w="960" w:type="dxa"/>
            <w:vAlign w:val="bottom"/>
            <w:gridSpan w:val="2"/>
          </w:tcPr>
          <w:p>
            <w:pPr>
              <w:jc w:val="right"/>
              <w:ind w:right="31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56,717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95,285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102,658</w:t>
            </w:r>
          </w:p>
        </w:tc>
        <w:tc>
          <w:tcPr>
            <w:tcW w:w="0" w:type="dxa"/>
            <w:vAlign w:val="bottom"/>
          </w:tcPr>
          <w:p>
            <w:pPr>
              <w:spacing w:after="0"/>
              <w:rPr>
                <w:sz w:val="1"/>
                <w:szCs w:val="1"/>
                <w:color w:val="auto"/>
              </w:rPr>
            </w:pPr>
          </w:p>
        </w:tc>
      </w:tr>
      <w:tr>
        <w:trPr>
          <w:trHeight w:val="138"/>
        </w:trPr>
        <w:tc>
          <w:tcPr>
            <w:tcW w:w="370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Vestcom Parent Holdings, Inc.</w:t>
            </w:r>
          </w:p>
        </w:tc>
        <w:tc>
          <w:tcPr>
            <w:tcW w:w="720" w:type="dxa"/>
            <w:vAlign w:val="bottom"/>
            <w:gridSpan w:val="2"/>
            <w:shd w:val="clear" w:color="auto" w:fill="CCEEFF"/>
          </w:tcPr>
          <w:p>
            <w:pPr>
              <w:ind w:left="200"/>
              <w:spacing w:after="0" w:line="138" w:lineRule="exact"/>
              <w:rPr>
                <w:sz w:val="20"/>
                <w:szCs w:val="20"/>
                <w:color w:val="auto"/>
              </w:rPr>
            </w:pPr>
            <w:r>
              <w:rPr>
                <w:rFonts w:ascii="Arial" w:cs="Arial" w:eastAsia="Arial" w:hAnsi="Arial"/>
                <w:sz w:val="13"/>
                <w:szCs w:val="13"/>
                <w:color w:val="auto"/>
              </w:rPr>
              <w:t>—</w:t>
            </w:r>
          </w:p>
        </w:tc>
        <w:tc>
          <w:tcPr>
            <w:tcW w:w="2420" w:type="dxa"/>
            <w:vAlign w:val="bottom"/>
            <w:gridSpan w:val="2"/>
            <w:shd w:val="clear" w:color="auto" w:fill="CCEEFF"/>
          </w:tcPr>
          <w:p>
            <w:pPr>
              <w:jc w:val="center"/>
              <w:ind w:right="120"/>
              <w:spacing w:after="0" w:line="138" w:lineRule="exact"/>
              <w:rPr>
                <w:sz w:val="20"/>
                <w:szCs w:val="20"/>
                <w:color w:val="auto"/>
              </w:rPr>
            </w:pPr>
            <w:r>
              <w:rPr>
                <w:rFonts w:ascii="Arial" w:cs="Arial" w:eastAsia="Arial" w:hAnsi="Arial"/>
                <w:sz w:val="13"/>
                <w:szCs w:val="13"/>
                <w:color w:val="auto"/>
                <w:w w:val="96"/>
              </w:rPr>
              <w:t>Media: Advertising, Printing and</w:t>
            </w:r>
          </w:p>
        </w:tc>
        <w:tc>
          <w:tcPr>
            <w:tcW w:w="960" w:type="dxa"/>
            <w:vAlign w:val="bottom"/>
            <w:gridSpan w:val="2"/>
            <w:shd w:val="clear" w:color="auto" w:fill="CCEEFF"/>
          </w:tcPr>
          <w:p>
            <w:pPr>
              <w:jc w:val="right"/>
              <w:ind w:right="313"/>
              <w:spacing w:after="0" w:line="138"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3"/>
                <w:szCs w:val="13"/>
                <w:color w:val="auto"/>
              </w:rPr>
              <w:t>—</w:t>
            </w:r>
          </w:p>
        </w:tc>
        <w:tc>
          <w:tcPr>
            <w:tcW w:w="74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15,179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3"/>
                <w:szCs w:val="13"/>
                <w:color w:val="auto"/>
              </w:rPr>
              <w:t>166,667</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293,223</w:t>
            </w:r>
          </w:p>
        </w:tc>
        <w:tc>
          <w:tcPr>
            <w:tcW w:w="0" w:type="dxa"/>
            <w:vAlign w:val="bottom"/>
          </w:tcPr>
          <w:p>
            <w:pPr>
              <w:spacing w:after="0"/>
              <w:rPr>
                <w:sz w:val="1"/>
                <w:szCs w:val="1"/>
                <w:color w:val="auto"/>
              </w:rPr>
            </w:pPr>
          </w:p>
        </w:tc>
      </w:tr>
      <w:tr>
        <w:trPr>
          <w:trHeight w:val="159"/>
        </w:trPr>
        <w:tc>
          <w:tcPr>
            <w:tcW w:w="370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(Vestcom International, Inc.)</w:t>
            </w: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20" w:type="dxa"/>
            <w:vAlign w:val="bottom"/>
            <w:gridSpan w:val="2"/>
            <w:shd w:val="clear" w:color="auto" w:fill="CCEEFF"/>
          </w:tcPr>
          <w:p>
            <w:pPr>
              <w:jc w:val="center"/>
              <w:ind w:right="120"/>
              <w:spacing w:after="0"/>
              <w:rPr>
                <w:sz w:val="20"/>
                <w:szCs w:val="20"/>
                <w:color w:val="auto"/>
              </w:rPr>
            </w:pPr>
            <w:r>
              <w:rPr>
                <w:rFonts w:ascii="Arial" w:cs="Arial" w:eastAsia="Arial" w:hAnsi="Arial"/>
                <w:sz w:val="13"/>
                <w:szCs w:val="13"/>
                <w:color w:val="auto"/>
                <w:w w:val="96"/>
              </w:rPr>
              <w:t>Publishing</w:t>
            </w:r>
          </w:p>
        </w:tc>
        <w:tc>
          <w:tcPr>
            <w:tcW w:w="64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rPr>
                <w:sz w:val="20"/>
                <w:szCs w:val="20"/>
                <w:color w:val="auto"/>
              </w:rPr>
            </w:pPr>
            <w:r>
              <w:rPr>
                <w:rFonts w:ascii="Arial" w:cs="Arial" w:eastAsia="Arial" w:hAnsi="Arial"/>
                <w:sz w:val="13"/>
                <w:szCs w:val="13"/>
                <w:color w:val="auto"/>
              </w:rPr>
              <w:t>Z Wireless Holdings, Inc. (Warrants)</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10/21/2021</w:t>
            </w:r>
          </w:p>
        </w:tc>
        <w:tc>
          <w:tcPr>
            <w:tcW w:w="100" w:type="dxa"/>
            <w:vAlign w:val="bottom"/>
          </w:tcPr>
          <w:p>
            <w:pPr>
              <w:spacing w:after="0"/>
              <w:rPr>
                <w:sz w:val="12"/>
                <w:szCs w:val="12"/>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Retail</w:t>
            </w:r>
          </w:p>
        </w:tc>
        <w:tc>
          <w:tcPr>
            <w:tcW w:w="960" w:type="dxa"/>
            <w:vAlign w:val="bottom"/>
            <w:gridSpan w:val="2"/>
          </w:tcPr>
          <w:p>
            <w:pPr>
              <w:jc w:val="right"/>
              <w:ind w:right="313"/>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100"/>
              <w:spacing w:after="0"/>
              <w:rPr>
                <w:sz w:val="20"/>
                <w:szCs w:val="20"/>
                <w:color w:val="auto"/>
              </w:rPr>
            </w:pPr>
            <w:r>
              <w:rPr>
                <w:rFonts w:ascii="Arial" w:cs="Arial" w:eastAsia="Arial" w:hAnsi="Arial"/>
                <w:sz w:val="13"/>
                <w:szCs w:val="13"/>
                <w:color w:val="auto"/>
              </w:rPr>
              <w:t>463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45,019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45,019</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640,730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1,250,739</w:t>
            </w:r>
          </w:p>
        </w:tc>
        <w:tc>
          <w:tcPr>
            <w:tcW w:w="0" w:type="dxa"/>
            <w:vAlign w:val="bottom"/>
          </w:tcPr>
          <w:p>
            <w:pPr>
              <w:spacing w:after="0"/>
              <w:rPr>
                <w:sz w:val="1"/>
                <w:szCs w:val="1"/>
                <w:color w:val="auto"/>
              </w:rPr>
            </w:pPr>
          </w:p>
        </w:tc>
      </w:tr>
      <w:tr>
        <w:trPr>
          <w:trHeight w:val="20"/>
        </w:trPr>
        <w:tc>
          <w:tcPr>
            <w:tcW w:w="4420" w:type="dxa"/>
            <w:vAlign w:val="bottom"/>
            <w:gridSpan w:val="4"/>
            <w:vMerge w:val="restart"/>
          </w:tcPr>
          <w:p>
            <w:pPr>
              <w:spacing w:after="0"/>
              <w:rPr>
                <w:sz w:val="20"/>
                <w:szCs w:val="20"/>
                <w:color w:val="auto"/>
              </w:rPr>
            </w:pPr>
            <w:r>
              <w:rPr>
                <w:rFonts w:ascii="Arial" w:cs="Arial" w:eastAsia="Arial" w:hAnsi="Arial"/>
                <w:sz w:val="13"/>
                <w:szCs w:val="13"/>
                <w:b w:val="1"/>
                <w:bCs w:val="1"/>
                <w:color w:val="auto"/>
                <w:w w:val="98"/>
              </w:rPr>
              <w:t>Total Investments in Non-Controlled, Non-Affiliated Portfolio Companies</w:t>
            </w: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420" w:type="dxa"/>
            <w:vAlign w:val="bottom"/>
            <w:gridSpan w:val="4"/>
            <w:vMerge w:val="continue"/>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w w:val="88"/>
              </w:rPr>
              <w:t>385,423,226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389,208,433</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Equivalents—2.4%</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00" w:type="dxa"/>
            <w:vAlign w:val="bottom"/>
            <w:gridSpan w:val="2"/>
          </w:tcPr>
          <w:p>
            <w:pPr>
              <w:spacing w:after="0"/>
              <w:rPr>
                <w:sz w:val="20"/>
                <w:szCs w:val="20"/>
                <w:color w:val="auto"/>
              </w:rPr>
            </w:pPr>
            <w:r>
              <w:rPr>
                <w:rFonts w:ascii="Arial" w:cs="Arial" w:eastAsia="Arial" w:hAnsi="Arial"/>
                <w:sz w:val="13"/>
                <w:szCs w:val="13"/>
                <w:color w:val="auto"/>
              </w:rPr>
              <w:t>BlackRock Liquidity Funds, Temp Cash, Institutional Shares</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1,917,815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1,917,815</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BlackRock Liquidity Funds, Temp Fund, Institutional Shares</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3,162,325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3,162,325</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Total Cash Equivalents</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70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5,080,140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5,080,140</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Investments and Cash Equivalents—183.1%</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u w:val="single" w:color="auto"/>
                <w:color w:val="auto"/>
                <w:w w:val="82"/>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8"/>
              </w:rPr>
              <w:t>390,503,366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394,288,573</w:t>
            </w:r>
          </w:p>
        </w:tc>
        <w:tc>
          <w:tcPr>
            <w:tcW w:w="0" w:type="dxa"/>
            <w:vAlign w:val="bottom"/>
          </w:tcPr>
          <w:p>
            <w:pPr>
              <w:spacing w:after="0"/>
              <w:rPr>
                <w:sz w:val="1"/>
                <w:szCs w:val="1"/>
                <w:color w:val="auto"/>
              </w:rPr>
            </w:pPr>
          </w:p>
        </w:tc>
      </w:tr>
      <w:tr>
        <w:trPr>
          <w:trHeight w:val="20"/>
        </w:trPr>
        <w:tc>
          <w:tcPr>
            <w:tcW w:w="370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Assets—(83.1)%</w:t>
            </w: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1"/>
              </w:rPr>
              <w:t>(178,935,806)</w:t>
            </w:r>
          </w:p>
        </w:tc>
        <w:tc>
          <w:tcPr>
            <w:tcW w:w="0" w:type="dxa"/>
            <w:vAlign w:val="bottom"/>
          </w:tcPr>
          <w:p>
            <w:pPr>
              <w:spacing w:after="0"/>
              <w:rPr>
                <w:sz w:val="1"/>
                <w:szCs w:val="1"/>
                <w:color w:val="auto"/>
              </w:rPr>
            </w:pPr>
          </w:p>
        </w:tc>
      </w:tr>
      <w:tr>
        <w:trPr>
          <w:trHeight w:val="149"/>
        </w:trPr>
        <w:tc>
          <w:tcPr>
            <w:tcW w:w="370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215,352,767</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20" w:type="dxa"/>
            <w:vAlign w:val="bottom"/>
            <w:vMerge w:val="restart"/>
          </w:tcPr>
          <w:p>
            <w:pPr>
              <w:jc w:val="right"/>
              <w:ind w:right="1013"/>
              <w:spacing w:after="0"/>
              <w:rPr>
                <w:sz w:val="20"/>
                <w:szCs w:val="20"/>
                <w:color w:val="auto"/>
              </w:rPr>
            </w:pPr>
            <w:r>
              <w:rPr>
                <w:rFonts w:ascii="Arial" w:cs="Arial" w:eastAsia="Arial" w:hAnsi="Arial"/>
                <w:sz w:val="13"/>
                <w:szCs w:val="13"/>
                <w:color w:val="auto"/>
              </w:rPr>
              <w:t>7</w:t>
            </w: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19"/>
        <w:spacing w:after="0"/>
        <w:rPr>
          <w:sz w:val="20"/>
          <w:szCs w:val="20"/>
          <w:color w:val="auto"/>
        </w:rPr>
      </w:pPr>
      <w:r>
        <w:rPr>
          <w:rFonts w:ascii="Arial" w:cs="Arial" w:eastAsia="Arial" w:hAnsi="Arial"/>
          <w:sz w:val="13"/>
          <w:szCs w:val="13"/>
          <w:b w:val="1"/>
          <w:bCs w:val="1"/>
          <w:color w:val="auto"/>
        </w:rPr>
        <w:t>CONSOLIDATED SCHEDULE OF INVESTMENTS—(Continued)</w:t>
      </w:r>
    </w:p>
    <w:p>
      <w:pPr>
        <w:jc w:val="center"/>
        <w:ind w:right="-119"/>
        <w:spacing w:after="0"/>
        <w:rPr>
          <w:sz w:val="20"/>
          <w:szCs w:val="20"/>
          <w:color w:val="auto"/>
        </w:rPr>
      </w:pPr>
      <w:r>
        <w:rPr>
          <w:rFonts w:ascii="Arial" w:cs="Arial" w:eastAsia="Arial" w:hAnsi="Arial"/>
          <w:sz w:val="13"/>
          <w:szCs w:val="13"/>
          <w:b w:val="1"/>
          <w:bCs w:val="1"/>
          <w:color w:val="auto"/>
        </w:rPr>
        <w:t>MARCH 31, 2014</w:t>
      </w:r>
    </w:p>
    <w:p>
      <w:pPr>
        <w:jc w:val="center"/>
        <w:ind w:right="-119"/>
        <w:spacing w:after="0"/>
        <w:rPr>
          <w:sz w:val="20"/>
          <w:szCs w:val="20"/>
          <w:color w:val="auto"/>
        </w:rPr>
      </w:pPr>
      <w:r>
        <w:rPr>
          <w:rFonts w:ascii="Arial" w:cs="Arial" w:eastAsia="Arial" w:hAnsi="Arial"/>
          <w:sz w:val="13"/>
          <w:szCs w:val="13"/>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161290</wp:posOffset>
            </wp:positionV>
            <wp:extent cx="7112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64" w:lineRule="exact"/>
        <w:rPr>
          <w:sz w:val="20"/>
          <w:szCs w:val="20"/>
          <w:color w:val="auto"/>
        </w:rPr>
      </w:pPr>
    </w:p>
    <w:p>
      <w:pPr>
        <w:ind w:left="340" w:right="40" w:hanging="332"/>
        <w:spacing w:after="0" w:line="24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440" w:hanging="332"/>
        <w:spacing w:after="0" w:line="258" w:lineRule="auto"/>
        <w:tabs>
          <w:tab w:leader="none" w:pos="34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22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38" w:lineRule="auto"/>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340" w:hanging="332"/>
        <w:spacing w:after="0"/>
        <w:tabs>
          <w:tab w:leader="none" w:pos="340" w:val="left"/>
        </w:tabs>
        <w:numPr>
          <w:ilvl w:val="0"/>
          <w:numId w:val="3"/>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spacing w:after="0" w:line="149"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ind w:right="-11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Basis Point</w:t>
            </w: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Spread</w:t>
            </w:r>
          </w:p>
        </w:tc>
        <w:tc>
          <w:tcPr>
            <w:tcW w:w="9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220" w:type="dxa"/>
            <w:vAlign w:val="bottom"/>
            <w:vMerge w:val="restart"/>
          </w:tcPr>
          <w:p>
            <w:pPr>
              <w:spacing w:after="0"/>
              <w:rPr>
                <w:sz w:val="20"/>
                <w:szCs w:val="20"/>
                <w:color w:val="auto"/>
              </w:rPr>
            </w:pPr>
            <w:r>
              <w:rPr>
                <w:rFonts w:ascii="Arial" w:cs="Arial" w:eastAsia="Arial" w:hAnsi="Arial"/>
                <w:sz w:val="13"/>
                <w:szCs w:val="13"/>
                <w:b w:val="1"/>
                <w:bCs w:val="1"/>
                <w:color w:val="auto"/>
              </w:rPr>
              <w:t>Issuer Name</w:t>
            </w:r>
          </w:p>
        </w:tc>
        <w:tc>
          <w:tcPr>
            <w:tcW w:w="1280" w:type="dxa"/>
            <w:vAlign w:val="bottom"/>
            <w:vMerge w:val="restart"/>
          </w:tcPr>
          <w:p>
            <w:pPr>
              <w:ind w:left="620"/>
              <w:spacing w:after="0"/>
              <w:rPr>
                <w:sz w:val="20"/>
                <w:szCs w:val="20"/>
                <w:color w:val="auto"/>
              </w:rPr>
            </w:pPr>
            <w:r>
              <w:rPr>
                <w:rFonts w:ascii="Arial" w:cs="Arial" w:eastAsia="Arial" w:hAnsi="Arial"/>
                <w:sz w:val="13"/>
                <w:szCs w:val="13"/>
                <w:b w:val="1"/>
                <w:bCs w:val="1"/>
                <w:color w:val="auto"/>
              </w:rPr>
              <w:t>Maturity</w:t>
            </w:r>
          </w:p>
        </w:tc>
        <w:tc>
          <w:tcPr>
            <w:tcW w:w="20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7"/>
              </w:rPr>
              <w:t>Industry</w:t>
            </w:r>
          </w:p>
        </w:tc>
        <w:tc>
          <w:tcPr>
            <w:tcW w:w="1040" w:type="dxa"/>
            <w:vAlign w:val="bottom"/>
          </w:tcPr>
          <w:p>
            <w:pPr>
              <w:ind w:left="140"/>
              <w:spacing w:after="0"/>
              <w:rPr>
                <w:sz w:val="20"/>
                <w:szCs w:val="20"/>
                <w:color w:val="auto"/>
              </w:rPr>
            </w:pPr>
            <w:r>
              <w:rPr>
                <w:rFonts w:ascii="Arial" w:cs="Arial" w:eastAsia="Arial" w:hAnsi="Arial"/>
                <w:sz w:val="13"/>
                <w:szCs w:val="13"/>
                <w:b w:val="1"/>
                <w:bCs w:val="1"/>
                <w:color w:val="auto"/>
              </w:rPr>
              <w:t>Current</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90"/>
              </w:rPr>
              <w:t>Above</w:t>
            </w:r>
          </w:p>
        </w:tc>
        <w:tc>
          <w:tcPr>
            <w:tcW w:w="920" w:type="dxa"/>
            <w:vAlign w:val="bottom"/>
          </w:tcPr>
          <w:p>
            <w:pPr>
              <w:jc w:val="right"/>
              <w:ind w:right="253"/>
              <w:spacing w:after="0"/>
              <w:rPr>
                <w:sz w:val="20"/>
                <w:szCs w:val="20"/>
                <w:color w:val="auto"/>
              </w:rPr>
            </w:pPr>
            <w:r>
              <w:rPr>
                <w:rFonts w:ascii="Arial" w:cs="Arial" w:eastAsia="Arial" w:hAnsi="Arial"/>
                <w:sz w:val="13"/>
                <w:szCs w:val="13"/>
                <w:b w:val="1"/>
                <w:bCs w:val="1"/>
                <w:color w:val="auto"/>
              </w:rPr>
              <w:t>Par /</w:t>
            </w:r>
          </w:p>
        </w:tc>
        <w:tc>
          <w:tcPr>
            <w:tcW w:w="960" w:type="dxa"/>
            <w:vAlign w:val="bottom"/>
            <w:vMerge w:val="restart"/>
          </w:tcPr>
          <w:p>
            <w:pPr>
              <w:jc w:val="right"/>
              <w:ind w:right="293"/>
              <w:spacing w:after="0"/>
              <w:rPr>
                <w:sz w:val="20"/>
                <w:szCs w:val="20"/>
                <w:color w:val="auto"/>
              </w:rPr>
            </w:pPr>
            <w:r>
              <w:rPr>
                <w:rFonts w:ascii="Arial" w:cs="Arial" w:eastAsia="Arial" w:hAnsi="Arial"/>
                <w:sz w:val="13"/>
                <w:szCs w:val="13"/>
                <w:b w:val="1"/>
                <w:bCs w:val="1"/>
                <w:color w:val="auto"/>
              </w:rPr>
              <w:t>Cost</w:t>
            </w:r>
          </w:p>
        </w:tc>
        <w:tc>
          <w:tcPr>
            <w:tcW w:w="880" w:type="dxa"/>
            <w:vAlign w:val="bottom"/>
          </w:tcPr>
          <w:p>
            <w:pPr>
              <w:jc w:val="right"/>
              <w:ind w:right="53"/>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8"/>
        </w:trPr>
        <w:tc>
          <w:tcPr>
            <w:tcW w:w="3220" w:type="dxa"/>
            <w:vAlign w:val="bottom"/>
            <w:tcBorders>
              <w:bottom w:val="single" w:sz="8" w:color="auto"/>
            </w:tcBorders>
            <w:vMerge w:val="continue"/>
          </w:tcPr>
          <w:p>
            <w:pPr>
              <w:spacing w:after="0"/>
              <w:rPr>
                <w:sz w:val="12"/>
                <w:szCs w:val="12"/>
                <w:color w:val="auto"/>
              </w:rPr>
            </w:pPr>
          </w:p>
        </w:tc>
        <w:tc>
          <w:tcPr>
            <w:tcW w:w="1280" w:type="dxa"/>
            <w:vAlign w:val="bottom"/>
            <w:tcBorders>
              <w:bottom w:val="single" w:sz="8" w:color="auto"/>
            </w:tcBorders>
            <w:vMerge w:val="continue"/>
          </w:tcPr>
          <w:p>
            <w:pPr>
              <w:spacing w:after="0"/>
              <w:rPr>
                <w:sz w:val="12"/>
                <w:szCs w:val="12"/>
                <w:color w:val="auto"/>
              </w:rPr>
            </w:pPr>
          </w:p>
        </w:tc>
        <w:tc>
          <w:tcPr>
            <w:tcW w:w="202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Coupon</w:t>
            </w:r>
          </w:p>
        </w:tc>
        <w:tc>
          <w:tcPr>
            <w:tcW w:w="92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1"/>
                <w:szCs w:val="11"/>
                <w:b w:val="1"/>
                <w:bCs w:val="1"/>
                <w:color w:val="auto"/>
              </w:rPr>
              <w:t xml:space="preserve">Index </w:t>
            </w:r>
            <w:r>
              <w:rPr>
                <w:rFonts w:ascii="Arial" w:cs="Arial" w:eastAsia="Arial" w:hAnsi="Arial"/>
                <w:sz w:val="17"/>
                <w:szCs w:val="17"/>
                <w:b w:val="1"/>
                <w:bCs w:val="1"/>
                <w:color w:val="auto"/>
                <w:vertAlign w:val="superscript"/>
              </w:rPr>
              <w:t>(1)</w:t>
            </w:r>
          </w:p>
        </w:tc>
        <w:tc>
          <w:tcPr>
            <w:tcW w:w="920" w:type="dxa"/>
            <w:vAlign w:val="bottom"/>
            <w:tcBorders>
              <w:bottom w:val="single" w:sz="8" w:color="auto"/>
            </w:tcBorders>
          </w:tcPr>
          <w:p>
            <w:pPr>
              <w:jc w:val="right"/>
              <w:ind w:right="213"/>
              <w:spacing w:after="0"/>
              <w:rPr>
                <w:sz w:val="20"/>
                <w:szCs w:val="20"/>
                <w:color w:val="auto"/>
              </w:rPr>
            </w:pPr>
            <w:r>
              <w:rPr>
                <w:rFonts w:ascii="Arial" w:cs="Arial" w:eastAsia="Arial" w:hAnsi="Arial"/>
                <w:sz w:val="13"/>
                <w:szCs w:val="13"/>
                <w:b w:val="1"/>
                <w:bCs w:val="1"/>
                <w:color w:val="auto"/>
              </w:rPr>
              <w:t>Shares</w:t>
            </w:r>
          </w:p>
        </w:tc>
        <w:tc>
          <w:tcPr>
            <w:tcW w:w="960" w:type="dxa"/>
            <w:vAlign w:val="bottom"/>
            <w:tcBorders>
              <w:bottom w:val="single" w:sz="8" w:color="auto"/>
            </w:tcBorders>
            <w:vMerge w:val="continue"/>
          </w:tcPr>
          <w:p>
            <w:pPr>
              <w:spacing w:after="0"/>
              <w:rPr>
                <w:sz w:val="12"/>
                <w:szCs w:val="12"/>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1"/>
                <w:szCs w:val="11"/>
                <w:b w:val="1"/>
                <w:bCs w:val="1"/>
                <w:color w:val="auto"/>
              </w:rPr>
              <w:t>(2)</w:t>
            </w:r>
          </w:p>
        </w:tc>
        <w:tc>
          <w:tcPr>
            <w:tcW w:w="0" w:type="dxa"/>
            <w:vAlign w:val="bottom"/>
          </w:tcPr>
          <w:p>
            <w:pPr>
              <w:spacing w:after="0"/>
              <w:rPr>
                <w:sz w:val="1"/>
                <w:szCs w:val="1"/>
                <w:color w:val="auto"/>
              </w:rPr>
            </w:pPr>
          </w:p>
        </w:tc>
      </w:tr>
      <w:tr>
        <w:trPr>
          <w:trHeight w:val="48"/>
        </w:trPr>
        <w:tc>
          <w:tcPr>
            <w:tcW w:w="3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20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920" w:type="dxa"/>
            <w:vAlign w:val="bottom"/>
          </w:tcPr>
          <w:p>
            <w:pPr>
              <w:spacing w:after="0"/>
              <w:rPr>
                <w:sz w:val="4"/>
                <w:szCs w:val="4"/>
                <w:color w:val="auto"/>
              </w:rPr>
            </w:pPr>
          </w:p>
        </w:tc>
        <w:tc>
          <w:tcPr>
            <w:tcW w:w="920" w:type="dxa"/>
            <w:vAlign w:val="bottom"/>
          </w:tcPr>
          <w:p>
            <w:pPr>
              <w:spacing w:after="0"/>
              <w:rPr>
                <w:sz w:val="4"/>
                <w:szCs w:val="4"/>
                <w:color w:val="auto"/>
              </w:rPr>
            </w:pPr>
          </w:p>
        </w:tc>
        <w:tc>
          <w:tcPr>
            <w:tcW w:w="960" w:type="dxa"/>
            <w:vAlign w:val="bottom"/>
          </w:tcPr>
          <w:p>
            <w:pPr>
              <w:spacing w:after="0"/>
              <w:rPr>
                <w:sz w:val="4"/>
                <w:szCs w:val="4"/>
                <w:color w:val="auto"/>
              </w:rPr>
            </w:pPr>
          </w:p>
        </w:tc>
        <w:tc>
          <w:tcPr>
            <w:tcW w:w="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6520" w:type="dxa"/>
            <w:vAlign w:val="bottom"/>
            <w:gridSpan w:val="3"/>
            <w:shd w:val="clear" w:color="auto" w:fill="CCEEFF"/>
          </w:tcPr>
          <w:p>
            <w:pPr>
              <w:spacing w:after="0" w:line="136" w:lineRule="exact"/>
              <w:rPr>
                <w:sz w:val="20"/>
                <w:szCs w:val="20"/>
                <w:color w:val="auto"/>
              </w:rPr>
            </w:pPr>
            <w:r>
              <w:rPr>
                <w:rFonts w:ascii="Arial" w:cs="Arial" w:eastAsia="Arial" w:hAnsi="Arial"/>
                <w:sz w:val="10"/>
                <w:szCs w:val="10"/>
                <w:b w:val="1"/>
                <w:bCs w:val="1"/>
                <w:color w:val="auto"/>
              </w:rPr>
              <w:t xml:space="preserve">Investments in Non-Controlled, Non-Affiliated Portfolio Companies—151.3% </w:t>
            </w:r>
            <w:r>
              <w:rPr>
                <w:rFonts w:ascii="Arial" w:cs="Arial" w:eastAsia="Arial" w:hAnsi="Arial"/>
                <w:sz w:val="15"/>
                <w:szCs w:val="15"/>
                <w:b w:val="1"/>
                <w:bCs w:val="1"/>
                <w:color w:val="auto"/>
                <w:vertAlign w:val="superscript"/>
              </w:rPr>
              <w:t>(3), (4)</w:t>
            </w:r>
          </w:p>
        </w:tc>
        <w:tc>
          <w:tcPr>
            <w:tcW w:w="10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32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First Lien Secured Debt—133.8%</w:t>
            </w:r>
          </w:p>
        </w:tc>
        <w:tc>
          <w:tcPr>
            <w:tcW w:w="1280" w:type="dxa"/>
            <w:vAlign w:val="bottom"/>
            <w:shd w:val="clear" w:color="auto" w:fill="CCEEFF"/>
          </w:tcPr>
          <w:p>
            <w:pPr>
              <w:spacing w:after="0"/>
              <w:rPr>
                <w:sz w:val="15"/>
                <w:szCs w:val="15"/>
                <w:color w:val="auto"/>
              </w:rPr>
            </w:pPr>
          </w:p>
        </w:tc>
        <w:tc>
          <w:tcPr>
            <w:tcW w:w="20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3220" w:type="dxa"/>
            <w:vAlign w:val="bottom"/>
          </w:tcPr>
          <w:p>
            <w:pPr>
              <w:spacing w:after="0" w:line="138" w:lineRule="exact"/>
              <w:rPr>
                <w:sz w:val="20"/>
                <w:szCs w:val="20"/>
                <w:color w:val="auto"/>
              </w:rPr>
            </w:pPr>
            <w:r>
              <w:rPr>
                <w:rFonts w:ascii="Arial" w:cs="Arial" w:eastAsia="Arial" w:hAnsi="Arial"/>
                <w:sz w:val="13"/>
                <w:szCs w:val="13"/>
                <w:color w:val="auto"/>
              </w:rPr>
              <w:t>AKA Diversified Holdings, Inc.</w:t>
            </w:r>
          </w:p>
        </w:tc>
        <w:tc>
          <w:tcPr>
            <w:tcW w:w="1280" w:type="dxa"/>
            <w:vAlign w:val="bottom"/>
          </w:tcPr>
          <w:p>
            <w:pPr>
              <w:ind w:left="580"/>
              <w:spacing w:after="0" w:line="138" w:lineRule="exact"/>
              <w:rPr>
                <w:sz w:val="20"/>
                <w:szCs w:val="20"/>
                <w:color w:val="auto"/>
              </w:rPr>
            </w:pPr>
            <w:r>
              <w:rPr>
                <w:rFonts w:ascii="Arial" w:cs="Arial" w:eastAsia="Arial" w:hAnsi="Arial"/>
                <w:sz w:val="13"/>
                <w:szCs w:val="13"/>
                <w:color w:val="auto"/>
              </w:rPr>
              <w:t>12/21/2016</w:t>
            </w:r>
          </w:p>
        </w:tc>
        <w:tc>
          <w:tcPr>
            <w:tcW w:w="2020" w:type="dxa"/>
            <w:vAlign w:val="bottom"/>
          </w:tcPr>
          <w:p>
            <w:pPr>
              <w:jc w:val="center"/>
              <w:spacing w:after="0" w:line="138" w:lineRule="exact"/>
              <w:rPr>
                <w:sz w:val="20"/>
                <w:szCs w:val="20"/>
                <w:color w:val="auto"/>
              </w:rPr>
            </w:pPr>
            <w:r>
              <w:rPr>
                <w:rFonts w:ascii="Arial" w:cs="Arial" w:eastAsia="Arial" w:hAnsi="Arial"/>
                <w:sz w:val="13"/>
                <w:szCs w:val="13"/>
                <w:color w:val="auto"/>
                <w:w w:val="96"/>
              </w:rPr>
              <w:t>Retail</w:t>
            </w:r>
          </w:p>
        </w:tc>
        <w:tc>
          <w:tcPr>
            <w:tcW w:w="1040" w:type="dxa"/>
            <w:vAlign w:val="bottom"/>
          </w:tcPr>
          <w:p>
            <w:pPr>
              <w:jc w:val="right"/>
              <w:ind w:right="53"/>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92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L+1,225</w:t>
            </w:r>
          </w:p>
        </w:tc>
        <w:tc>
          <w:tcPr>
            <w:tcW w:w="9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2,728,141</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$ 2,684,231</w:t>
            </w:r>
          </w:p>
        </w:tc>
        <w:tc>
          <w:tcPr>
            <w:tcW w:w="880" w:type="dxa"/>
            <w:vAlign w:val="bottom"/>
          </w:tcPr>
          <w:p>
            <w:pPr>
              <w:jc w:val="right"/>
              <w:spacing w:after="0" w:line="138" w:lineRule="exact"/>
              <w:rPr>
                <w:sz w:val="20"/>
                <w:szCs w:val="20"/>
                <w:color w:val="auto"/>
              </w:rPr>
            </w:pPr>
            <w:r>
              <w:rPr>
                <w:rFonts w:ascii="Arial" w:cs="Arial" w:eastAsia="Arial" w:hAnsi="Arial"/>
                <w:sz w:val="13"/>
                <w:szCs w:val="13"/>
                <w:color w:val="auto"/>
              </w:rPr>
              <w:t>$ 2,755,278</w:t>
            </w:r>
          </w:p>
        </w:tc>
        <w:tc>
          <w:tcPr>
            <w:tcW w:w="0" w:type="dxa"/>
            <w:vAlign w:val="bottom"/>
          </w:tcPr>
          <w:p>
            <w:pPr>
              <w:spacing w:after="0"/>
              <w:rPr>
                <w:sz w:val="1"/>
                <w:szCs w:val="1"/>
                <w:color w:val="auto"/>
              </w:rPr>
            </w:pPr>
          </w:p>
        </w:tc>
      </w:tr>
      <w:tr>
        <w:trPr>
          <w:trHeight w:val="173"/>
        </w:trPr>
        <w:tc>
          <w:tcPr>
            <w:tcW w:w="3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Arial" w:cs="Arial" w:eastAsia="Arial" w:hAnsi="Arial"/>
                <w:sz w:val="13"/>
                <w:szCs w:val="13"/>
                <w:color w:val="auto"/>
              </w:rPr>
              <w:t>(PIK 1.50%)</w:t>
            </w: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ALG USA Holdings, LLC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02/28/2019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8,457,500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8,394,246</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8,457,500</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Alvogen Pharma US, Inc. </w:t>
            </w:r>
            <w:r>
              <w:rPr>
                <w:rFonts w:ascii="Arial" w:cs="Arial" w:eastAsia="Arial" w:hAnsi="Arial"/>
                <w:sz w:val="17"/>
                <w:szCs w:val="17"/>
                <w:color w:val="auto"/>
                <w:vertAlign w:val="superscript"/>
              </w:rPr>
              <w:t>(8)</w:t>
            </w:r>
          </w:p>
        </w:tc>
        <w:tc>
          <w:tcPr>
            <w:tcW w:w="1280" w:type="dxa"/>
            <w:vAlign w:val="bottom"/>
          </w:tcPr>
          <w:p>
            <w:pPr>
              <w:ind w:left="580"/>
              <w:spacing w:after="0"/>
              <w:rPr>
                <w:sz w:val="20"/>
                <w:szCs w:val="20"/>
                <w:color w:val="auto"/>
              </w:rPr>
            </w:pPr>
            <w:r>
              <w:rPr>
                <w:rFonts w:ascii="Arial" w:cs="Arial" w:eastAsia="Arial" w:hAnsi="Arial"/>
                <w:sz w:val="13"/>
                <w:szCs w:val="13"/>
                <w:color w:val="auto"/>
              </w:rPr>
              <w:t>05/23/2018</w:t>
            </w: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L+575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1,995,000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1,976,374</w:t>
            </w:r>
          </w:p>
        </w:tc>
        <w:tc>
          <w:tcPr>
            <w:tcW w:w="880" w:type="dxa"/>
            <w:vAlign w:val="bottom"/>
          </w:tcPr>
          <w:p>
            <w:pPr>
              <w:jc w:val="right"/>
              <w:spacing w:after="0"/>
              <w:rPr>
                <w:sz w:val="20"/>
                <w:szCs w:val="20"/>
                <w:color w:val="auto"/>
              </w:rPr>
            </w:pPr>
            <w:r>
              <w:rPr>
                <w:rFonts w:ascii="Arial" w:cs="Arial" w:eastAsia="Arial" w:hAnsi="Arial"/>
                <w:sz w:val="13"/>
                <w:szCs w:val="13"/>
                <w:color w:val="auto"/>
              </w:rPr>
              <w:t>1,980,037</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AMF Bowling Centers, Inc. </w:t>
            </w:r>
            <w:r>
              <w:rPr>
                <w:rFonts w:ascii="Arial" w:cs="Arial" w:eastAsia="Arial" w:hAnsi="Arial"/>
                <w:sz w:val="17"/>
                <w:szCs w:val="17"/>
                <w:color w:val="auto"/>
                <w:vertAlign w:val="superscript"/>
              </w:rPr>
              <w:t>(8)</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06/29/2018</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Retail</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8.75%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L+750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7,950,000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7,711,500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7,870,500</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Ancile Solutions,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07/16/2018</w:t>
            </w:r>
          </w:p>
        </w:tc>
        <w:tc>
          <w:tcPr>
            <w:tcW w:w="202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6.25%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L+500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5,000,000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4,951,516</w:t>
            </w:r>
          </w:p>
        </w:tc>
        <w:tc>
          <w:tcPr>
            <w:tcW w:w="880" w:type="dxa"/>
            <w:vAlign w:val="bottom"/>
          </w:tcPr>
          <w:p>
            <w:pPr>
              <w:jc w:val="right"/>
              <w:spacing w:after="0"/>
              <w:rPr>
                <w:sz w:val="20"/>
                <w:szCs w:val="20"/>
                <w:color w:val="auto"/>
              </w:rPr>
            </w:pPr>
            <w:r>
              <w:rPr>
                <w:rFonts w:ascii="Arial" w:cs="Arial" w:eastAsia="Arial" w:hAnsi="Arial"/>
                <w:sz w:val="13"/>
                <w:szCs w:val="13"/>
                <w:color w:val="auto"/>
              </w:rPr>
              <w:t>4,962,500</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ARC Automotive Group,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11/15/2018</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Automotive</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2,530,875</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2,510,159</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2,530,875</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Aspen Dental Management, Inc.</w:t>
            </w:r>
          </w:p>
        </w:tc>
        <w:tc>
          <w:tcPr>
            <w:tcW w:w="1280" w:type="dxa"/>
            <w:vAlign w:val="bottom"/>
          </w:tcPr>
          <w:p>
            <w:pPr>
              <w:ind w:left="580"/>
              <w:spacing w:after="0"/>
              <w:rPr>
                <w:sz w:val="20"/>
                <w:szCs w:val="20"/>
                <w:color w:val="auto"/>
              </w:rPr>
            </w:pPr>
            <w:r>
              <w:rPr>
                <w:rFonts w:ascii="Arial" w:cs="Arial" w:eastAsia="Arial" w:hAnsi="Arial"/>
                <w:sz w:val="13"/>
                <w:szCs w:val="13"/>
                <w:color w:val="auto"/>
              </w:rPr>
              <w:t>10/06/2016</w:t>
            </w: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L+550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2,947,500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2,916,715</w:t>
            </w:r>
          </w:p>
        </w:tc>
        <w:tc>
          <w:tcPr>
            <w:tcW w:w="880" w:type="dxa"/>
            <w:vAlign w:val="bottom"/>
          </w:tcPr>
          <w:p>
            <w:pPr>
              <w:jc w:val="right"/>
              <w:spacing w:after="0"/>
              <w:rPr>
                <w:sz w:val="20"/>
                <w:szCs w:val="20"/>
                <w:color w:val="auto"/>
              </w:rPr>
            </w:pPr>
            <w:r>
              <w:rPr>
                <w:rFonts w:ascii="Arial" w:cs="Arial" w:eastAsia="Arial" w:hAnsi="Arial"/>
                <w:sz w:val="13"/>
                <w:szCs w:val="13"/>
                <w:color w:val="auto"/>
              </w:rPr>
              <w:t>2,829,600</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ATI Holdings,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12/20/2019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5.75%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L+450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2,977,500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2,951,133</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2,999,831</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BBB Industries, LLC</w:t>
            </w:r>
          </w:p>
        </w:tc>
        <w:tc>
          <w:tcPr>
            <w:tcW w:w="1280" w:type="dxa"/>
            <w:vAlign w:val="bottom"/>
          </w:tcPr>
          <w:p>
            <w:pPr>
              <w:ind w:left="580"/>
              <w:spacing w:after="0"/>
              <w:rPr>
                <w:sz w:val="20"/>
                <w:szCs w:val="20"/>
                <w:color w:val="auto"/>
              </w:rPr>
            </w:pPr>
            <w:r>
              <w:rPr>
                <w:rFonts w:ascii="Arial" w:cs="Arial" w:eastAsia="Arial" w:hAnsi="Arial"/>
                <w:sz w:val="13"/>
                <w:szCs w:val="13"/>
                <w:color w:val="auto"/>
              </w:rPr>
              <w:t>03/27/2019</w:t>
            </w:r>
          </w:p>
        </w:tc>
        <w:tc>
          <w:tcPr>
            <w:tcW w:w="202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5.50%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L+425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2,925,000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2,903,031</w:t>
            </w:r>
          </w:p>
        </w:tc>
        <w:tc>
          <w:tcPr>
            <w:tcW w:w="880" w:type="dxa"/>
            <w:vAlign w:val="bottom"/>
          </w:tcPr>
          <w:p>
            <w:pPr>
              <w:jc w:val="right"/>
              <w:spacing w:after="0"/>
              <w:rPr>
                <w:sz w:val="20"/>
                <w:szCs w:val="20"/>
                <w:color w:val="auto"/>
              </w:rPr>
            </w:pPr>
            <w:r>
              <w:rPr>
                <w:rFonts w:ascii="Arial" w:cs="Arial" w:eastAsia="Arial" w:hAnsi="Arial"/>
                <w:sz w:val="13"/>
                <w:szCs w:val="13"/>
                <w:color w:val="auto"/>
              </w:rPr>
              <w:t>2,917,687</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BBTS Borrower LP </w:t>
            </w:r>
            <w:r>
              <w:rPr>
                <w:rFonts w:ascii="Arial" w:cs="Arial" w:eastAsia="Arial" w:hAnsi="Arial"/>
                <w:sz w:val="17"/>
                <w:szCs w:val="17"/>
                <w:color w:val="auto"/>
                <w:vertAlign w:val="superscript"/>
              </w:rPr>
              <w:t>(8)</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06/04/2019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Energy: Oil and Gas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7.75%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L+650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6,965,000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6,899,024</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7,034,650</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Bellisio Foods,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08/01/2019</w:t>
            </w: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5.25%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L+425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4,237,288</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4,216,574</w:t>
            </w:r>
          </w:p>
        </w:tc>
        <w:tc>
          <w:tcPr>
            <w:tcW w:w="880" w:type="dxa"/>
            <w:vAlign w:val="bottom"/>
          </w:tcPr>
          <w:p>
            <w:pPr>
              <w:jc w:val="right"/>
              <w:spacing w:after="0"/>
              <w:rPr>
                <w:sz w:val="20"/>
                <w:szCs w:val="20"/>
                <w:color w:val="auto"/>
              </w:rPr>
            </w:pPr>
            <w:r>
              <w:rPr>
                <w:rFonts w:ascii="Arial" w:cs="Arial" w:eastAsia="Arial" w:hAnsi="Arial"/>
                <w:sz w:val="13"/>
                <w:szCs w:val="13"/>
                <w:color w:val="auto"/>
              </w:rPr>
              <w:t>4,216,102</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Bellisio Foods, Inc. </w:t>
            </w:r>
            <w:r>
              <w:rPr>
                <w:rFonts w:ascii="Arial" w:cs="Arial" w:eastAsia="Arial" w:hAnsi="Arial"/>
                <w:sz w:val="17"/>
                <w:szCs w:val="17"/>
                <w:color w:val="auto"/>
                <w:vertAlign w:val="superscript"/>
              </w:rPr>
              <w:t>(10)</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08/01/2019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Beverage, Food and Tobacco</w:t>
            </w:r>
          </w:p>
        </w:tc>
        <w:tc>
          <w:tcPr>
            <w:tcW w:w="1040" w:type="dxa"/>
            <w:vAlign w:val="bottom"/>
            <w:shd w:val="clear" w:color="auto" w:fill="CCEEFF"/>
          </w:tcPr>
          <w:p>
            <w:pPr>
              <w:jc w:val="right"/>
              <w:ind w:right="173"/>
              <w:spacing w:after="0" w:line="149" w:lineRule="exact"/>
              <w:rPr>
                <w:sz w:val="20"/>
                <w:szCs w:val="20"/>
                <w:color w:val="auto"/>
              </w:rPr>
            </w:pPr>
            <w:r>
              <w:rPr>
                <w:rFonts w:ascii="Arial" w:cs="Arial" w:eastAsia="Arial" w:hAnsi="Arial"/>
                <w:sz w:val="17"/>
                <w:szCs w:val="17"/>
                <w:color w:val="auto"/>
                <w:vertAlign w:val="subscript"/>
              </w:rPr>
              <w:t>—</w:t>
            </w:r>
            <w:r>
              <w:rPr>
                <w:rFonts w:ascii="Arial" w:cs="Arial" w:eastAsia="Arial" w:hAnsi="Arial"/>
                <w:sz w:val="9"/>
                <w:szCs w:val="9"/>
                <w:color w:val="auto"/>
              </w:rPr>
              <w:t>(9)</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762,712</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759,021</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758,898</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20"/>
                <w:szCs w:val="20"/>
                <w:color w:val="auto"/>
              </w:rPr>
            </w:pPr>
            <w:r>
              <w:rPr>
                <w:rFonts w:ascii="Arial" w:cs="Arial" w:eastAsia="Arial" w:hAnsi="Arial"/>
                <w:sz w:val="13"/>
                <w:szCs w:val="13"/>
                <w:color w:val="auto"/>
              </w:rPr>
              <w:t>BioScrip, Inc.</w:t>
            </w:r>
          </w:p>
        </w:tc>
        <w:tc>
          <w:tcPr>
            <w:tcW w:w="1280" w:type="dxa"/>
            <w:vAlign w:val="bottom"/>
          </w:tcPr>
          <w:p>
            <w:pPr>
              <w:ind w:left="580"/>
              <w:spacing w:after="0"/>
              <w:rPr>
                <w:sz w:val="20"/>
                <w:szCs w:val="20"/>
                <w:color w:val="auto"/>
              </w:rPr>
            </w:pPr>
            <w:r>
              <w:rPr>
                <w:rFonts w:ascii="Arial" w:cs="Arial" w:eastAsia="Arial" w:hAnsi="Arial"/>
                <w:sz w:val="13"/>
                <w:szCs w:val="13"/>
                <w:color w:val="auto"/>
              </w:rPr>
              <w:t>07/31/2020</w:t>
            </w: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6.50%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L+525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1,970,525</w:t>
            </w:r>
          </w:p>
        </w:tc>
        <w:tc>
          <w:tcPr>
            <w:tcW w:w="880" w:type="dxa"/>
            <w:vAlign w:val="bottom"/>
          </w:tcPr>
          <w:p>
            <w:pPr>
              <w:jc w:val="right"/>
              <w:spacing w:after="0"/>
              <w:rPr>
                <w:sz w:val="20"/>
                <w:szCs w:val="20"/>
                <w:color w:val="auto"/>
              </w:rPr>
            </w:pPr>
            <w:r>
              <w:rPr>
                <w:rFonts w:ascii="Arial" w:cs="Arial" w:eastAsia="Arial" w:hAnsi="Arial"/>
                <w:sz w:val="13"/>
                <w:szCs w:val="13"/>
                <w:color w:val="auto"/>
              </w:rPr>
              <w:t>2,010,000</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CBAC Borrower, LLC </w:t>
            </w:r>
            <w:r>
              <w:rPr>
                <w:rFonts w:ascii="Arial" w:cs="Arial" w:eastAsia="Arial" w:hAnsi="Arial"/>
                <w:sz w:val="17"/>
                <w:szCs w:val="17"/>
                <w:color w:val="auto"/>
                <w:vertAlign w:val="superscript"/>
              </w:rPr>
              <w:t>(8)</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07/02/2020</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8.25%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L+700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5,000,000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4,950,774</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5,137,500</w:t>
            </w:r>
          </w:p>
        </w:tc>
        <w:tc>
          <w:tcPr>
            <w:tcW w:w="0" w:type="dxa"/>
            <w:vAlign w:val="bottom"/>
          </w:tcPr>
          <w:p>
            <w:pPr>
              <w:spacing w:after="0"/>
              <w:rPr>
                <w:sz w:val="1"/>
                <w:szCs w:val="1"/>
                <w:color w:val="auto"/>
              </w:rPr>
            </w:pPr>
          </w:p>
        </w:tc>
      </w:tr>
      <w:tr>
        <w:trPr>
          <w:trHeight w:val="138"/>
        </w:trPr>
        <w:tc>
          <w:tcPr>
            <w:tcW w:w="3220" w:type="dxa"/>
            <w:vAlign w:val="bottom"/>
          </w:tcPr>
          <w:p>
            <w:pPr>
              <w:spacing w:after="0" w:line="138" w:lineRule="exact"/>
              <w:rPr>
                <w:sz w:val="20"/>
                <w:szCs w:val="20"/>
                <w:color w:val="auto"/>
              </w:rPr>
            </w:pPr>
            <w:r>
              <w:rPr>
                <w:rFonts w:ascii="Arial" w:cs="Arial" w:eastAsia="Arial" w:hAnsi="Arial"/>
                <w:sz w:val="10"/>
                <w:szCs w:val="10"/>
                <w:color w:val="auto"/>
              </w:rPr>
              <w:t xml:space="preserve">Cetera Financial Group, Inc. </w:t>
            </w:r>
            <w:r>
              <w:rPr>
                <w:rFonts w:ascii="Arial" w:cs="Arial" w:eastAsia="Arial" w:hAnsi="Arial"/>
                <w:sz w:val="15"/>
                <w:szCs w:val="15"/>
                <w:color w:val="auto"/>
                <w:vertAlign w:val="superscript"/>
              </w:rPr>
              <w:t>(8)</w:t>
            </w:r>
          </w:p>
        </w:tc>
        <w:tc>
          <w:tcPr>
            <w:tcW w:w="3300" w:type="dxa"/>
            <w:vAlign w:val="bottom"/>
            <w:gridSpan w:val="2"/>
          </w:tcPr>
          <w:p>
            <w:pPr>
              <w:ind w:left="580"/>
              <w:spacing w:after="0" w:line="138" w:lineRule="exact"/>
              <w:rPr>
                <w:sz w:val="20"/>
                <w:szCs w:val="20"/>
                <w:color w:val="auto"/>
              </w:rPr>
            </w:pPr>
            <w:r>
              <w:rPr>
                <w:rFonts w:ascii="Arial" w:cs="Arial" w:eastAsia="Arial" w:hAnsi="Arial"/>
                <w:sz w:val="13"/>
                <w:szCs w:val="13"/>
                <w:color w:val="auto"/>
              </w:rPr>
              <w:t>08/07/2019   Banking, Finance, Insurance and</w:t>
            </w:r>
          </w:p>
        </w:tc>
        <w:tc>
          <w:tcPr>
            <w:tcW w:w="104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6.50%</w:t>
            </w:r>
          </w:p>
        </w:tc>
        <w:tc>
          <w:tcPr>
            <w:tcW w:w="92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9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5,000,000</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4,902,298</w:t>
            </w:r>
          </w:p>
        </w:tc>
        <w:tc>
          <w:tcPr>
            <w:tcW w:w="880" w:type="dxa"/>
            <w:vAlign w:val="bottom"/>
          </w:tcPr>
          <w:p>
            <w:pPr>
              <w:jc w:val="right"/>
              <w:spacing w:after="0" w:line="138" w:lineRule="exact"/>
              <w:rPr>
                <w:sz w:val="20"/>
                <w:szCs w:val="20"/>
                <w:color w:val="auto"/>
              </w:rPr>
            </w:pPr>
            <w:r>
              <w:rPr>
                <w:rFonts w:ascii="Arial" w:cs="Arial" w:eastAsia="Arial" w:hAnsi="Arial"/>
                <w:sz w:val="13"/>
                <w:szCs w:val="13"/>
                <w:color w:val="auto"/>
              </w:rPr>
              <w:t>4,954,150</w:t>
            </w: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89"/>
              </w:rPr>
              <w:t>Real Estate</w:t>
            </w: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CPG International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09/30/2020</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Construction and Building</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4.75%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L+375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5,000,000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4,975,000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4,975,000</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Cydcor LLC</w:t>
            </w:r>
          </w:p>
        </w:tc>
        <w:tc>
          <w:tcPr>
            <w:tcW w:w="1280" w:type="dxa"/>
            <w:vAlign w:val="bottom"/>
          </w:tcPr>
          <w:p>
            <w:pPr>
              <w:ind w:left="580"/>
              <w:spacing w:after="0"/>
              <w:rPr>
                <w:sz w:val="20"/>
                <w:szCs w:val="20"/>
                <w:color w:val="auto"/>
              </w:rPr>
            </w:pPr>
            <w:r>
              <w:rPr>
                <w:rFonts w:ascii="Arial" w:cs="Arial" w:eastAsia="Arial" w:hAnsi="Arial"/>
                <w:sz w:val="13"/>
                <w:szCs w:val="13"/>
                <w:color w:val="auto"/>
              </w:rPr>
              <w:t>06/12/2017</w:t>
            </w:r>
          </w:p>
        </w:tc>
        <w:tc>
          <w:tcPr>
            <w:tcW w:w="20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9.75%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L+725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1,958,125</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1,958,125</w:t>
            </w:r>
          </w:p>
        </w:tc>
        <w:tc>
          <w:tcPr>
            <w:tcW w:w="880" w:type="dxa"/>
            <w:vAlign w:val="bottom"/>
          </w:tcPr>
          <w:p>
            <w:pPr>
              <w:jc w:val="right"/>
              <w:spacing w:after="0"/>
              <w:rPr>
                <w:sz w:val="20"/>
                <w:szCs w:val="20"/>
                <w:color w:val="auto"/>
              </w:rPr>
            </w:pPr>
            <w:r>
              <w:rPr>
                <w:rFonts w:ascii="Arial" w:cs="Arial" w:eastAsia="Arial" w:hAnsi="Arial"/>
                <w:sz w:val="13"/>
                <w:szCs w:val="13"/>
                <w:color w:val="auto"/>
              </w:rPr>
              <w:t>1,958,125</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DCS Business Services,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03/19/2018</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7.25%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3,603,061</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3,554,898</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3,603,061</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Document Technologies, Inc. </w:t>
            </w:r>
            <w:r>
              <w:rPr>
                <w:rFonts w:ascii="Arial" w:cs="Arial" w:eastAsia="Arial" w:hAnsi="Arial"/>
                <w:sz w:val="17"/>
                <w:szCs w:val="17"/>
                <w:color w:val="auto"/>
                <w:vertAlign w:val="superscript"/>
              </w:rPr>
              <w:t>(8)</w:t>
            </w:r>
          </w:p>
        </w:tc>
        <w:tc>
          <w:tcPr>
            <w:tcW w:w="1280" w:type="dxa"/>
            <w:vAlign w:val="bottom"/>
          </w:tcPr>
          <w:p>
            <w:pPr>
              <w:ind w:left="580"/>
              <w:spacing w:after="0"/>
              <w:rPr>
                <w:sz w:val="20"/>
                <w:szCs w:val="20"/>
                <w:color w:val="auto"/>
              </w:rPr>
            </w:pPr>
            <w:r>
              <w:rPr>
                <w:rFonts w:ascii="Arial" w:cs="Arial" w:eastAsia="Arial" w:hAnsi="Arial"/>
                <w:sz w:val="13"/>
                <w:szCs w:val="13"/>
                <w:color w:val="auto"/>
              </w:rPr>
              <w:t>12/03/2018</w:t>
            </w:r>
          </w:p>
        </w:tc>
        <w:tc>
          <w:tcPr>
            <w:tcW w:w="2020" w:type="dxa"/>
            <w:vAlign w:val="bottom"/>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5.50%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L+425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961,264</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954,199</w:t>
            </w:r>
          </w:p>
        </w:tc>
        <w:tc>
          <w:tcPr>
            <w:tcW w:w="880" w:type="dxa"/>
            <w:vAlign w:val="bottom"/>
          </w:tcPr>
          <w:p>
            <w:pPr>
              <w:jc w:val="right"/>
              <w:spacing w:after="0"/>
              <w:rPr>
                <w:sz w:val="20"/>
                <w:szCs w:val="20"/>
                <w:color w:val="auto"/>
              </w:rPr>
            </w:pPr>
            <w:r>
              <w:rPr>
                <w:rFonts w:ascii="Arial" w:cs="Arial" w:eastAsia="Arial" w:hAnsi="Arial"/>
                <w:sz w:val="13"/>
                <w:szCs w:val="13"/>
                <w:color w:val="auto"/>
              </w:rPr>
              <w:t>961,263</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EAG, Inc. </w:t>
            </w:r>
            <w:r>
              <w:rPr>
                <w:rFonts w:ascii="Arial" w:cs="Arial" w:eastAsia="Arial" w:hAnsi="Arial"/>
                <w:sz w:val="17"/>
                <w:szCs w:val="17"/>
                <w:color w:val="auto"/>
                <w:vertAlign w:val="superscript"/>
              </w:rPr>
              <w:t>(8)</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07/28/2017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6.00%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L+450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888,721</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888,721</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888,721</w:t>
            </w:r>
          </w:p>
        </w:tc>
        <w:tc>
          <w:tcPr>
            <w:tcW w:w="0" w:type="dxa"/>
            <w:vAlign w:val="bottom"/>
          </w:tcPr>
          <w:p>
            <w:pPr>
              <w:spacing w:after="0"/>
              <w:rPr>
                <w:sz w:val="1"/>
                <w:szCs w:val="1"/>
                <w:color w:val="auto"/>
              </w:rPr>
            </w:pPr>
          </w:p>
        </w:tc>
      </w:tr>
      <w:tr>
        <w:trPr>
          <w:trHeight w:val="138"/>
        </w:trPr>
        <w:tc>
          <w:tcPr>
            <w:tcW w:w="3220" w:type="dxa"/>
            <w:vAlign w:val="bottom"/>
          </w:tcPr>
          <w:p>
            <w:pPr>
              <w:spacing w:after="0" w:line="138" w:lineRule="exact"/>
              <w:rPr>
                <w:sz w:val="20"/>
                <w:szCs w:val="20"/>
                <w:color w:val="auto"/>
              </w:rPr>
            </w:pPr>
            <w:r>
              <w:rPr>
                <w:rFonts w:ascii="Arial" w:cs="Arial" w:eastAsia="Arial" w:hAnsi="Arial"/>
                <w:sz w:val="13"/>
                <w:szCs w:val="13"/>
                <w:color w:val="auto"/>
              </w:rPr>
              <w:t>Edmentum, Inc.</w:t>
            </w:r>
          </w:p>
        </w:tc>
        <w:tc>
          <w:tcPr>
            <w:tcW w:w="1280" w:type="dxa"/>
            <w:vAlign w:val="bottom"/>
          </w:tcPr>
          <w:p>
            <w:pPr>
              <w:ind w:left="580"/>
              <w:spacing w:after="0" w:line="138" w:lineRule="exact"/>
              <w:rPr>
                <w:sz w:val="20"/>
                <w:szCs w:val="20"/>
                <w:color w:val="auto"/>
              </w:rPr>
            </w:pPr>
            <w:r>
              <w:rPr>
                <w:rFonts w:ascii="Arial" w:cs="Arial" w:eastAsia="Arial" w:hAnsi="Arial"/>
                <w:sz w:val="13"/>
                <w:szCs w:val="13"/>
                <w:color w:val="auto"/>
              </w:rPr>
              <w:t>05/17/2018</w:t>
            </w:r>
          </w:p>
        </w:tc>
        <w:tc>
          <w:tcPr>
            <w:tcW w:w="202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4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6.00%</w:t>
            </w:r>
          </w:p>
        </w:tc>
        <w:tc>
          <w:tcPr>
            <w:tcW w:w="92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L+475</w:t>
            </w:r>
          </w:p>
        </w:tc>
        <w:tc>
          <w:tcPr>
            <w:tcW w:w="9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938,438</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938,438</w:t>
            </w:r>
          </w:p>
        </w:tc>
        <w:tc>
          <w:tcPr>
            <w:tcW w:w="880" w:type="dxa"/>
            <w:vAlign w:val="bottom"/>
          </w:tcPr>
          <w:p>
            <w:pPr>
              <w:jc w:val="right"/>
              <w:spacing w:after="0" w:line="138" w:lineRule="exact"/>
              <w:rPr>
                <w:sz w:val="20"/>
                <w:szCs w:val="20"/>
                <w:color w:val="auto"/>
              </w:rPr>
            </w:pPr>
            <w:r>
              <w:rPr>
                <w:rFonts w:ascii="Arial" w:cs="Arial" w:eastAsia="Arial" w:hAnsi="Arial"/>
                <w:sz w:val="13"/>
                <w:szCs w:val="13"/>
                <w:color w:val="auto"/>
              </w:rPr>
              <w:t>941,563</w:t>
            </w: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EIG Investors Corp.</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11/12/2019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2,209,435</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2,191,417</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2,216,350</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Emerald Performance Materials, LLC</w:t>
            </w:r>
          </w:p>
        </w:tc>
        <w:tc>
          <w:tcPr>
            <w:tcW w:w="1280" w:type="dxa"/>
            <w:vAlign w:val="bottom"/>
          </w:tcPr>
          <w:p>
            <w:pPr>
              <w:ind w:left="580"/>
              <w:spacing w:after="0"/>
              <w:rPr>
                <w:sz w:val="20"/>
                <w:szCs w:val="20"/>
                <w:color w:val="auto"/>
              </w:rPr>
            </w:pPr>
            <w:r>
              <w:rPr>
                <w:rFonts w:ascii="Arial" w:cs="Arial" w:eastAsia="Arial" w:hAnsi="Arial"/>
                <w:sz w:val="13"/>
                <w:szCs w:val="13"/>
                <w:color w:val="auto"/>
              </w:rPr>
              <w:t>05/18/2018</w:t>
            </w:r>
          </w:p>
        </w:tc>
        <w:tc>
          <w:tcPr>
            <w:tcW w:w="202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6.75%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L+550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2,469,992</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2,451,906</w:t>
            </w:r>
          </w:p>
        </w:tc>
        <w:tc>
          <w:tcPr>
            <w:tcW w:w="880" w:type="dxa"/>
            <w:vAlign w:val="bottom"/>
          </w:tcPr>
          <w:p>
            <w:pPr>
              <w:jc w:val="right"/>
              <w:spacing w:after="0"/>
              <w:rPr>
                <w:sz w:val="20"/>
                <w:szCs w:val="20"/>
                <w:color w:val="auto"/>
              </w:rPr>
            </w:pPr>
            <w:r>
              <w:rPr>
                <w:rFonts w:ascii="Arial" w:cs="Arial" w:eastAsia="Arial" w:hAnsi="Arial"/>
                <w:sz w:val="13"/>
                <w:szCs w:val="13"/>
                <w:color w:val="auto"/>
              </w:rPr>
              <w:t>2,482,342</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eResearchtechnology,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05/02/2018</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6.00%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L+475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2,970,056</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2,955,416</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2,970,056</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FHC Health Systems,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01/09/2018</w:t>
            </w: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5.75%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4,937,500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4,890,024</w:t>
            </w:r>
          </w:p>
        </w:tc>
        <w:tc>
          <w:tcPr>
            <w:tcW w:w="880" w:type="dxa"/>
            <w:vAlign w:val="bottom"/>
          </w:tcPr>
          <w:p>
            <w:pPr>
              <w:jc w:val="right"/>
              <w:spacing w:after="0"/>
              <w:rPr>
                <w:sz w:val="20"/>
                <w:szCs w:val="20"/>
                <w:color w:val="auto"/>
              </w:rPr>
            </w:pPr>
            <w:r>
              <w:rPr>
                <w:rFonts w:ascii="Arial" w:cs="Arial" w:eastAsia="Arial" w:hAnsi="Arial"/>
                <w:sz w:val="13"/>
                <w:szCs w:val="13"/>
                <w:color w:val="auto"/>
              </w:rPr>
              <w:t>4,962,187</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Fishnet Security,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11/30/2017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3,647,438</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3,623,608</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3,632,228</w:t>
            </w:r>
          </w:p>
        </w:tc>
        <w:tc>
          <w:tcPr>
            <w:tcW w:w="0" w:type="dxa"/>
            <w:vAlign w:val="bottom"/>
          </w:tcPr>
          <w:p>
            <w:pPr>
              <w:spacing w:after="0"/>
              <w:rPr>
                <w:sz w:val="1"/>
                <w:szCs w:val="1"/>
                <w:color w:val="auto"/>
              </w:rPr>
            </w:pPr>
          </w:p>
        </w:tc>
      </w:tr>
      <w:tr>
        <w:trPr>
          <w:trHeight w:val="138"/>
        </w:trPr>
        <w:tc>
          <w:tcPr>
            <w:tcW w:w="3220" w:type="dxa"/>
            <w:vAlign w:val="bottom"/>
          </w:tcPr>
          <w:p>
            <w:pPr>
              <w:spacing w:after="0" w:line="138" w:lineRule="exact"/>
              <w:rPr>
                <w:sz w:val="20"/>
                <w:szCs w:val="20"/>
                <w:color w:val="auto"/>
              </w:rPr>
            </w:pPr>
            <w:r>
              <w:rPr>
                <w:rFonts w:ascii="Arial" w:cs="Arial" w:eastAsia="Arial" w:hAnsi="Arial"/>
                <w:sz w:val="13"/>
                <w:szCs w:val="13"/>
                <w:color w:val="auto"/>
              </w:rPr>
              <w:t>Granite Broadcasting Corporation</w:t>
            </w:r>
          </w:p>
        </w:tc>
        <w:tc>
          <w:tcPr>
            <w:tcW w:w="1280" w:type="dxa"/>
            <w:vAlign w:val="bottom"/>
          </w:tcPr>
          <w:p>
            <w:pPr>
              <w:ind w:left="580"/>
              <w:spacing w:after="0" w:line="138" w:lineRule="exact"/>
              <w:rPr>
                <w:sz w:val="20"/>
                <w:szCs w:val="20"/>
                <w:color w:val="auto"/>
              </w:rPr>
            </w:pPr>
            <w:r>
              <w:rPr>
                <w:rFonts w:ascii="Arial" w:cs="Arial" w:eastAsia="Arial" w:hAnsi="Arial"/>
                <w:sz w:val="13"/>
                <w:szCs w:val="13"/>
                <w:color w:val="auto"/>
              </w:rPr>
              <w:t>05/23/2018</w:t>
            </w:r>
          </w:p>
        </w:tc>
        <w:tc>
          <w:tcPr>
            <w:tcW w:w="2020" w:type="dxa"/>
            <w:vAlign w:val="bottom"/>
          </w:tcPr>
          <w:p>
            <w:pPr>
              <w:jc w:val="center"/>
              <w:spacing w:after="0" w:line="138" w:lineRule="exact"/>
              <w:rPr>
                <w:sz w:val="20"/>
                <w:szCs w:val="20"/>
                <w:color w:val="auto"/>
              </w:rPr>
            </w:pPr>
            <w:r>
              <w:rPr>
                <w:rFonts w:ascii="Arial" w:cs="Arial" w:eastAsia="Arial" w:hAnsi="Arial"/>
                <w:sz w:val="13"/>
                <w:szCs w:val="13"/>
                <w:color w:val="auto"/>
                <w:w w:val="94"/>
              </w:rPr>
              <w:t>Media: Broadcasting and</w:t>
            </w:r>
          </w:p>
        </w:tc>
        <w:tc>
          <w:tcPr>
            <w:tcW w:w="104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6.75%</w:t>
            </w:r>
          </w:p>
        </w:tc>
        <w:tc>
          <w:tcPr>
            <w:tcW w:w="92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9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2,985,000</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2,978,216</w:t>
            </w:r>
          </w:p>
        </w:tc>
        <w:tc>
          <w:tcPr>
            <w:tcW w:w="880" w:type="dxa"/>
            <w:vAlign w:val="bottom"/>
          </w:tcPr>
          <w:p>
            <w:pPr>
              <w:jc w:val="right"/>
              <w:spacing w:after="0" w:line="138" w:lineRule="exact"/>
              <w:rPr>
                <w:sz w:val="20"/>
                <w:szCs w:val="20"/>
                <w:color w:val="auto"/>
              </w:rPr>
            </w:pPr>
            <w:r>
              <w:rPr>
                <w:rFonts w:ascii="Arial" w:cs="Arial" w:eastAsia="Arial" w:hAnsi="Arial"/>
                <w:sz w:val="13"/>
                <w:szCs w:val="13"/>
                <w:color w:val="auto"/>
              </w:rPr>
              <w:t>2,987,478</w:t>
            </w: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Subscription</w:t>
            </w: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 (8)</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09/02/2019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9.63%</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3,000,000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3,000,000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3,300,000</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w:t>
            </w:r>
          </w:p>
        </w:tc>
        <w:tc>
          <w:tcPr>
            <w:tcW w:w="1280" w:type="dxa"/>
            <w:vAlign w:val="bottom"/>
          </w:tcPr>
          <w:p>
            <w:pPr>
              <w:ind w:left="580"/>
              <w:spacing w:after="0"/>
              <w:rPr>
                <w:sz w:val="20"/>
                <w:szCs w:val="20"/>
                <w:color w:val="auto"/>
              </w:rPr>
            </w:pPr>
            <w:r>
              <w:rPr>
                <w:rFonts w:ascii="Arial" w:cs="Arial" w:eastAsia="Arial" w:hAnsi="Arial"/>
                <w:sz w:val="13"/>
                <w:szCs w:val="13"/>
                <w:color w:val="auto"/>
              </w:rPr>
              <w:t>05/27/2016</w:t>
            </w: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Environmental Industries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8.99%</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L+750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2,934,372</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2,926,116</w:t>
            </w:r>
          </w:p>
        </w:tc>
        <w:tc>
          <w:tcPr>
            <w:tcW w:w="880" w:type="dxa"/>
            <w:vAlign w:val="bottom"/>
          </w:tcPr>
          <w:p>
            <w:pPr>
              <w:jc w:val="right"/>
              <w:spacing w:after="0"/>
              <w:rPr>
                <w:sz w:val="20"/>
                <w:szCs w:val="20"/>
                <w:color w:val="auto"/>
              </w:rPr>
            </w:pPr>
            <w:r>
              <w:rPr>
                <w:rFonts w:ascii="Arial" w:cs="Arial" w:eastAsia="Arial" w:hAnsi="Arial"/>
                <w:sz w:val="13"/>
                <w:szCs w:val="13"/>
                <w:color w:val="auto"/>
              </w:rPr>
              <w:t>2,567,575</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GSE Environmental, Inc. </w:t>
            </w:r>
            <w:r>
              <w:rPr>
                <w:rFonts w:ascii="Arial" w:cs="Arial" w:eastAsia="Arial" w:hAnsi="Arial"/>
                <w:sz w:val="17"/>
                <w:szCs w:val="17"/>
                <w:color w:val="auto"/>
                <w:vertAlign w:val="superscript"/>
              </w:rPr>
              <w:t>(8), (10)</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10/31/2013</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Environmental Industries</w:t>
            </w:r>
          </w:p>
        </w:tc>
        <w:tc>
          <w:tcPr>
            <w:tcW w:w="1040" w:type="dxa"/>
            <w:vAlign w:val="bottom"/>
            <w:shd w:val="clear" w:color="auto" w:fill="CCEEFF"/>
          </w:tcPr>
          <w:p>
            <w:pPr>
              <w:jc w:val="right"/>
              <w:ind w:right="37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153"/>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175,657</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175,657</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153,700</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Help/Systems Holdings, Inc. </w:t>
            </w:r>
            <w:r>
              <w:rPr>
                <w:rFonts w:ascii="Arial" w:cs="Arial" w:eastAsia="Arial" w:hAnsi="Arial"/>
                <w:sz w:val="17"/>
                <w:szCs w:val="17"/>
                <w:color w:val="auto"/>
                <w:vertAlign w:val="superscript"/>
              </w:rPr>
              <w:t>(8)</w:t>
            </w:r>
          </w:p>
        </w:tc>
        <w:tc>
          <w:tcPr>
            <w:tcW w:w="1280" w:type="dxa"/>
            <w:vAlign w:val="bottom"/>
          </w:tcPr>
          <w:p>
            <w:pPr>
              <w:ind w:left="580"/>
              <w:spacing w:after="0"/>
              <w:rPr>
                <w:sz w:val="20"/>
                <w:szCs w:val="20"/>
                <w:color w:val="auto"/>
              </w:rPr>
            </w:pPr>
            <w:r>
              <w:rPr>
                <w:rFonts w:ascii="Arial" w:cs="Arial" w:eastAsia="Arial" w:hAnsi="Arial"/>
                <w:sz w:val="13"/>
                <w:szCs w:val="13"/>
                <w:color w:val="auto"/>
              </w:rPr>
              <w:t>06/28/2019</w:t>
            </w:r>
          </w:p>
        </w:tc>
        <w:tc>
          <w:tcPr>
            <w:tcW w:w="2020" w:type="dxa"/>
            <w:vAlign w:val="bottom"/>
          </w:tcPr>
          <w:p>
            <w:pPr>
              <w:jc w:val="center"/>
              <w:spacing w:after="0"/>
              <w:rPr>
                <w:sz w:val="20"/>
                <w:szCs w:val="20"/>
                <w:color w:val="auto"/>
              </w:rPr>
            </w:pPr>
            <w:r>
              <w:rPr>
                <w:rFonts w:ascii="Arial" w:cs="Arial" w:eastAsia="Arial" w:hAnsi="Arial"/>
                <w:sz w:val="13"/>
                <w:szCs w:val="13"/>
                <w:color w:val="auto"/>
                <w:w w:val="93"/>
              </w:rPr>
              <w:t>High Tech Industries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5.50%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L+450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5,000,000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4,952,010</w:t>
            </w:r>
          </w:p>
        </w:tc>
        <w:tc>
          <w:tcPr>
            <w:tcW w:w="880" w:type="dxa"/>
            <w:vAlign w:val="bottom"/>
          </w:tcPr>
          <w:p>
            <w:pPr>
              <w:jc w:val="right"/>
              <w:spacing w:after="0"/>
              <w:rPr>
                <w:sz w:val="20"/>
                <w:szCs w:val="20"/>
                <w:color w:val="auto"/>
              </w:rPr>
            </w:pPr>
            <w:r>
              <w:rPr>
                <w:rFonts w:ascii="Arial" w:cs="Arial" w:eastAsia="Arial" w:hAnsi="Arial"/>
                <w:sz w:val="13"/>
                <w:szCs w:val="13"/>
                <w:color w:val="auto"/>
              </w:rPr>
              <w:t>4,962,500</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Howard Berger Co. LLC </w:t>
            </w:r>
            <w:r>
              <w:rPr>
                <w:rFonts w:ascii="Arial" w:cs="Arial" w:eastAsia="Arial" w:hAnsi="Arial"/>
                <w:sz w:val="17"/>
                <w:szCs w:val="17"/>
                <w:color w:val="auto"/>
                <w:vertAlign w:val="superscript"/>
              </w:rPr>
              <w:t>(8)</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08/03/2017</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Wholesale</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2,585,993</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2,555,979</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2,456,693</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IDQ Holdings, Inc. </w:t>
            </w:r>
            <w:r>
              <w:rPr>
                <w:rFonts w:ascii="Arial" w:cs="Arial" w:eastAsia="Arial" w:hAnsi="Arial"/>
                <w:sz w:val="17"/>
                <w:szCs w:val="17"/>
                <w:color w:val="auto"/>
                <w:vertAlign w:val="superscript"/>
              </w:rPr>
              <w:t>(5), (8)</w:t>
            </w:r>
          </w:p>
        </w:tc>
        <w:tc>
          <w:tcPr>
            <w:tcW w:w="1280" w:type="dxa"/>
            <w:vAlign w:val="bottom"/>
          </w:tcPr>
          <w:p>
            <w:pPr>
              <w:ind w:left="580"/>
              <w:spacing w:after="0"/>
              <w:rPr>
                <w:sz w:val="20"/>
                <w:szCs w:val="20"/>
                <w:color w:val="auto"/>
              </w:rPr>
            </w:pPr>
            <w:r>
              <w:rPr>
                <w:rFonts w:ascii="Arial" w:cs="Arial" w:eastAsia="Arial" w:hAnsi="Arial"/>
                <w:sz w:val="13"/>
                <w:szCs w:val="13"/>
                <w:color w:val="auto"/>
              </w:rPr>
              <w:t>03/30/2017</w:t>
            </w:r>
          </w:p>
        </w:tc>
        <w:tc>
          <w:tcPr>
            <w:tcW w:w="2020" w:type="dxa"/>
            <w:vAlign w:val="bottom"/>
          </w:tcPr>
          <w:p>
            <w:pPr>
              <w:jc w:val="center"/>
              <w:spacing w:after="0"/>
              <w:rPr>
                <w:sz w:val="20"/>
                <w:szCs w:val="20"/>
                <w:color w:val="auto"/>
              </w:rPr>
            </w:pPr>
            <w:r>
              <w:rPr>
                <w:rFonts w:ascii="Arial" w:cs="Arial" w:eastAsia="Arial" w:hAnsi="Arial"/>
                <w:sz w:val="13"/>
                <w:szCs w:val="13"/>
                <w:color w:val="auto"/>
                <w:w w:val="98"/>
              </w:rPr>
              <w:t>Automotive</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11.50%</w:t>
            </w:r>
          </w:p>
        </w:tc>
        <w:tc>
          <w:tcPr>
            <w:tcW w:w="920" w:type="dxa"/>
            <w:vAlign w:val="bottom"/>
          </w:tcPr>
          <w:p>
            <w:pPr>
              <w:jc w:val="right"/>
              <w:ind w:right="153"/>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2,000,000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1,969,758</w:t>
            </w:r>
          </w:p>
        </w:tc>
        <w:tc>
          <w:tcPr>
            <w:tcW w:w="880" w:type="dxa"/>
            <w:vAlign w:val="bottom"/>
          </w:tcPr>
          <w:p>
            <w:pPr>
              <w:jc w:val="right"/>
              <w:spacing w:after="0"/>
              <w:rPr>
                <w:sz w:val="20"/>
                <w:szCs w:val="20"/>
                <w:color w:val="auto"/>
              </w:rPr>
            </w:pPr>
            <w:r>
              <w:rPr>
                <w:rFonts w:ascii="Arial" w:cs="Arial" w:eastAsia="Arial" w:hAnsi="Arial"/>
                <w:sz w:val="13"/>
                <w:szCs w:val="13"/>
                <w:color w:val="auto"/>
              </w:rPr>
              <w:t>2,155,000</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iEnergizer Limited and Aptara, Inc. </w:t>
            </w:r>
            <w:r>
              <w:rPr>
                <w:rFonts w:ascii="Arial" w:cs="Arial" w:eastAsia="Arial" w:hAnsi="Arial"/>
                <w:sz w:val="17"/>
                <w:szCs w:val="17"/>
                <w:color w:val="auto"/>
                <w:vertAlign w:val="superscript"/>
              </w:rPr>
              <w:t>(6)</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05/01/2019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Business Services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7.25%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L+600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8,775,000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8,632,866</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8,687,250</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InfuSystem Holdings, Inc.</w:t>
            </w:r>
          </w:p>
        </w:tc>
        <w:tc>
          <w:tcPr>
            <w:tcW w:w="1280" w:type="dxa"/>
            <w:vAlign w:val="bottom"/>
          </w:tcPr>
          <w:p>
            <w:pPr>
              <w:ind w:left="580"/>
              <w:spacing w:after="0"/>
              <w:rPr>
                <w:sz w:val="20"/>
                <w:szCs w:val="20"/>
                <w:color w:val="auto"/>
              </w:rPr>
            </w:pPr>
            <w:r>
              <w:rPr>
                <w:rFonts w:ascii="Arial" w:cs="Arial" w:eastAsia="Arial" w:hAnsi="Arial"/>
                <w:sz w:val="13"/>
                <w:szCs w:val="13"/>
                <w:color w:val="auto"/>
              </w:rPr>
              <w:t>11/30/2016</w:t>
            </w: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11.95%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P+625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2,175,000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2,175,000</w:t>
            </w:r>
          </w:p>
        </w:tc>
        <w:tc>
          <w:tcPr>
            <w:tcW w:w="880" w:type="dxa"/>
            <w:vAlign w:val="bottom"/>
          </w:tcPr>
          <w:p>
            <w:pPr>
              <w:jc w:val="right"/>
              <w:spacing w:after="0"/>
              <w:rPr>
                <w:sz w:val="20"/>
                <w:szCs w:val="20"/>
                <w:color w:val="auto"/>
              </w:rPr>
            </w:pPr>
            <w:r>
              <w:rPr>
                <w:rFonts w:ascii="Arial" w:cs="Arial" w:eastAsia="Arial" w:hAnsi="Arial"/>
                <w:sz w:val="13"/>
                <w:szCs w:val="13"/>
                <w:color w:val="auto"/>
              </w:rPr>
              <w:t>2,195,331</w:t>
            </w:r>
          </w:p>
        </w:tc>
        <w:tc>
          <w:tcPr>
            <w:tcW w:w="0" w:type="dxa"/>
            <w:vAlign w:val="bottom"/>
          </w:tcPr>
          <w:p>
            <w:pPr>
              <w:spacing w:after="0"/>
              <w:rPr>
                <w:sz w:val="1"/>
                <w:szCs w:val="1"/>
                <w:color w:val="auto"/>
              </w:rPr>
            </w:pPr>
          </w:p>
        </w:tc>
      </w:tr>
      <w:tr>
        <w:trPr>
          <w:trHeight w:val="138"/>
        </w:trPr>
        <w:tc>
          <w:tcPr>
            <w:tcW w:w="3220" w:type="dxa"/>
            <w:vAlign w:val="bottom"/>
            <w:shd w:val="clear" w:color="auto" w:fill="CCEEFF"/>
          </w:tcPr>
          <w:p>
            <w:pPr>
              <w:spacing w:after="0" w:line="138" w:lineRule="exact"/>
              <w:rPr>
                <w:sz w:val="20"/>
                <w:szCs w:val="20"/>
                <w:color w:val="auto"/>
              </w:rPr>
            </w:pPr>
            <w:r>
              <w:rPr>
                <w:rFonts w:ascii="Arial" w:cs="Arial" w:eastAsia="Arial" w:hAnsi="Arial"/>
                <w:sz w:val="10"/>
                <w:szCs w:val="10"/>
                <w:color w:val="auto"/>
              </w:rPr>
              <w:t xml:space="preserve">Instant Web, Inc. </w:t>
            </w:r>
            <w:r>
              <w:rPr>
                <w:rFonts w:ascii="Arial" w:cs="Arial" w:eastAsia="Arial" w:hAnsi="Arial"/>
                <w:sz w:val="15"/>
                <w:szCs w:val="15"/>
                <w:color w:val="auto"/>
                <w:vertAlign w:val="superscript"/>
              </w:rPr>
              <w:t>(8)</w:t>
            </w:r>
          </w:p>
        </w:tc>
        <w:tc>
          <w:tcPr>
            <w:tcW w:w="1280" w:type="dxa"/>
            <w:vAlign w:val="bottom"/>
            <w:shd w:val="clear" w:color="auto" w:fill="CCEEFF"/>
          </w:tcPr>
          <w:p>
            <w:pPr>
              <w:ind w:left="580"/>
              <w:spacing w:after="0" w:line="138" w:lineRule="exact"/>
              <w:rPr>
                <w:sz w:val="20"/>
                <w:szCs w:val="20"/>
                <w:color w:val="auto"/>
              </w:rPr>
            </w:pPr>
            <w:r>
              <w:rPr>
                <w:rFonts w:ascii="Arial" w:cs="Arial" w:eastAsia="Arial" w:hAnsi="Arial"/>
                <w:sz w:val="13"/>
                <w:szCs w:val="13"/>
                <w:color w:val="auto"/>
              </w:rPr>
              <w:t>08/07/2014</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Advertising, Printing and</w:t>
            </w:r>
          </w:p>
        </w:tc>
        <w:tc>
          <w:tcPr>
            <w:tcW w:w="1040" w:type="dxa"/>
            <w:vAlign w:val="bottom"/>
            <w:shd w:val="clear" w:color="auto" w:fill="CCEEFF"/>
          </w:tcPr>
          <w:p>
            <w:pPr>
              <w:jc w:val="right"/>
              <w:ind w:right="53"/>
              <w:spacing w:after="0" w:line="138" w:lineRule="exact"/>
              <w:rPr>
                <w:sz w:val="20"/>
                <w:szCs w:val="20"/>
                <w:color w:val="auto"/>
              </w:rPr>
            </w:pPr>
            <w:r>
              <w:rPr>
                <w:rFonts w:ascii="Arial" w:cs="Arial" w:eastAsia="Arial" w:hAnsi="Arial"/>
                <w:sz w:val="10"/>
                <w:szCs w:val="10"/>
                <w:color w:val="auto"/>
              </w:rPr>
              <w:t>3.55%</w:t>
            </w:r>
            <w:r>
              <w:rPr>
                <w:rFonts w:ascii="Arial" w:cs="Arial" w:eastAsia="Arial" w:hAnsi="Arial"/>
                <w:sz w:val="15"/>
                <w:szCs w:val="15"/>
                <w:color w:val="auto"/>
                <w:vertAlign w:val="superscript"/>
              </w:rPr>
              <w:t>(9)</w:t>
            </w:r>
          </w:p>
        </w:tc>
        <w:tc>
          <w:tcPr>
            <w:tcW w:w="92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L+338</w:t>
            </w:r>
          </w:p>
        </w:tc>
        <w:tc>
          <w:tcPr>
            <w:tcW w:w="9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6,836,389</w:t>
            </w:r>
          </w:p>
        </w:tc>
        <w:tc>
          <w:tcPr>
            <w:tcW w:w="96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6,698,584</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5,469,111</w:t>
            </w:r>
          </w:p>
        </w:tc>
        <w:tc>
          <w:tcPr>
            <w:tcW w:w="0" w:type="dxa"/>
            <w:vAlign w:val="bottom"/>
          </w:tcPr>
          <w:p>
            <w:pPr>
              <w:spacing w:after="0"/>
              <w:rPr>
                <w:sz w:val="1"/>
                <w:szCs w:val="1"/>
                <w:color w:val="auto"/>
              </w:rPr>
            </w:pPr>
          </w:p>
        </w:tc>
      </w:tr>
      <w:tr>
        <w:trPr>
          <w:trHeight w:val="159"/>
        </w:trPr>
        <w:tc>
          <w:tcPr>
            <w:tcW w:w="3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Publishing</w:t>
            </w:r>
          </w:p>
        </w:tc>
        <w:tc>
          <w:tcPr>
            <w:tcW w:w="1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220" w:type="dxa"/>
            <w:vAlign w:val="bottom"/>
          </w:tcPr>
          <w:p>
            <w:pPr>
              <w:spacing w:after="0"/>
              <w:rPr>
                <w:sz w:val="20"/>
                <w:szCs w:val="20"/>
                <w:color w:val="auto"/>
              </w:rPr>
            </w:pPr>
            <w:r>
              <w:rPr>
                <w:rFonts w:ascii="Arial" w:cs="Arial" w:eastAsia="Arial" w:hAnsi="Arial"/>
                <w:sz w:val="13"/>
                <w:szCs w:val="13"/>
                <w:color w:val="auto"/>
              </w:rPr>
              <w:t>Jackson Hewitt Tax Service Inc.</w:t>
            </w:r>
          </w:p>
        </w:tc>
        <w:tc>
          <w:tcPr>
            <w:tcW w:w="1280" w:type="dxa"/>
            <w:vAlign w:val="bottom"/>
          </w:tcPr>
          <w:p>
            <w:pPr>
              <w:ind w:left="580"/>
              <w:spacing w:after="0"/>
              <w:rPr>
                <w:sz w:val="20"/>
                <w:szCs w:val="20"/>
                <w:color w:val="auto"/>
              </w:rPr>
            </w:pPr>
            <w:r>
              <w:rPr>
                <w:rFonts w:ascii="Arial" w:cs="Arial" w:eastAsia="Arial" w:hAnsi="Arial"/>
                <w:sz w:val="13"/>
                <w:szCs w:val="13"/>
                <w:color w:val="auto"/>
              </w:rPr>
              <w:t>10/16/2017</w:t>
            </w: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10.00%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L+850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5,521,875</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5,406,642</w:t>
            </w:r>
          </w:p>
        </w:tc>
        <w:tc>
          <w:tcPr>
            <w:tcW w:w="880" w:type="dxa"/>
            <w:vAlign w:val="bottom"/>
          </w:tcPr>
          <w:p>
            <w:pPr>
              <w:jc w:val="right"/>
              <w:spacing w:after="0"/>
              <w:rPr>
                <w:sz w:val="20"/>
                <w:szCs w:val="20"/>
                <w:color w:val="auto"/>
              </w:rPr>
            </w:pPr>
            <w:r>
              <w:rPr>
                <w:rFonts w:ascii="Arial" w:cs="Arial" w:eastAsia="Arial" w:hAnsi="Arial"/>
                <w:sz w:val="13"/>
                <w:szCs w:val="13"/>
                <w:color w:val="auto"/>
              </w:rPr>
              <w:t>5,439,047</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JHCI Acquisition,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07/11/2019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Transportation: Cargo</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1,995,000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1,965,824</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1,981,454</w:t>
            </w:r>
          </w:p>
        </w:tc>
        <w:tc>
          <w:tcPr>
            <w:tcW w:w="0" w:type="dxa"/>
            <w:vAlign w:val="bottom"/>
          </w:tcPr>
          <w:p>
            <w:pPr>
              <w:spacing w:after="0"/>
              <w:rPr>
                <w:sz w:val="1"/>
                <w:szCs w:val="1"/>
                <w:color w:val="auto"/>
              </w:rPr>
            </w:pPr>
          </w:p>
        </w:tc>
      </w:tr>
      <w:tr>
        <w:trPr>
          <w:trHeight w:val="148"/>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K2 Pure Solutions NoCal, L.P. </w:t>
            </w:r>
            <w:r>
              <w:rPr>
                <w:rFonts w:ascii="Arial" w:cs="Arial" w:eastAsia="Arial" w:hAnsi="Arial"/>
                <w:sz w:val="17"/>
                <w:szCs w:val="17"/>
                <w:color w:val="auto"/>
                <w:vertAlign w:val="superscript"/>
              </w:rPr>
              <w:t>(8)</w:t>
            </w:r>
          </w:p>
        </w:tc>
        <w:tc>
          <w:tcPr>
            <w:tcW w:w="1280" w:type="dxa"/>
            <w:vAlign w:val="bottom"/>
          </w:tcPr>
          <w:p>
            <w:pPr>
              <w:ind w:left="580"/>
              <w:spacing w:after="0"/>
              <w:rPr>
                <w:sz w:val="20"/>
                <w:szCs w:val="20"/>
                <w:color w:val="auto"/>
              </w:rPr>
            </w:pPr>
            <w:r>
              <w:rPr>
                <w:rFonts w:ascii="Arial" w:cs="Arial" w:eastAsia="Arial" w:hAnsi="Arial"/>
                <w:sz w:val="13"/>
                <w:szCs w:val="13"/>
                <w:color w:val="auto"/>
              </w:rPr>
              <w:t>08/19/2019</w:t>
            </w:r>
          </w:p>
        </w:tc>
        <w:tc>
          <w:tcPr>
            <w:tcW w:w="202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10.00%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L+900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6,157,648</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6,034,495</w:t>
            </w:r>
          </w:p>
        </w:tc>
        <w:tc>
          <w:tcPr>
            <w:tcW w:w="880" w:type="dxa"/>
            <w:vAlign w:val="bottom"/>
          </w:tcPr>
          <w:p>
            <w:pPr>
              <w:jc w:val="right"/>
              <w:spacing w:after="0"/>
              <w:rPr>
                <w:sz w:val="20"/>
                <w:szCs w:val="20"/>
                <w:color w:val="auto"/>
              </w:rPr>
            </w:pPr>
            <w:r>
              <w:rPr>
                <w:rFonts w:ascii="Arial" w:cs="Arial" w:eastAsia="Arial" w:hAnsi="Arial"/>
                <w:sz w:val="13"/>
                <w:szCs w:val="13"/>
                <w:color w:val="auto"/>
              </w:rPr>
              <w:t>6,065,283</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LifeCare Holdings LLC </w:t>
            </w:r>
            <w:r>
              <w:rPr>
                <w:rFonts w:ascii="Arial" w:cs="Arial" w:eastAsia="Arial" w:hAnsi="Arial"/>
                <w:sz w:val="17"/>
                <w:szCs w:val="17"/>
                <w:color w:val="auto"/>
                <w:vertAlign w:val="superscript"/>
              </w:rPr>
              <w:t>(8)</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11/30/2018</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L+525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5,985,000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5,900,289</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5,865,300</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Meritas Schools Holdings, LLC</w:t>
            </w:r>
          </w:p>
        </w:tc>
        <w:tc>
          <w:tcPr>
            <w:tcW w:w="1280" w:type="dxa"/>
            <w:vAlign w:val="bottom"/>
          </w:tcPr>
          <w:p>
            <w:pPr>
              <w:ind w:left="580"/>
              <w:spacing w:after="0"/>
              <w:rPr>
                <w:sz w:val="20"/>
                <w:szCs w:val="20"/>
                <w:color w:val="auto"/>
              </w:rPr>
            </w:pPr>
            <w:r>
              <w:rPr>
                <w:rFonts w:ascii="Arial" w:cs="Arial" w:eastAsia="Arial" w:hAnsi="Arial"/>
                <w:sz w:val="13"/>
                <w:szCs w:val="13"/>
                <w:color w:val="auto"/>
              </w:rPr>
              <w:t>06/25/2019</w:t>
            </w: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Consumer Services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L+575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2,992,500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2,963,605</w:t>
            </w:r>
          </w:p>
        </w:tc>
        <w:tc>
          <w:tcPr>
            <w:tcW w:w="880" w:type="dxa"/>
            <w:vAlign w:val="bottom"/>
          </w:tcPr>
          <w:p>
            <w:pPr>
              <w:jc w:val="right"/>
              <w:spacing w:after="0"/>
              <w:rPr>
                <w:sz w:val="20"/>
                <w:szCs w:val="20"/>
                <w:color w:val="auto"/>
              </w:rPr>
            </w:pPr>
            <w:r>
              <w:rPr>
                <w:rFonts w:ascii="Arial" w:cs="Arial" w:eastAsia="Arial" w:hAnsi="Arial"/>
                <w:sz w:val="13"/>
                <w:szCs w:val="13"/>
                <w:color w:val="auto"/>
              </w:rPr>
              <w:t>2,987,503</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Milk Specialties Company</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11/09/2018</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Consumer Goods: Non-Durable</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L+575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3,383,000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3,354,728</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3,374,542</w:t>
            </w:r>
          </w:p>
        </w:tc>
        <w:tc>
          <w:tcPr>
            <w:tcW w:w="0" w:type="dxa"/>
            <w:vAlign w:val="bottom"/>
          </w:tcPr>
          <w:p>
            <w:pPr>
              <w:spacing w:after="0"/>
              <w:rPr>
                <w:sz w:val="1"/>
                <w:szCs w:val="1"/>
                <w:color w:val="auto"/>
              </w:rPr>
            </w:pPr>
          </w:p>
        </w:tc>
      </w:tr>
      <w:tr>
        <w:trPr>
          <w:trHeight w:val="138"/>
        </w:trPr>
        <w:tc>
          <w:tcPr>
            <w:tcW w:w="3220" w:type="dxa"/>
            <w:vAlign w:val="bottom"/>
          </w:tcPr>
          <w:p>
            <w:pPr>
              <w:spacing w:after="0" w:line="138" w:lineRule="exact"/>
              <w:rPr>
                <w:sz w:val="20"/>
                <w:szCs w:val="20"/>
                <w:color w:val="auto"/>
              </w:rPr>
            </w:pPr>
            <w:r>
              <w:rPr>
                <w:rFonts w:ascii="Arial" w:cs="Arial" w:eastAsia="Arial" w:hAnsi="Arial"/>
                <w:sz w:val="10"/>
                <w:szCs w:val="10"/>
                <w:color w:val="auto"/>
              </w:rPr>
              <w:t xml:space="preserve">Mood Media Corporation </w:t>
            </w:r>
            <w:r>
              <w:rPr>
                <w:rFonts w:ascii="Arial" w:cs="Arial" w:eastAsia="Arial" w:hAnsi="Arial"/>
                <w:sz w:val="15"/>
                <w:szCs w:val="15"/>
                <w:color w:val="auto"/>
                <w:vertAlign w:val="superscript"/>
              </w:rPr>
              <w:t>(6)</w:t>
            </w:r>
          </w:p>
        </w:tc>
        <w:tc>
          <w:tcPr>
            <w:tcW w:w="1280" w:type="dxa"/>
            <w:vAlign w:val="bottom"/>
          </w:tcPr>
          <w:p>
            <w:pPr>
              <w:ind w:left="580"/>
              <w:spacing w:after="0" w:line="138" w:lineRule="exact"/>
              <w:rPr>
                <w:sz w:val="20"/>
                <w:szCs w:val="20"/>
                <w:color w:val="auto"/>
              </w:rPr>
            </w:pPr>
            <w:r>
              <w:rPr>
                <w:rFonts w:ascii="Arial" w:cs="Arial" w:eastAsia="Arial" w:hAnsi="Arial"/>
                <w:sz w:val="13"/>
                <w:szCs w:val="13"/>
                <w:color w:val="auto"/>
              </w:rPr>
              <w:t>05/07/2018</w:t>
            </w:r>
          </w:p>
        </w:tc>
        <w:tc>
          <w:tcPr>
            <w:tcW w:w="2020" w:type="dxa"/>
            <w:vAlign w:val="bottom"/>
          </w:tcPr>
          <w:p>
            <w:pPr>
              <w:jc w:val="center"/>
              <w:spacing w:after="0" w:line="138" w:lineRule="exact"/>
              <w:rPr>
                <w:sz w:val="20"/>
                <w:szCs w:val="20"/>
                <w:color w:val="auto"/>
              </w:rPr>
            </w:pPr>
            <w:r>
              <w:rPr>
                <w:rFonts w:ascii="Arial" w:cs="Arial" w:eastAsia="Arial" w:hAnsi="Arial"/>
                <w:sz w:val="13"/>
                <w:szCs w:val="13"/>
                <w:color w:val="auto"/>
                <w:w w:val="96"/>
              </w:rPr>
              <w:t>Media: Diversified and</w:t>
            </w:r>
          </w:p>
        </w:tc>
        <w:tc>
          <w:tcPr>
            <w:tcW w:w="1040" w:type="dxa"/>
            <w:vAlign w:val="bottom"/>
          </w:tcPr>
          <w:p>
            <w:pPr>
              <w:jc w:val="right"/>
              <w:ind w:right="193"/>
              <w:spacing w:after="0" w:line="138" w:lineRule="exact"/>
              <w:rPr>
                <w:sz w:val="20"/>
                <w:szCs w:val="20"/>
                <w:color w:val="auto"/>
              </w:rPr>
            </w:pPr>
            <w:r>
              <w:rPr>
                <w:rFonts w:ascii="Arial" w:cs="Arial" w:eastAsia="Arial" w:hAnsi="Arial"/>
                <w:sz w:val="13"/>
                <w:szCs w:val="13"/>
                <w:color w:val="auto"/>
              </w:rPr>
              <w:t>7.00%</w:t>
            </w:r>
          </w:p>
        </w:tc>
        <w:tc>
          <w:tcPr>
            <w:tcW w:w="920" w:type="dxa"/>
            <w:vAlign w:val="bottom"/>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920" w:type="dxa"/>
            <w:vAlign w:val="bottom"/>
          </w:tcPr>
          <w:p>
            <w:pPr>
              <w:jc w:val="right"/>
              <w:ind w:right="73"/>
              <w:spacing w:after="0" w:line="138" w:lineRule="exact"/>
              <w:rPr>
                <w:sz w:val="20"/>
                <w:szCs w:val="20"/>
                <w:color w:val="auto"/>
              </w:rPr>
            </w:pPr>
            <w:r>
              <w:rPr>
                <w:rFonts w:ascii="Arial" w:cs="Arial" w:eastAsia="Arial" w:hAnsi="Arial"/>
                <w:sz w:val="13"/>
                <w:szCs w:val="13"/>
                <w:color w:val="auto"/>
              </w:rPr>
              <w:t>2,348,510</w:t>
            </w:r>
          </w:p>
        </w:tc>
        <w:tc>
          <w:tcPr>
            <w:tcW w:w="960" w:type="dxa"/>
            <w:vAlign w:val="bottom"/>
          </w:tcPr>
          <w:p>
            <w:pPr>
              <w:jc w:val="right"/>
              <w:ind w:right="73"/>
              <w:spacing w:after="0" w:line="138" w:lineRule="exact"/>
              <w:rPr>
                <w:sz w:val="20"/>
                <w:szCs w:val="20"/>
                <w:color w:val="auto"/>
              </w:rPr>
            </w:pPr>
            <w:r>
              <w:rPr>
                <w:rFonts w:ascii="Arial" w:cs="Arial" w:eastAsia="Arial" w:hAnsi="Arial"/>
                <w:sz w:val="13"/>
                <w:szCs w:val="13"/>
                <w:color w:val="auto"/>
              </w:rPr>
              <w:t>2,344,859</w:t>
            </w:r>
          </w:p>
        </w:tc>
        <w:tc>
          <w:tcPr>
            <w:tcW w:w="880" w:type="dxa"/>
            <w:vAlign w:val="bottom"/>
          </w:tcPr>
          <w:p>
            <w:pPr>
              <w:jc w:val="right"/>
              <w:spacing w:after="0" w:line="138" w:lineRule="exact"/>
              <w:rPr>
                <w:sz w:val="20"/>
                <w:szCs w:val="20"/>
                <w:color w:val="auto"/>
              </w:rPr>
            </w:pPr>
            <w:r>
              <w:rPr>
                <w:rFonts w:ascii="Arial" w:cs="Arial" w:eastAsia="Arial" w:hAnsi="Arial"/>
                <w:sz w:val="13"/>
                <w:szCs w:val="13"/>
                <w:color w:val="auto"/>
              </w:rPr>
              <w:t>2,345,574</w:t>
            </w:r>
          </w:p>
        </w:tc>
        <w:tc>
          <w:tcPr>
            <w:tcW w:w="0" w:type="dxa"/>
            <w:vAlign w:val="bottom"/>
          </w:tcPr>
          <w:p>
            <w:pPr>
              <w:spacing w:after="0"/>
              <w:rPr>
                <w:sz w:val="1"/>
                <w:szCs w:val="1"/>
                <w:color w:val="auto"/>
              </w:rPr>
            </w:pPr>
          </w:p>
        </w:tc>
      </w:tr>
      <w:tr>
        <w:trPr>
          <w:trHeight w:val="159"/>
        </w:trPr>
        <w:tc>
          <w:tcPr>
            <w:tcW w:w="3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20" w:type="dxa"/>
            <w:vAlign w:val="bottom"/>
          </w:tcPr>
          <w:p>
            <w:pPr>
              <w:jc w:val="center"/>
              <w:spacing w:after="0"/>
              <w:rPr>
                <w:sz w:val="20"/>
                <w:szCs w:val="20"/>
                <w:color w:val="auto"/>
              </w:rPr>
            </w:pPr>
            <w:r>
              <w:rPr>
                <w:rFonts w:ascii="Arial" w:cs="Arial" w:eastAsia="Arial" w:hAnsi="Arial"/>
                <w:sz w:val="13"/>
                <w:szCs w:val="13"/>
                <w:color w:val="auto"/>
                <w:w w:val="96"/>
              </w:rPr>
              <w:t>Production</w:t>
            </w:r>
          </w:p>
        </w:tc>
        <w:tc>
          <w:tcPr>
            <w:tcW w:w="10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3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NAB Holdings, LLC</w:t>
            </w:r>
          </w:p>
        </w:tc>
        <w:tc>
          <w:tcPr>
            <w:tcW w:w="3300" w:type="dxa"/>
            <w:vAlign w:val="bottom"/>
            <w:gridSpan w:val="2"/>
            <w:shd w:val="clear" w:color="auto" w:fill="CCEEFF"/>
          </w:tcPr>
          <w:p>
            <w:pPr>
              <w:ind w:left="580"/>
              <w:spacing w:after="0" w:line="138" w:lineRule="exact"/>
              <w:rPr>
                <w:sz w:val="20"/>
                <w:szCs w:val="20"/>
                <w:color w:val="auto"/>
              </w:rPr>
            </w:pPr>
            <w:r>
              <w:rPr>
                <w:rFonts w:ascii="Arial" w:cs="Arial" w:eastAsia="Arial" w:hAnsi="Arial"/>
                <w:sz w:val="13"/>
                <w:szCs w:val="13"/>
                <w:color w:val="auto"/>
              </w:rPr>
              <w:t>04/24/2018   Banking, Finance, Insurance and</w:t>
            </w:r>
          </w:p>
        </w:tc>
        <w:tc>
          <w:tcPr>
            <w:tcW w:w="104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7.00%</w:t>
            </w:r>
          </w:p>
        </w:tc>
        <w:tc>
          <w:tcPr>
            <w:tcW w:w="92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L+550</w:t>
            </w:r>
          </w:p>
        </w:tc>
        <w:tc>
          <w:tcPr>
            <w:tcW w:w="9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937,500</w:t>
            </w:r>
          </w:p>
        </w:tc>
        <w:tc>
          <w:tcPr>
            <w:tcW w:w="96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926,724</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941,016</w:t>
            </w:r>
          </w:p>
        </w:tc>
        <w:tc>
          <w:tcPr>
            <w:tcW w:w="0" w:type="dxa"/>
            <w:vAlign w:val="bottom"/>
          </w:tcPr>
          <w:p>
            <w:pPr>
              <w:spacing w:after="0"/>
              <w:rPr>
                <w:sz w:val="1"/>
                <w:szCs w:val="1"/>
                <w:color w:val="auto"/>
              </w:rPr>
            </w:pPr>
          </w:p>
        </w:tc>
      </w:tr>
      <w:tr>
        <w:trPr>
          <w:trHeight w:val="159"/>
        </w:trPr>
        <w:tc>
          <w:tcPr>
            <w:tcW w:w="32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Real Estate</w:t>
            </w:r>
          </w:p>
        </w:tc>
        <w:tc>
          <w:tcPr>
            <w:tcW w:w="10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National Surgical Hospitals, Inc.</w:t>
            </w:r>
          </w:p>
        </w:tc>
        <w:tc>
          <w:tcPr>
            <w:tcW w:w="1280" w:type="dxa"/>
            <w:vAlign w:val="bottom"/>
          </w:tcPr>
          <w:p>
            <w:pPr>
              <w:ind w:left="580"/>
              <w:spacing w:after="0"/>
              <w:rPr>
                <w:sz w:val="20"/>
                <w:szCs w:val="20"/>
                <w:color w:val="auto"/>
              </w:rPr>
            </w:pPr>
            <w:r>
              <w:rPr>
                <w:rFonts w:ascii="Arial" w:cs="Arial" w:eastAsia="Arial" w:hAnsi="Arial"/>
                <w:sz w:val="13"/>
                <w:szCs w:val="13"/>
                <w:color w:val="auto"/>
              </w:rPr>
              <w:t>08/01/2019</w:t>
            </w:r>
          </w:p>
        </w:tc>
        <w:tc>
          <w:tcPr>
            <w:tcW w:w="2020" w:type="dxa"/>
            <w:vAlign w:val="bottom"/>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5.75%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L+450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6,500,000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6,436,491</w:t>
            </w:r>
          </w:p>
        </w:tc>
        <w:tc>
          <w:tcPr>
            <w:tcW w:w="880" w:type="dxa"/>
            <w:vAlign w:val="bottom"/>
          </w:tcPr>
          <w:p>
            <w:pPr>
              <w:jc w:val="right"/>
              <w:spacing w:after="0"/>
              <w:rPr>
                <w:sz w:val="20"/>
                <w:szCs w:val="20"/>
                <w:color w:val="auto"/>
              </w:rPr>
            </w:pPr>
            <w:r>
              <w:rPr>
                <w:rFonts w:ascii="Arial" w:cs="Arial" w:eastAsia="Arial" w:hAnsi="Arial"/>
                <w:sz w:val="13"/>
                <w:szCs w:val="13"/>
                <w:color w:val="auto"/>
              </w:rPr>
              <w:t>6,475,625</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New Trident HoldCorp,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07/31/2019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Healthcare and Pharmaceuticals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6.50%</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L+525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10,000,000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9,903,508</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9,975,000</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Northfield Park Associates LLC</w:t>
            </w:r>
          </w:p>
        </w:tc>
        <w:tc>
          <w:tcPr>
            <w:tcW w:w="1280" w:type="dxa"/>
            <w:vAlign w:val="bottom"/>
          </w:tcPr>
          <w:p>
            <w:pPr>
              <w:ind w:left="580"/>
              <w:spacing w:after="0"/>
              <w:rPr>
                <w:sz w:val="20"/>
                <w:szCs w:val="20"/>
                <w:color w:val="auto"/>
              </w:rPr>
            </w:pPr>
            <w:r>
              <w:rPr>
                <w:rFonts w:ascii="Arial" w:cs="Arial" w:eastAsia="Arial" w:hAnsi="Arial"/>
                <w:sz w:val="13"/>
                <w:szCs w:val="13"/>
                <w:color w:val="auto"/>
              </w:rPr>
              <w:t>12/19/2018</w:t>
            </w: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9.00%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L+775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4,500,000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4,421,591</w:t>
            </w:r>
          </w:p>
        </w:tc>
        <w:tc>
          <w:tcPr>
            <w:tcW w:w="880" w:type="dxa"/>
            <w:vAlign w:val="bottom"/>
          </w:tcPr>
          <w:p>
            <w:pPr>
              <w:jc w:val="right"/>
              <w:spacing w:after="0"/>
              <w:rPr>
                <w:sz w:val="20"/>
                <w:szCs w:val="20"/>
                <w:color w:val="auto"/>
              </w:rPr>
            </w:pPr>
            <w:r>
              <w:rPr>
                <w:rFonts w:ascii="Arial" w:cs="Arial" w:eastAsia="Arial" w:hAnsi="Arial"/>
                <w:sz w:val="13"/>
                <w:szCs w:val="13"/>
                <w:color w:val="auto"/>
              </w:rPr>
              <w:t>4,635,000</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OCI Beaumont LLC, Term B-1 Loan</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08/20/2019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6.25%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L+500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3,125,000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3,079,073</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3,125,000</w:t>
            </w:r>
          </w:p>
        </w:tc>
        <w:tc>
          <w:tcPr>
            <w:tcW w:w="0" w:type="dxa"/>
            <w:vAlign w:val="bottom"/>
          </w:tcPr>
          <w:p>
            <w:pPr>
              <w:spacing w:after="0"/>
              <w:rPr>
                <w:sz w:val="1"/>
                <w:szCs w:val="1"/>
                <w:color w:val="auto"/>
              </w:rPr>
            </w:pPr>
          </w:p>
        </w:tc>
      </w:tr>
      <w:tr>
        <w:trPr>
          <w:trHeight w:val="149"/>
        </w:trPr>
        <w:tc>
          <w:tcPr>
            <w:tcW w:w="3220" w:type="dxa"/>
            <w:vAlign w:val="bottom"/>
          </w:tcPr>
          <w:p>
            <w:pPr>
              <w:spacing w:after="0"/>
              <w:rPr>
                <w:sz w:val="20"/>
                <w:szCs w:val="20"/>
                <w:color w:val="auto"/>
              </w:rPr>
            </w:pPr>
            <w:r>
              <w:rPr>
                <w:rFonts w:ascii="Arial" w:cs="Arial" w:eastAsia="Arial" w:hAnsi="Arial"/>
                <w:sz w:val="13"/>
                <w:szCs w:val="13"/>
                <w:color w:val="auto"/>
              </w:rPr>
              <w:t>OCI Beaumont LLC, Term B-2 Loan</w:t>
            </w:r>
          </w:p>
        </w:tc>
        <w:tc>
          <w:tcPr>
            <w:tcW w:w="1280" w:type="dxa"/>
            <w:vAlign w:val="bottom"/>
          </w:tcPr>
          <w:p>
            <w:pPr>
              <w:ind w:left="580"/>
              <w:spacing w:after="0"/>
              <w:rPr>
                <w:sz w:val="20"/>
                <w:szCs w:val="20"/>
                <w:color w:val="auto"/>
              </w:rPr>
            </w:pPr>
            <w:r>
              <w:rPr>
                <w:rFonts w:ascii="Arial" w:cs="Arial" w:eastAsia="Arial" w:hAnsi="Arial"/>
                <w:sz w:val="13"/>
                <w:szCs w:val="13"/>
                <w:color w:val="auto"/>
              </w:rPr>
              <w:t>08/20/2019</w:t>
            </w:r>
          </w:p>
        </w:tc>
        <w:tc>
          <w:tcPr>
            <w:tcW w:w="2020" w:type="dxa"/>
            <w:vAlign w:val="bottom"/>
          </w:tcPr>
          <w:p>
            <w:pPr>
              <w:jc w:val="center"/>
              <w:spacing w:after="0"/>
              <w:rPr>
                <w:sz w:val="20"/>
                <w:szCs w:val="20"/>
                <w:color w:val="auto"/>
              </w:rPr>
            </w:pPr>
            <w:r>
              <w:rPr>
                <w:rFonts w:ascii="Arial" w:cs="Arial" w:eastAsia="Arial" w:hAnsi="Arial"/>
                <w:sz w:val="13"/>
                <w:szCs w:val="13"/>
                <w:color w:val="auto"/>
                <w:w w:val="93"/>
              </w:rPr>
              <w:t>Chemicals, Plastics and Rubber</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6.25%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L+500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5,875,000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5,788,657</w:t>
            </w:r>
          </w:p>
        </w:tc>
        <w:tc>
          <w:tcPr>
            <w:tcW w:w="880" w:type="dxa"/>
            <w:vAlign w:val="bottom"/>
          </w:tcPr>
          <w:p>
            <w:pPr>
              <w:jc w:val="right"/>
              <w:spacing w:after="0"/>
              <w:rPr>
                <w:sz w:val="20"/>
                <w:szCs w:val="20"/>
                <w:color w:val="auto"/>
              </w:rPr>
            </w:pPr>
            <w:r>
              <w:rPr>
                <w:rFonts w:ascii="Arial" w:cs="Arial" w:eastAsia="Arial" w:hAnsi="Arial"/>
                <w:sz w:val="13"/>
                <w:szCs w:val="13"/>
                <w:color w:val="auto"/>
              </w:rPr>
              <w:t>5,875,000</w:t>
            </w:r>
          </w:p>
        </w:tc>
        <w:tc>
          <w:tcPr>
            <w:tcW w:w="0" w:type="dxa"/>
            <w:vAlign w:val="bottom"/>
          </w:tcPr>
          <w:p>
            <w:pPr>
              <w:spacing w:after="0"/>
              <w:rPr>
                <w:sz w:val="1"/>
                <w:szCs w:val="1"/>
                <w:color w:val="auto"/>
              </w:rPr>
            </w:pPr>
          </w:p>
        </w:tc>
      </w:tr>
      <w:tr>
        <w:trPr>
          <w:trHeight w:val="148"/>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Orbitz Worldwide, Inc., Term Loan 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03/25/2019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4"/>
              </w:rPr>
              <w:t>Transportation: Consumer</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5.75%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L+475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3,990,000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3,990,000</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4,003,287</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Packaging Coordinators, Inc.</w:t>
            </w:r>
          </w:p>
        </w:tc>
        <w:tc>
          <w:tcPr>
            <w:tcW w:w="3300" w:type="dxa"/>
            <w:vAlign w:val="bottom"/>
            <w:gridSpan w:val="2"/>
          </w:tcPr>
          <w:p>
            <w:pPr>
              <w:ind w:left="580"/>
              <w:spacing w:after="0"/>
              <w:rPr>
                <w:sz w:val="20"/>
                <w:szCs w:val="20"/>
                <w:color w:val="auto"/>
              </w:rPr>
            </w:pPr>
            <w:r>
              <w:rPr>
                <w:rFonts w:ascii="Arial" w:cs="Arial" w:eastAsia="Arial" w:hAnsi="Arial"/>
                <w:sz w:val="13"/>
                <w:szCs w:val="13"/>
                <w:color w:val="auto"/>
              </w:rPr>
              <w:t>05/11/2020   Containers, Packaging and Glass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5.50%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L+425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2,500,000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2,488,883</w:t>
            </w:r>
          </w:p>
        </w:tc>
        <w:tc>
          <w:tcPr>
            <w:tcW w:w="880" w:type="dxa"/>
            <w:vAlign w:val="bottom"/>
          </w:tcPr>
          <w:p>
            <w:pPr>
              <w:jc w:val="right"/>
              <w:spacing w:after="0"/>
              <w:rPr>
                <w:sz w:val="20"/>
                <w:szCs w:val="20"/>
                <w:color w:val="auto"/>
              </w:rPr>
            </w:pPr>
            <w:r>
              <w:rPr>
                <w:rFonts w:ascii="Arial" w:cs="Arial" w:eastAsia="Arial" w:hAnsi="Arial"/>
                <w:sz w:val="13"/>
                <w:szCs w:val="13"/>
                <w:color w:val="auto"/>
              </w:rPr>
              <w:t>2,500,000</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Paladin Brands Holding,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08/16/2019</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Capital Equipment</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6.75%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L+550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3,000,000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2,956,071</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2,964,390</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Pelican Products, Inc.</w:t>
            </w:r>
          </w:p>
        </w:tc>
        <w:tc>
          <w:tcPr>
            <w:tcW w:w="3300" w:type="dxa"/>
            <w:vAlign w:val="bottom"/>
            <w:gridSpan w:val="2"/>
          </w:tcPr>
          <w:p>
            <w:pPr>
              <w:ind w:left="580"/>
              <w:spacing w:after="0"/>
              <w:rPr>
                <w:sz w:val="20"/>
                <w:szCs w:val="20"/>
                <w:color w:val="auto"/>
              </w:rPr>
            </w:pPr>
            <w:r>
              <w:rPr>
                <w:rFonts w:ascii="Arial" w:cs="Arial" w:eastAsia="Arial" w:hAnsi="Arial"/>
                <w:sz w:val="13"/>
                <w:szCs w:val="13"/>
                <w:color w:val="auto"/>
              </w:rPr>
              <w:t>07/11/2018   Containers, Packaging and Glass</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7.00%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L+550</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1,481,250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1,456,674</w:t>
            </w:r>
          </w:p>
        </w:tc>
        <w:tc>
          <w:tcPr>
            <w:tcW w:w="880" w:type="dxa"/>
            <w:vAlign w:val="bottom"/>
          </w:tcPr>
          <w:p>
            <w:pPr>
              <w:jc w:val="right"/>
              <w:spacing w:after="0"/>
              <w:rPr>
                <w:sz w:val="20"/>
                <w:szCs w:val="20"/>
                <w:color w:val="auto"/>
              </w:rPr>
            </w:pPr>
            <w:r>
              <w:rPr>
                <w:rFonts w:ascii="Arial" w:cs="Arial" w:eastAsia="Arial" w:hAnsi="Arial"/>
                <w:sz w:val="13"/>
                <w:szCs w:val="13"/>
                <w:color w:val="auto"/>
              </w:rPr>
              <w:t>1,473,844</w:t>
            </w:r>
          </w:p>
        </w:tc>
        <w:tc>
          <w:tcPr>
            <w:tcW w:w="0" w:type="dxa"/>
            <w:vAlign w:val="bottom"/>
          </w:tcPr>
          <w:p>
            <w:pPr>
              <w:spacing w:after="0"/>
              <w:rPr>
                <w:sz w:val="1"/>
                <w:szCs w:val="1"/>
                <w:color w:val="auto"/>
              </w:rPr>
            </w:pPr>
          </w:p>
        </w:tc>
      </w:tr>
      <w:tr>
        <w:trPr>
          <w:trHeight w:val="138"/>
        </w:trPr>
        <w:tc>
          <w:tcPr>
            <w:tcW w:w="3220" w:type="dxa"/>
            <w:vAlign w:val="bottom"/>
            <w:shd w:val="clear" w:color="auto" w:fill="CCEEFF"/>
          </w:tcPr>
          <w:p>
            <w:pPr>
              <w:spacing w:after="0" w:line="138" w:lineRule="exact"/>
              <w:rPr>
                <w:sz w:val="20"/>
                <w:szCs w:val="20"/>
                <w:color w:val="auto"/>
              </w:rPr>
            </w:pPr>
            <w:r>
              <w:rPr>
                <w:rFonts w:ascii="Arial" w:cs="Arial" w:eastAsia="Arial" w:hAnsi="Arial"/>
                <w:sz w:val="13"/>
                <w:szCs w:val="13"/>
                <w:color w:val="auto"/>
              </w:rPr>
              <w:t>Penton Media, Inc.</w:t>
            </w:r>
          </w:p>
        </w:tc>
        <w:tc>
          <w:tcPr>
            <w:tcW w:w="1280" w:type="dxa"/>
            <w:vAlign w:val="bottom"/>
            <w:shd w:val="clear" w:color="auto" w:fill="CCEEFF"/>
          </w:tcPr>
          <w:p>
            <w:pPr>
              <w:ind w:left="580"/>
              <w:spacing w:after="0" w:line="138" w:lineRule="exact"/>
              <w:rPr>
                <w:sz w:val="20"/>
                <w:szCs w:val="20"/>
                <w:color w:val="auto"/>
              </w:rPr>
            </w:pPr>
            <w:r>
              <w:rPr>
                <w:rFonts w:ascii="Arial" w:cs="Arial" w:eastAsia="Arial" w:hAnsi="Arial"/>
                <w:sz w:val="13"/>
                <w:szCs w:val="13"/>
                <w:color w:val="auto"/>
              </w:rPr>
              <w:t>08/01/2014</w:t>
            </w:r>
          </w:p>
        </w:tc>
        <w:tc>
          <w:tcPr>
            <w:tcW w:w="20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6"/>
              </w:rPr>
              <w:t>Media: Diversified and</w:t>
            </w:r>
          </w:p>
        </w:tc>
        <w:tc>
          <w:tcPr>
            <w:tcW w:w="1040" w:type="dxa"/>
            <w:vAlign w:val="bottom"/>
            <w:shd w:val="clear" w:color="auto" w:fill="CCEEFF"/>
          </w:tcPr>
          <w:p>
            <w:pPr>
              <w:jc w:val="right"/>
              <w:ind w:right="193"/>
              <w:spacing w:after="0" w:line="138" w:lineRule="exact"/>
              <w:rPr>
                <w:sz w:val="20"/>
                <w:szCs w:val="20"/>
                <w:color w:val="auto"/>
              </w:rPr>
            </w:pPr>
            <w:r>
              <w:rPr>
                <w:rFonts w:ascii="Arial" w:cs="Arial" w:eastAsia="Arial" w:hAnsi="Arial"/>
                <w:sz w:val="13"/>
                <w:szCs w:val="13"/>
                <w:color w:val="auto"/>
              </w:rPr>
              <w:t>6.00%</w:t>
            </w:r>
          </w:p>
        </w:tc>
        <w:tc>
          <w:tcPr>
            <w:tcW w:w="920" w:type="dxa"/>
            <w:vAlign w:val="bottom"/>
            <w:shd w:val="clear" w:color="auto" w:fill="CCEEFF"/>
          </w:tcPr>
          <w:p>
            <w:pPr>
              <w:jc w:val="right"/>
              <w:ind w:right="93"/>
              <w:spacing w:after="0" w:line="138" w:lineRule="exact"/>
              <w:rPr>
                <w:sz w:val="20"/>
                <w:szCs w:val="20"/>
                <w:color w:val="auto"/>
              </w:rPr>
            </w:pPr>
            <w:r>
              <w:rPr>
                <w:rFonts w:ascii="Arial" w:cs="Arial" w:eastAsia="Arial" w:hAnsi="Arial"/>
                <w:sz w:val="13"/>
                <w:szCs w:val="13"/>
                <w:color w:val="auto"/>
              </w:rPr>
              <w:t>L+500</w:t>
            </w:r>
          </w:p>
        </w:tc>
        <w:tc>
          <w:tcPr>
            <w:tcW w:w="92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7,517,838</w:t>
            </w:r>
          </w:p>
        </w:tc>
        <w:tc>
          <w:tcPr>
            <w:tcW w:w="960" w:type="dxa"/>
            <w:vAlign w:val="bottom"/>
            <w:shd w:val="clear" w:color="auto" w:fill="CCEEFF"/>
          </w:tcPr>
          <w:p>
            <w:pPr>
              <w:jc w:val="right"/>
              <w:ind w:right="73"/>
              <w:spacing w:after="0" w:line="138" w:lineRule="exact"/>
              <w:rPr>
                <w:sz w:val="20"/>
                <w:szCs w:val="20"/>
                <w:color w:val="auto"/>
              </w:rPr>
            </w:pPr>
            <w:r>
              <w:rPr>
                <w:rFonts w:ascii="Arial" w:cs="Arial" w:eastAsia="Arial" w:hAnsi="Arial"/>
                <w:sz w:val="13"/>
                <w:szCs w:val="13"/>
                <w:color w:val="auto"/>
              </w:rPr>
              <w:t>7,234,538</w:t>
            </w:r>
          </w:p>
        </w:tc>
        <w:tc>
          <w:tcPr>
            <w:tcW w:w="8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7,433,263</w:t>
            </w:r>
          </w:p>
        </w:tc>
        <w:tc>
          <w:tcPr>
            <w:tcW w:w="0" w:type="dxa"/>
            <w:vAlign w:val="bottom"/>
          </w:tcPr>
          <w:p>
            <w:pPr>
              <w:spacing w:after="0"/>
              <w:rPr>
                <w:sz w:val="1"/>
                <w:szCs w:val="1"/>
                <w:color w:val="auto"/>
              </w:rPr>
            </w:pPr>
          </w:p>
        </w:tc>
      </w:tr>
      <w:tr>
        <w:trPr>
          <w:trHeight w:val="173"/>
        </w:trPr>
        <w:tc>
          <w:tcPr>
            <w:tcW w:w="32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Production</w:t>
            </w:r>
          </w:p>
        </w:tc>
        <w:tc>
          <w:tcPr>
            <w:tcW w:w="10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(PIK 2.00%)</w:t>
            </w:r>
          </w:p>
        </w:tc>
        <w:tc>
          <w:tcPr>
            <w:tcW w:w="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Polyconcept Finance B.V.</w:t>
            </w:r>
          </w:p>
        </w:tc>
        <w:tc>
          <w:tcPr>
            <w:tcW w:w="1280" w:type="dxa"/>
            <w:vAlign w:val="bottom"/>
          </w:tcPr>
          <w:p>
            <w:pPr>
              <w:ind w:left="580"/>
              <w:spacing w:after="0"/>
              <w:rPr>
                <w:sz w:val="20"/>
                <w:szCs w:val="20"/>
                <w:color w:val="auto"/>
              </w:rPr>
            </w:pPr>
            <w:r>
              <w:rPr>
                <w:rFonts w:ascii="Arial" w:cs="Arial" w:eastAsia="Arial" w:hAnsi="Arial"/>
                <w:sz w:val="13"/>
                <w:szCs w:val="13"/>
                <w:color w:val="auto"/>
              </w:rPr>
              <w:t>06/28/2019</w:t>
            </w:r>
          </w:p>
        </w:tc>
        <w:tc>
          <w:tcPr>
            <w:tcW w:w="2020" w:type="dxa"/>
            <w:vAlign w:val="bottom"/>
          </w:tcPr>
          <w:p>
            <w:pPr>
              <w:jc w:val="center"/>
              <w:spacing w:after="0"/>
              <w:rPr>
                <w:sz w:val="20"/>
                <w:szCs w:val="20"/>
                <w:color w:val="auto"/>
              </w:rPr>
            </w:pPr>
            <w:r>
              <w:rPr>
                <w:rFonts w:ascii="Arial" w:cs="Arial" w:eastAsia="Arial" w:hAnsi="Arial"/>
                <w:sz w:val="13"/>
                <w:szCs w:val="13"/>
                <w:color w:val="auto"/>
                <w:w w:val="94"/>
              </w:rPr>
              <w:t>Consumer Goods: Non-Durable</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6.00%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L+475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7,832,755</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7,757,882</w:t>
            </w:r>
          </w:p>
        </w:tc>
        <w:tc>
          <w:tcPr>
            <w:tcW w:w="880" w:type="dxa"/>
            <w:vAlign w:val="bottom"/>
          </w:tcPr>
          <w:p>
            <w:pPr>
              <w:jc w:val="right"/>
              <w:spacing w:after="0"/>
              <w:rPr>
                <w:sz w:val="20"/>
                <w:szCs w:val="20"/>
                <w:color w:val="auto"/>
              </w:rPr>
            </w:pPr>
            <w:r>
              <w:rPr>
                <w:rFonts w:ascii="Arial" w:cs="Arial" w:eastAsia="Arial" w:hAnsi="Arial"/>
                <w:sz w:val="13"/>
                <w:szCs w:val="13"/>
                <w:color w:val="auto"/>
              </w:rPr>
              <w:t>7,744,636</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Premier Dental Services,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11/01/2018</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Consumer Services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8.25%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L+700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3,374,503</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3,286,903</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3,382,939</w:t>
            </w:r>
          </w:p>
        </w:tc>
        <w:tc>
          <w:tcPr>
            <w:tcW w:w="0" w:type="dxa"/>
            <w:vAlign w:val="bottom"/>
          </w:tcPr>
          <w:p>
            <w:pPr>
              <w:spacing w:after="0"/>
              <w:rPr>
                <w:sz w:val="1"/>
                <w:szCs w:val="1"/>
                <w:color w:val="auto"/>
              </w:rPr>
            </w:pPr>
          </w:p>
        </w:tc>
      </w:tr>
      <w:tr>
        <w:trPr>
          <w:trHeight w:val="149"/>
        </w:trPr>
        <w:tc>
          <w:tcPr>
            <w:tcW w:w="3220" w:type="dxa"/>
            <w:vAlign w:val="bottom"/>
          </w:tcPr>
          <w:p>
            <w:pPr>
              <w:spacing w:after="0" w:line="149" w:lineRule="exact"/>
              <w:rPr>
                <w:sz w:val="20"/>
                <w:szCs w:val="20"/>
                <w:color w:val="auto"/>
              </w:rPr>
            </w:pPr>
            <w:r>
              <w:rPr>
                <w:rFonts w:ascii="Arial" w:cs="Arial" w:eastAsia="Arial" w:hAnsi="Arial"/>
                <w:sz w:val="11"/>
                <w:szCs w:val="11"/>
                <w:color w:val="auto"/>
              </w:rPr>
              <w:t xml:space="preserve">RiverBoat Corporation of Mississippi </w:t>
            </w:r>
            <w:r>
              <w:rPr>
                <w:rFonts w:ascii="Arial" w:cs="Arial" w:eastAsia="Arial" w:hAnsi="Arial"/>
                <w:sz w:val="17"/>
                <w:szCs w:val="17"/>
                <w:color w:val="auto"/>
                <w:vertAlign w:val="superscript"/>
              </w:rPr>
              <w:t>(8)</w:t>
            </w:r>
          </w:p>
        </w:tc>
        <w:tc>
          <w:tcPr>
            <w:tcW w:w="1280" w:type="dxa"/>
            <w:vAlign w:val="bottom"/>
          </w:tcPr>
          <w:p>
            <w:pPr>
              <w:ind w:left="580"/>
              <w:spacing w:after="0"/>
              <w:rPr>
                <w:sz w:val="20"/>
                <w:szCs w:val="20"/>
                <w:color w:val="auto"/>
              </w:rPr>
            </w:pPr>
            <w:r>
              <w:rPr>
                <w:rFonts w:ascii="Arial" w:cs="Arial" w:eastAsia="Arial" w:hAnsi="Arial"/>
                <w:sz w:val="13"/>
                <w:szCs w:val="13"/>
                <w:color w:val="auto"/>
              </w:rPr>
              <w:t>11/29/2016</w:t>
            </w: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10.00%</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L+875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4,250,000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4,188,136</w:t>
            </w:r>
          </w:p>
        </w:tc>
        <w:tc>
          <w:tcPr>
            <w:tcW w:w="880" w:type="dxa"/>
            <w:vAlign w:val="bottom"/>
          </w:tcPr>
          <w:p>
            <w:pPr>
              <w:jc w:val="right"/>
              <w:spacing w:after="0"/>
              <w:rPr>
                <w:sz w:val="20"/>
                <w:szCs w:val="20"/>
                <w:color w:val="auto"/>
              </w:rPr>
            </w:pPr>
            <w:r>
              <w:rPr>
                <w:rFonts w:ascii="Arial" w:cs="Arial" w:eastAsia="Arial" w:hAnsi="Arial"/>
                <w:sz w:val="13"/>
                <w:szCs w:val="13"/>
                <w:color w:val="auto"/>
              </w:rPr>
              <w:t>4,250,000</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Sabre Industries,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08/24/2018</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Construction and Building</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5.75%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L+475</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4,972,500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4,923,269</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5,009,794</w:t>
            </w:r>
          </w:p>
        </w:tc>
        <w:tc>
          <w:tcPr>
            <w:tcW w:w="0" w:type="dxa"/>
            <w:vAlign w:val="bottom"/>
          </w:tcPr>
          <w:p>
            <w:pPr>
              <w:spacing w:after="0"/>
              <w:rPr>
                <w:sz w:val="1"/>
                <w:szCs w:val="1"/>
                <w:color w:val="auto"/>
              </w:rPr>
            </w:pPr>
          </w:p>
        </w:tc>
      </w:tr>
      <w:tr>
        <w:trPr>
          <w:trHeight w:val="148"/>
        </w:trPr>
        <w:tc>
          <w:tcPr>
            <w:tcW w:w="3220" w:type="dxa"/>
            <w:vAlign w:val="bottom"/>
          </w:tcPr>
          <w:p>
            <w:pPr>
              <w:spacing w:after="0"/>
              <w:rPr>
                <w:sz w:val="20"/>
                <w:szCs w:val="20"/>
                <w:color w:val="auto"/>
              </w:rPr>
            </w:pPr>
            <w:r>
              <w:rPr>
                <w:rFonts w:ascii="Arial" w:cs="Arial" w:eastAsia="Arial" w:hAnsi="Arial"/>
                <w:sz w:val="13"/>
                <w:szCs w:val="13"/>
                <w:color w:val="auto"/>
              </w:rPr>
              <w:t>SCE Partners, LLC</w:t>
            </w:r>
          </w:p>
        </w:tc>
        <w:tc>
          <w:tcPr>
            <w:tcW w:w="1280" w:type="dxa"/>
            <w:vAlign w:val="bottom"/>
          </w:tcPr>
          <w:p>
            <w:pPr>
              <w:ind w:left="580"/>
              <w:spacing w:after="0"/>
              <w:rPr>
                <w:sz w:val="20"/>
                <w:szCs w:val="20"/>
                <w:color w:val="auto"/>
              </w:rPr>
            </w:pPr>
            <w:r>
              <w:rPr>
                <w:rFonts w:ascii="Arial" w:cs="Arial" w:eastAsia="Arial" w:hAnsi="Arial"/>
                <w:sz w:val="13"/>
                <w:szCs w:val="13"/>
                <w:color w:val="auto"/>
              </w:rPr>
              <w:t>08/14/2019</w:t>
            </w:r>
          </w:p>
        </w:tc>
        <w:tc>
          <w:tcPr>
            <w:tcW w:w="2020" w:type="dxa"/>
            <w:vAlign w:val="bottom"/>
          </w:tcPr>
          <w:p>
            <w:pPr>
              <w:jc w:val="center"/>
              <w:spacing w:after="0"/>
              <w:rPr>
                <w:sz w:val="20"/>
                <w:szCs w:val="20"/>
                <w:color w:val="auto"/>
              </w:rPr>
            </w:pPr>
            <w:r>
              <w:rPr>
                <w:rFonts w:ascii="Arial" w:cs="Arial" w:eastAsia="Arial" w:hAnsi="Arial"/>
                <w:sz w:val="13"/>
                <w:szCs w:val="13"/>
                <w:color w:val="auto"/>
                <w:w w:val="95"/>
              </w:rPr>
              <w:t>Hotel, Gaming and Leisure</w:t>
            </w:r>
          </w:p>
        </w:tc>
        <w:tc>
          <w:tcPr>
            <w:tcW w:w="1040" w:type="dxa"/>
            <w:vAlign w:val="bottom"/>
          </w:tcPr>
          <w:p>
            <w:pPr>
              <w:jc w:val="right"/>
              <w:ind w:right="193"/>
              <w:spacing w:after="0"/>
              <w:rPr>
                <w:sz w:val="20"/>
                <w:szCs w:val="20"/>
                <w:color w:val="auto"/>
              </w:rPr>
            </w:pPr>
            <w:r>
              <w:rPr>
                <w:rFonts w:ascii="Arial" w:cs="Arial" w:eastAsia="Arial" w:hAnsi="Arial"/>
                <w:sz w:val="13"/>
                <w:szCs w:val="13"/>
                <w:color w:val="auto"/>
              </w:rPr>
              <w:t>8.25%</w:t>
            </w:r>
          </w:p>
        </w:tc>
        <w:tc>
          <w:tcPr>
            <w:tcW w:w="920" w:type="dxa"/>
            <w:vAlign w:val="bottom"/>
          </w:tcPr>
          <w:p>
            <w:pPr>
              <w:jc w:val="right"/>
              <w:ind w:right="93"/>
              <w:spacing w:after="0"/>
              <w:rPr>
                <w:sz w:val="20"/>
                <w:szCs w:val="20"/>
                <w:color w:val="auto"/>
              </w:rPr>
            </w:pPr>
            <w:r>
              <w:rPr>
                <w:rFonts w:ascii="Arial" w:cs="Arial" w:eastAsia="Arial" w:hAnsi="Arial"/>
                <w:sz w:val="13"/>
                <w:szCs w:val="13"/>
                <w:color w:val="auto"/>
              </w:rPr>
              <w:t>L+725</w:t>
            </w:r>
          </w:p>
        </w:tc>
        <w:tc>
          <w:tcPr>
            <w:tcW w:w="920" w:type="dxa"/>
            <w:vAlign w:val="bottom"/>
          </w:tcPr>
          <w:p>
            <w:pPr>
              <w:jc w:val="right"/>
              <w:ind w:right="73"/>
              <w:spacing w:after="0"/>
              <w:rPr>
                <w:sz w:val="20"/>
                <w:szCs w:val="20"/>
                <w:color w:val="auto"/>
              </w:rPr>
            </w:pPr>
            <w:r>
              <w:rPr>
                <w:rFonts w:ascii="Arial" w:cs="Arial" w:eastAsia="Arial" w:hAnsi="Arial"/>
                <w:sz w:val="13"/>
                <w:szCs w:val="13"/>
                <w:color w:val="auto"/>
              </w:rPr>
              <w:t>12,000,000</w:t>
            </w:r>
          </w:p>
        </w:tc>
        <w:tc>
          <w:tcPr>
            <w:tcW w:w="960" w:type="dxa"/>
            <w:vAlign w:val="bottom"/>
          </w:tcPr>
          <w:p>
            <w:pPr>
              <w:jc w:val="right"/>
              <w:ind w:right="73"/>
              <w:spacing w:after="0"/>
              <w:rPr>
                <w:sz w:val="20"/>
                <w:szCs w:val="20"/>
                <w:color w:val="auto"/>
              </w:rPr>
            </w:pPr>
            <w:r>
              <w:rPr>
                <w:rFonts w:ascii="Arial" w:cs="Arial" w:eastAsia="Arial" w:hAnsi="Arial"/>
                <w:sz w:val="13"/>
                <w:szCs w:val="13"/>
                <w:color w:val="auto"/>
              </w:rPr>
              <w:t>11,881,935</w:t>
            </w:r>
          </w:p>
        </w:tc>
        <w:tc>
          <w:tcPr>
            <w:tcW w:w="880" w:type="dxa"/>
            <w:vAlign w:val="bottom"/>
          </w:tcPr>
          <w:p>
            <w:pPr>
              <w:jc w:val="right"/>
              <w:spacing w:after="0"/>
              <w:rPr>
                <w:sz w:val="20"/>
                <w:szCs w:val="20"/>
                <w:color w:val="auto"/>
              </w:rPr>
            </w:pPr>
            <w:r>
              <w:rPr>
                <w:rFonts w:ascii="Arial" w:cs="Arial" w:eastAsia="Arial" w:hAnsi="Arial"/>
                <w:sz w:val="13"/>
                <w:szCs w:val="13"/>
                <w:color w:val="auto"/>
              </w:rPr>
              <w:t>11,880,000</w:t>
            </w:r>
          </w:p>
        </w:tc>
        <w:tc>
          <w:tcPr>
            <w:tcW w:w="0" w:type="dxa"/>
            <w:vAlign w:val="bottom"/>
          </w:tcPr>
          <w:p>
            <w:pPr>
              <w:spacing w:after="0"/>
              <w:rPr>
                <w:sz w:val="1"/>
                <w:szCs w:val="1"/>
                <w:color w:val="auto"/>
              </w:rPr>
            </w:pPr>
          </w:p>
        </w:tc>
      </w:tr>
      <w:tr>
        <w:trPr>
          <w:trHeight w:val="149"/>
        </w:trPr>
        <w:tc>
          <w:tcPr>
            <w:tcW w:w="3220" w:type="dxa"/>
            <w:vAlign w:val="bottom"/>
            <w:shd w:val="clear" w:color="auto" w:fill="CCEEFF"/>
          </w:tcPr>
          <w:p>
            <w:pPr>
              <w:spacing w:after="0"/>
              <w:rPr>
                <w:sz w:val="20"/>
                <w:szCs w:val="20"/>
                <w:color w:val="auto"/>
              </w:rPr>
            </w:pPr>
            <w:r>
              <w:rPr>
                <w:rFonts w:ascii="Arial" w:cs="Arial" w:eastAsia="Arial" w:hAnsi="Arial"/>
                <w:sz w:val="13"/>
                <w:szCs w:val="13"/>
                <w:color w:val="auto"/>
              </w:rPr>
              <w:t>Securus Technologies Holdings, Inc.</w:t>
            </w:r>
          </w:p>
        </w:tc>
        <w:tc>
          <w:tcPr>
            <w:tcW w:w="1280" w:type="dxa"/>
            <w:vAlign w:val="bottom"/>
            <w:shd w:val="clear" w:color="auto" w:fill="CCEEFF"/>
          </w:tcPr>
          <w:p>
            <w:pPr>
              <w:ind w:left="580"/>
              <w:spacing w:after="0"/>
              <w:rPr>
                <w:sz w:val="20"/>
                <w:szCs w:val="20"/>
                <w:color w:val="auto"/>
              </w:rPr>
            </w:pPr>
            <w:r>
              <w:rPr>
                <w:rFonts w:ascii="Arial" w:cs="Arial" w:eastAsia="Arial" w:hAnsi="Arial"/>
                <w:sz w:val="13"/>
                <w:szCs w:val="13"/>
                <w:color w:val="auto"/>
              </w:rPr>
              <w:t>04/30/2020</w:t>
            </w:r>
          </w:p>
        </w:tc>
        <w:tc>
          <w:tcPr>
            <w:tcW w:w="20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Telecommunications</w:t>
            </w:r>
          </w:p>
        </w:tc>
        <w:tc>
          <w:tcPr>
            <w:tcW w:w="1040" w:type="dxa"/>
            <w:vAlign w:val="bottom"/>
            <w:shd w:val="clear" w:color="auto" w:fill="CCEEFF"/>
          </w:tcPr>
          <w:p>
            <w:pPr>
              <w:jc w:val="right"/>
              <w:ind w:right="193"/>
              <w:spacing w:after="0"/>
              <w:rPr>
                <w:sz w:val="20"/>
                <w:szCs w:val="20"/>
                <w:color w:val="auto"/>
              </w:rPr>
            </w:pPr>
            <w:r>
              <w:rPr>
                <w:rFonts w:ascii="Arial" w:cs="Arial" w:eastAsia="Arial" w:hAnsi="Arial"/>
                <w:sz w:val="13"/>
                <w:szCs w:val="13"/>
                <w:color w:val="auto"/>
              </w:rPr>
              <w:t>4.75%</w:t>
            </w:r>
          </w:p>
        </w:tc>
        <w:tc>
          <w:tcPr>
            <w:tcW w:w="920" w:type="dxa"/>
            <w:vAlign w:val="bottom"/>
            <w:shd w:val="clear" w:color="auto" w:fill="CCEEFF"/>
          </w:tcPr>
          <w:p>
            <w:pPr>
              <w:jc w:val="right"/>
              <w:ind w:right="93"/>
              <w:spacing w:after="0"/>
              <w:rPr>
                <w:sz w:val="20"/>
                <w:szCs w:val="20"/>
                <w:color w:val="auto"/>
              </w:rPr>
            </w:pPr>
            <w:r>
              <w:rPr>
                <w:rFonts w:ascii="Arial" w:cs="Arial" w:eastAsia="Arial" w:hAnsi="Arial"/>
                <w:sz w:val="13"/>
                <w:szCs w:val="13"/>
                <w:color w:val="auto"/>
              </w:rPr>
              <w:t>L+350</w:t>
            </w:r>
          </w:p>
        </w:tc>
        <w:tc>
          <w:tcPr>
            <w:tcW w:w="92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2,000,000</w:t>
            </w:r>
          </w:p>
        </w:tc>
        <w:tc>
          <w:tcPr>
            <w:tcW w:w="960" w:type="dxa"/>
            <w:vAlign w:val="bottom"/>
            <w:shd w:val="clear" w:color="auto" w:fill="CCEEFF"/>
          </w:tcPr>
          <w:p>
            <w:pPr>
              <w:jc w:val="right"/>
              <w:ind w:right="73"/>
              <w:spacing w:after="0"/>
              <w:rPr>
                <w:sz w:val="20"/>
                <w:szCs w:val="20"/>
                <w:color w:val="auto"/>
              </w:rPr>
            </w:pPr>
            <w:r>
              <w:rPr>
                <w:rFonts w:ascii="Arial" w:cs="Arial" w:eastAsia="Arial" w:hAnsi="Arial"/>
                <w:sz w:val="13"/>
                <w:szCs w:val="13"/>
                <w:color w:val="auto"/>
              </w:rPr>
              <w:t>1,981,121</w:t>
            </w:r>
          </w:p>
        </w:tc>
        <w:tc>
          <w:tcPr>
            <w:tcW w:w="8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1,962,500</w:t>
            </w:r>
          </w:p>
        </w:tc>
        <w:tc>
          <w:tcPr>
            <w:tcW w:w="0" w:type="dxa"/>
            <w:vAlign w:val="bottom"/>
          </w:tcPr>
          <w:p>
            <w:pPr>
              <w:spacing w:after="0"/>
              <w:rPr>
                <w:sz w:val="1"/>
                <w:szCs w:val="1"/>
                <w:color w:val="auto"/>
              </w:rPr>
            </w:pPr>
          </w:p>
        </w:tc>
      </w:tr>
    </w:tbl>
    <w:p>
      <w:pPr>
        <w:spacing w:after="0" w:line="15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11240"/>
          </w:cols>
          <w:pgMar w:left="320" w:top="459"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SCHEDULE OF INVESTMENTS—(Continued)</w:t>
      </w:r>
    </w:p>
    <w:p>
      <w:pPr>
        <w:jc w:val="center"/>
        <w:spacing w:after="0"/>
        <w:rPr>
          <w:sz w:val="20"/>
          <w:szCs w:val="20"/>
          <w:color w:val="auto"/>
        </w:rPr>
      </w:pPr>
      <w:r>
        <w:rPr>
          <w:rFonts w:ascii="Arial" w:cs="Arial" w:eastAsia="Arial" w:hAnsi="Arial"/>
          <w:sz w:val="13"/>
          <w:szCs w:val="13"/>
          <w:b w:val="1"/>
          <w:bCs w:val="1"/>
          <w:color w:val="auto"/>
        </w:rPr>
        <w:t>SEPTEMBER 30, 2013</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3"/>
              </w:rPr>
              <w:t>Basis Point</w:t>
            </w: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5"/>
              </w:rPr>
              <w:t>Spread</w:t>
            </w: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gridSpan w:val="2"/>
          </w:tcPr>
          <w:p>
            <w:pPr>
              <w:jc w:val="right"/>
              <w:ind w:right="393"/>
              <w:spacing w:after="0" w:line="134" w:lineRule="exact"/>
              <w:rPr>
                <w:sz w:val="20"/>
                <w:szCs w:val="20"/>
                <w:color w:val="auto"/>
              </w:rPr>
            </w:pPr>
            <w:r>
              <w:rPr>
                <w:rFonts w:ascii="Arial" w:cs="Arial" w:eastAsia="Arial" w:hAnsi="Arial"/>
                <w:sz w:val="13"/>
                <w:szCs w:val="13"/>
                <w:b w:val="1"/>
                <w:bCs w:val="1"/>
                <w:color w:val="auto"/>
              </w:rPr>
              <w:t>Current</w:t>
            </w:r>
          </w:p>
        </w:tc>
        <w:tc>
          <w:tcPr>
            <w:tcW w:w="960" w:type="dxa"/>
            <w:vAlign w:val="bottom"/>
            <w:gridSpan w:val="2"/>
          </w:tcPr>
          <w:p>
            <w:pPr>
              <w:jc w:val="center"/>
              <w:ind w:right="260"/>
              <w:spacing w:after="0" w:line="134" w:lineRule="exact"/>
              <w:rPr>
                <w:sz w:val="20"/>
                <w:szCs w:val="20"/>
                <w:color w:val="auto"/>
              </w:rPr>
            </w:pPr>
            <w:r>
              <w:rPr>
                <w:rFonts w:ascii="Arial" w:cs="Arial" w:eastAsia="Arial" w:hAnsi="Arial"/>
                <w:sz w:val="13"/>
                <w:szCs w:val="13"/>
                <w:b w:val="1"/>
                <w:bCs w:val="1"/>
                <w:color w:val="auto"/>
                <w:w w:val="95"/>
              </w:rPr>
              <w:t>Above</w:t>
            </w:r>
          </w:p>
        </w:tc>
        <w:tc>
          <w:tcPr>
            <w:tcW w:w="860" w:type="dxa"/>
            <w:vAlign w:val="bottom"/>
            <w:gridSpan w:val="2"/>
          </w:tcPr>
          <w:p>
            <w:pPr>
              <w:jc w:val="right"/>
              <w:ind w:right="420"/>
              <w:spacing w:after="0" w:line="134" w:lineRule="exact"/>
              <w:rPr>
                <w:sz w:val="20"/>
                <w:szCs w:val="20"/>
                <w:color w:val="auto"/>
              </w:rPr>
            </w:pPr>
            <w:r>
              <w:rPr>
                <w:rFonts w:ascii="Arial" w:cs="Arial" w:eastAsia="Arial" w:hAnsi="Arial"/>
                <w:sz w:val="13"/>
                <w:szCs w:val="13"/>
                <w:b w:val="1"/>
                <w:bCs w:val="1"/>
                <w:color w:val="auto"/>
              </w:rPr>
              <w:t>Par /</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vMerge w:val="restart"/>
          </w:tcPr>
          <w:p>
            <w:pPr>
              <w:ind w:left="20"/>
              <w:spacing w:after="0"/>
              <w:rPr>
                <w:sz w:val="20"/>
                <w:szCs w:val="20"/>
                <w:color w:val="auto"/>
              </w:rPr>
            </w:pPr>
            <w:r>
              <w:rPr>
                <w:rFonts w:ascii="Arial" w:cs="Arial" w:eastAsia="Arial" w:hAnsi="Arial"/>
                <w:sz w:val="13"/>
                <w:szCs w:val="13"/>
                <w:b w:val="1"/>
                <w:bCs w:val="1"/>
                <w:color w:val="auto"/>
              </w:rPr>
              <w:t xml:space="preserve">Fair Value </w:t>
            </w:r>
            <w:r>
              <w:rPr>
                <w:rFonts w:ascii="Arial" w:cs="Arial" w:eastAsia="Arial" w:hAnsi="Arial"/>
                <w:sz w:val="22"/>
                <w:szCs w:val="22"/>
                <w:b w:val="1"/>
                <w:bCs w:val="1"/>
                <w:color w:val="auto"/>
                <w:vertAlign w:val="superscript"/>
              </w:rPr>
              <w:t>(2)</w:t>
            </w:r>
          </w:p>
        </w:tc>
        <w:tc>
          <w:tcPr>
            <w:tcW w:w="0" w:type="dxa"/>
            <w:vAlign w:val="bottom"/>
          </w:tcPr>
          <w:p>
            <w:pPr>
              <w:spacing w:after="0"/>
              <w:rPr>
                <w:sz w:val="1"/>
                <w:szCs w:val="1"/>
                <w:color w:val="auto"/>
              </w:rPr>
            </w:pPr>
          </w:p>
        </w:tc>
      </w:tr>
      <w:tr>
        <w:trPr>
          <w:trHeight w:val="175"/>
        </w:trPr>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Issuer Name</w:t>
            </w:r>
          </w:p>
        </w:tc>
        <w:tc>
          <w:tcPr>
            <w:tcW w:w="8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Maturity</w:t>
            </w:r>
          </w:p>
        </w:tc>
        <w:tc>
          <w:tcPr>
            <w:tcW w:w="26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Industry</w:t>
            </w:r>
          </w:p>
        </w:tc>
        <w:tc>
          <w:tcPr>
            <w:tcW w:w="980" w:type="dxa"/>
            <w:vAlign w:val="bottom"/>
            <w:gridSpan w:val="2"/>
          </w:tcPr>
          <w:p>
            <w:pPr>
              <w:jc w:val="right"/>
              <w:ind w:right="393"/>
              <w:spacing w:after="0"/>
              <w:rPr>
                <w:sz w:val="20"/>
                <w:szCs w:val="20"/>
                <w:color w:val="auto"/>
              </w:rPr>
            </w:pPr>
            <w:r>
              <w:rPr>
                <w:rFonts w:ascii="Arial" w:cs="Arial" w:eastAsia="Arial" w:hAnsi="Arial"/>
                <w:sz w:val="13"/>
                <w:szCs w:val="13"/>
                <w:b w:val="1"/>
                <w:bCs w:val="1"/>
                <w:color w:val="auto"/>
              </w:rPr>
              <w:t>Coupon</w:t>
            </w:r>
          </w:p>
        </w:tc>
        <w:tc>
          <w:tcPr>
            <w:tcW w:w="960" w:type="dxa"/>
            <w:vAlign w:val="bottom"/>
            <w:gridSpan w:val="2"/>
          </w:tcPr>
          <w:p>
            <w:pPr>
              <w:jc w:val="center"/>
              <w:ind w:right="260"/>
              <w:spacing w:after="0" w:line="176" w:lineRule="exact"/>
              <w:rPr>
                <w:sz w:val="20"/>
                <w:szCs w:val="20"/>
                <w:color w:val="auto"/>
              </w:rPr>
            </w:pPr>
            <w:r>
              <w:rPr>
                <w:rFonts w:ascii="Arial" w:cs="Arial" w:eastAsia="Arial" w:hAnsi="Arial"/>
                <w:sz w:val="12"/>
                <w:szCs w:val="12"/>
                <w:b w:val="1"/>
                <w:bCs w:val="1"/>
                <w:color w:val="auto"/>
                <w:w w:val="97"/>
              </w:rPr>
              <w:t xml:space="preserve">Index </w:t>
            </w:r>
            <w:r>
              <w:rPr>
                <w:rFonts w:ascii="Arial" w:cs="Arial" w:eastAsia="Arial" w:hAnsi="Arial"/>
                <w:sz w:val="20"/>
                <w:szCs w:val="20"/>
                <w:b w:val="1"/>
                <w:bCs w:val="1"/>
                <w:color w:val="auto"/>
                <w:w w:val="97"/>
                <w:vertAlign w:val="superscript"/>
              </w:rPr>
              <w:t>(1)</w:t>
            </w: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Shares</w:t>
            </w:r>
          </w:p>
        </w:tc>
        <w:tc>
          <w:tcPr>
            <w:tcW w:w="8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3"/>
                <w:szCs w:val="13"/>
                <w:b w:val="1"/>
                <w:bCs w:val="1"/>
                <w:color w:val="auto"/>
              </w:rPr>
              <w:t>Cost</w:t>
            </w:r>
          </w:p>
        </w:tc>
        <w:tc>
          <w:tcPr>
            <w:tcW w:w="9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Sotera Defense Solutions, Inc.</w:t>
            </w:r>
          </w:p>
        </w:tc>
        <w:tc>
          <w:tcPr>
            <w:tcW w:w="22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5"/>
              </w:rPr>
              <w:t>04/21/2017</w:t>
            </w:r>
          </w:p>
        </w:tc>
        <w:tc>
          <w:tcPr>
            <w:tcW w:w="200" w:type="dxa"/>
            <w:vAlign w:val="bottom"/>
            <w:tcBorders>
              <w:top w:val="single" w:sz="8" w:color="CCEEFF"/>
            </w:tcBorders>
            <w:shd w:val="clear" w:color="auto" w:fill="CCEEFF"/>
          </w:tcPr>
          <w:p>
            <w:pPr>
              <w:spacing w:after="0"/>
              <w:rPr>
                <w:sz w:val="12"/>
                <w:szCs w:val="12"/>
                <w:color w:val="auto"/>
              </w:rPr>
            </w:pPr>
          </w:p>
        </w:tc>
        <w:tc>
          <w:tcPr>
            <w:tcW w:w="2440" w:type="dxa"/>
            <w:vAlign w:val="bottom"/>
            <w:tcBorders>
              <w:top w:val="single" w:sz="8" w:color="auto"/>
            </w:tcBorders>
            <w:shd w:val="clear" w:color="auto" w:fill="CCEEFF"/>
          </w:tcPr>
          <w:p>
            <w:pPr>
              <w:jc w:val="center"/>
              <w:spacing w:after="0" w:line="142" w:lineRule="exact"/>
              <w:rPr>
                <w:sz w:val="20"/>
                <w:szCs w:val="20"/>
                <w:color w:val="auto"/>
              </w:rPr>
            </w:pPr>
            <w:r>
              <w:rPr>
                <w:rFonts w:ascii="Arial" w:cs="Arial" w:eastAsia="Arial" w:hAnsi="Arial"/>
                <w:sz w:val="13"/>
                <w:szCs w:val="13"/>
                <w:color w:val="auto"/>
                <w:w w:val="91"/>
              </w:rPr>
              <w:t>Aerospace and Defense</w:t>
            </w:r>
          </w:p>
        </w:tc>
        <w:tc>
          <w:tcPr>
            <w:tcW w:w="20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7.50</w:t>
            </w:r>
          </w:p>
        </w:tc>
        <w:tc>
          <w:tcPr>
            <w:tcW w:w="400" w:type="dxa"/>
            <w:vAlign w:val="bottom"/>
            <w:tcBorders>
              <w:top w:val="single" w:sz="8" w:color="CCEEFF"/>
            </w:tcBorders>
            <w:shd w:val="clear" w:color="auto" w:fill="CCEEFF"/>
          </w:tcPr>
          <w:p>
            <w:pPr>
              <w:jc w:val="right"/>
              <w:ind w:right="213"/>
              <w:spacing w:after="0" w:line="142" w:lineRule="exact"/>
              <w:rPr>
                <w:sz w:val="20"/>
                <w:szCs w:val="20"/>
                <w:color w:val="auto"/>
              </w:rPr>
            </w:pPr>
            <w:r>
              <w:rPr>
                <w:rFonts w:ascii="Arial" w:cs="Arial" w:eastAsia="Arial" w:hAnsi="Arial"/>
                <w:sz w:val="13"/>
                <w:szCs w:val="13"/>
                <w:color w:val="auto"/>
                <w:w w:val="86"/>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L+600</w:t>
            </w:r>
          </w:p>
        </w:tc>
        <w:tc>
          <w:tcPr>
            <w:tcW w:w="2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96"/>
              </w:rPr>
              <w:t>2,646,725</w:t>
            </w:r>
          </w:p>
        </w:tc>
        <w:tc>
          <w:tcPr>
            <w:tcW w:w="2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2,629,647</w:t>
            </w:r>
          </w:p>
        </w:tc>
        <w:tc>
          <w:tcPr>
            <w:tcW w:w="2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3"/>
                <w:szCs w:val="13"/>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2,382,052</w:t>
            </w: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3"/>
                <w:szCs w:val="13"/>
                <w:color w:val="auto"/>
              </w:rPr>
              <w:t>St. George’s University Scholastic Services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12/20/2017</w:t>
            </w:r>
          </w:p>
        </w:tc>
        <w:tc>
          <w:tcPr>
            <w:tcW w:w="200" w:type="dxa"/>
            <w:vAlign w:val="bottom"/>
          </w:tcPr>
          <w:p>
            <w:pPr>
              <w:spacing w:after="0"/>
              <w:rPr>
                <w:sz w:val="12"/>
                <w:szCs w:val="12"/>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Consumer Services</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8.50%</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L+700</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1,948,471</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1,915,350</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1,955,778</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Surgical Specialties Corporation (US),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08/22/2018</w:t>
            </w:r>
          </w:p>
        </w:tc>
        <w:tc>
          <w:tcPr>
            <w:tcW w:w="2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1"/>
              </w:rPr>
              <w:t>Healthcare and Pharmaceuticals</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7.25%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L+575</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3,555,000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3,520,302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3,590,550</w:t>
            </w: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3"/>
                <w:szCs w:val="13"/>
                <w:color w:val="auto"/>
              </w:rPr>
              <w:t>Sutherland Global Services,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03/06/2019</w:t>
            </w:r>
          </w:p>
        </w:tc>
        <w:tc>
          <w:tcPr>
            <w:tcW w:w="200" w:type="dxa"/>
            <w:vAlign w:val="bottom"/>
          </w:tcPr>
          <w:p>
            <w:pPr>
              <w:spacing w:after="0"/>
              <w:rPr>
                <w:sz w:val="12"/>
                <w:szCs w:val="12"/>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0"/>
              </w:rPr>
              <w:t>Business Services</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7.25%</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L+600</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975,000</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957,196</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971,344</w:t>
            </w: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The National Underwriter Company</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05/31/2018</w:t>
            </w:r>
          </w:p>
        </w:tc>
        <w:tc>
          <w:tcPr>
            <w:tcW w:w="2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7"/>
              </w:rPr>
              <w:t>Media: Advertising, Printing and Publishing</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6.00%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L+475</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4,415,625</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4,374,813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4,393,547</w:t>
            </w: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3"/>
                <w:szCs w:val="13"/>
                <w:color w:val="auto"/>
              </w:rPr>
              <w:t>Therakos,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12/27/2017</w:t>
            </w:r>
          </w:p>
        </w:tc>
        <w:tc>
          <w:tcPr>
            <w:tcW w:w="200" w:type="dxa"/>
            <w:vAlign w:val="bottom"/>
          </w:tcPr>
          <w:p>
            <w:pPr>
              <w:spacing w:after="0"/>
              <w:rPr>
                <w:sz w:val="12"/>
                <w:szCs w:val="12"/>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Healthcare and Pharmaceuticals</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7.50%</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L+625</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2,977,500</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2,899,121</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2,973,778</w:t>
            </w:r>
          </w:p>
        </w:tc>
        <w:tc>
          <w:tcPr>
            <w:tcW w:w="0" w:type="dxa"/>
            <w:vAlign w:val="bottom"/>
          </w:tcPr>
          <w:p>
            <w:pPr>
              <w:spacing w:after="0"/>
              <w:rPr>
                <w:sz w:val="1"/>
                <w:szCs w:val="1"/>
                <w:color w:val="auto"/>
              </w:rPr>
            </w:pPr>
          </w:p>
        </w:tc>
      </w:tr>
      <w:tr>
        <w:trPr>
          <w:trHeight w:val="138"/>
        </w:trPr>
        <w:tc>
          <w:tcPr>
            <w:tcW w:w="304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 xml:space="preserve">UniTek Global Services, Inc. </w:t>
            </w:r>
            <w:r>
              <w:rPr>
                <w:rFonts w:ascii="Arial" w:cs="Arial" w:eastAsia="Arial" w:hAnsi="Arial"/>
                <w:sz w:val="15"/>
                <w:szCs w:val="15"/>
                <w:color w:val="auto"/>
                <w:vertAlign w:val="superscript"/>
              </w:rPr>
              <w:t>(8)</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04/16/2018</w:t>
            </w:r>
          </w:p>
        </w:tc>
        <w:tc>
          <w:tcPr>
            <w:tcW w:w="200" w:type="dxa"/>
            <w:vAlign w:val="bottom"/>
            <w:shd w:val="clear" w:color="auto" w:fill="CCEEFF"/>
          </w:tcPr>
          <w:p>
            <w:pPr>
              <w:spacing w:after="0"/>
              <w:rPr>
                <w:sz w:val="11"/>
                <w:szCs w:val="11"/>
                <w:color w:val="auto"/>
              </w:rPr>
            </w:pPr>
          </w:p>
        </w:tc>
        <w:tc>
          <w:tcPr>
            <w:tcW w:w="264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3"/>
              </w:rPr>
              <w:t>Telecommunications</w:t>
            </w:r>
          </w:p>
        </w:tc>
        <w:tc>
          <w:tcPr>
            <w:tcW w:w="98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15.00%</w:t>
            </w:r>
          </w:p>
        </w:tc>
        <w:tc>
          <w:tcPr>
            <w:tcW w:w="9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L+1,350</w:t>
            </w:r>
          </w:p>
        </w:tc>
        <w:tc>
          <w:tcPr>
            <w:tcW w:w="8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w w:val="96"/>
              </w:rPr>
              <w:t>2,112,349</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2,074,200</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2,096,507</w:t>
            </w:r>
          </w:p>
        </w:tc>
        <w:tc>
          <w:tcPr>
            <w:tcW w:w="0" w:type="dxa"/>
            <w:vAlign w:val="bottom"/>
          </w:tcPr>
          <w:p>
            <w:pPr>
              <w:spacing w:after="0"/>
              <w:rPr>
                <w:sz w:val="1"/>
                <w:szCs w:val="1"/>
                <w:color w:val="auto"/>
              </w:rPr>
            </w:pPr>
          </w:p>
        </w:tc>
      </w:tr>
      <w:tr>
        <w:trPr>
          <w:trHeight w:val="173"/>
        </w:trPr>
        <w:tc>
          <w:tcPr>
            <w:tcW w:w="2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(PIK 4.00%)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3"/>
                <w:szCs w:val="13"/>
                <w:color w:val="auto"/>
              </w:rPr>
              <w:t>Univita Health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06/19/2017</w:t>
            </w:r>
          </w:p>
        </w:tc>
        <w:tc>
          <w:tcPr>
            <w:tcW w:w="200" w:type="dxa"/>
            <w:vAlign w:val="bottom"/>
          </w:tcPr>
          <w:p>
            <w:pPr>
              <w:spacing w:after="0"/>
              <w:rPr>
                <w:sz w:val="12"/>
                <w:szCs w:val="12"/>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Consumer Services</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6.50%</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L+500</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2,932,500</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2,912,802</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2,800,538</w:t>
            </w: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Viamedia Services Corp.</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04/19/2016</w:t>
            </w:r>
          </w:p>
        </w:tc>
        <w:tc>
          <w:tcPr>
            <w:tcW w:w="2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7"/>
              </w:rPr>
              <w:t>Media: Advertising, Printing and Publishing</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7.00%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L+550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3,304,277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3,280,480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3,304,277</w:t>
            </w: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Virtual Radiologic Corporation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12/22/2016</w:t>
            </w:r>
          </w:p>
        </w:tc>
        <w:tc>
          <w:tcPr>
            <w:tcW w:w="200" w:type="dxa"/>
            <w:vAlign w:val="bottom"/>
          </w:tcPr>
          <w:p>
            <w:pPr>
              <w:spacing w:after="0"/>
              <w:rPr>
                <w:sz w:val="12"/>
                <w:szCs w:val="12"/>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0"/>
              </w:rPr>
              <w:t>Business Services</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7.25%</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L+550</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2,932,500</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2,916,949</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1,847,475</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Wilton Brands,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08/30/2018</w:t>
            </w:r>
          </w:p>
        </w:tc>
        <w:tc>
          <w:tcPr>
            <w:tcW w:w="2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4"/>
              </w:rPr>
              <w:t>Consumer Goods: Non-Durable</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7.50%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L+625</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3,230,000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3,177,789</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3,165,400</w:t>
            </w: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YP LLC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06/04/2018</w:t>
            </w:r>
          </w:p>
        </w:tc>
        <w:tc>
          <w:tcPr>
            <w:tcW w:w="200" w:type="dxa"/>
            <w:vAlign w:val="bottom"/>
          </w:tcPr>
          <w:p>
            <w:pPr>
              <w:spacing w:after="0"/>
              <w:rPr>
                <w:sz w:val="12"/>
                <w:szCs w:val="12"/>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Media: Advertising, Printing and Publishing</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8.06%</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L+675</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5,085,000</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4,964,517</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5,046,863</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Zest Anchors,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08/17/2020</w:t>
            </w:r>
          </w:p>
        </w:tc>
        <w:tc>
          <w:tcPr>
            <w:tcW w:w="2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1"/>
              </w:rPr>
              <w:t>Healthcare and Pharmaceuticals</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6.50%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L+550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9,000,000</w:t>
            </w: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8,822,056</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8,887,500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Total First Lien Secured Debt</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w w:val="94"/>
              </w:rPr>
              <w:t>281,260,179</w:t>
            </w: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281,046,248</w:t>
            </w: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Second Lien Secured Debt—13.1%</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American Gilsonite Company </w:t>
            </w:r>
            <w:r>
              <w:rPr>
                <w:rFonts w:ascii="Arial" w:cs="Arial" w:eastAsia="Arial" w:hAnsi="Arial"/>
                <w:sz w:val="17"/>
                <w:szCs w:val="17"/>
                <w:color w:val="auto"/>
                <w:vertAlign w:val="superscript"/>
              </w:rPr>
              <w:t>(5),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09/01/2017</w:t>
            </w:r>
          </w:p>
        </w:tc>
        <w:tc>
          <w:tcPr>
            <w:tcW w:w="200" w:type="dxa"/>
            <w:vAlign w:val="bottom"/>
          </w:tcPr>
          <w:p>
            <w:pPr>
              <w:spacing w:after="0"/>
              <w:rPr>
                <w:sz w:val="12"/>
                <w:szCs w:val="12"/>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8"/>
              </w:rPr>
              <w:t>Metals and Mining</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11.50%</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3,000,000</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3,000,000</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3,067,500</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Arsloane Acquisition,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10/01/2020</w:t>
            </w:r>
          </w:p>
        </w:tc>
        <w:tc>
          <w:tcPr>
            <w:tcW w:w="2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0"/>
              </w:rPr>
              <w:t>Business Services</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11.75%</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L+1,050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5,000,000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4,900,000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4,983,350</w:t>
            </w: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Brand Energy and Infrastructure Services, Inc. </w:t>
            </w:r>
            <w:r>
              <w:rPr>
                <w:rFonts w:ascii="Arial" w:cs="Arial" w:eastAsia="Arial" w:hAnsi="Arial"/>
                <w:sz w:val="17"/>
                <w:szCs w:val="17"/>
                <w:color w:val="auto"/>
                <w:vertAlign w:val="superscript"/>
              </w:rPr>
              <w:t>(8)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10/23/2019</w:t>
            </w:r>
          </w:p>
        </w:tc>
        <w:tc>
          <w:tcPr>
            <w:tcW w:w="200" w:type="dxa"/>
            <w:vAlign w:val="bottom"/>
          </w:tcPr>
          <w:p>
            <w:pPr>
              <w:spacing w:after="0"/>
              <w:rPr>
                <w:sz w:val="12"/>
                <w:szCs w:val="12"/>
                <w:color w:val="auto"/>
              </w:rPr>
            </w:pPr>
          </w:p>
        </w:tc>
        <w:tc>
          <w:tcPr>
            <w:tcW w:w="2640" w:type="dxa"/>
            <w:vAlign w:val="bottom"/>
            <w:gridSpan w:val="2"/>
          </w:tcPr>
          <w:p>
            <w:pPr>
              <w:jc w:val="center"/>
              <w:ind w:right="220"/>
              <w:spacing w:after="0"/>
              <w:rPr>
                <w:sz w:val="20"/>
                <w:szCs w:val="20"/>
                <w:color w:val="auto"/>
              </w:rPr>
            </w:pPr>
            <w:r>
              <w:rPr>
                <w:rFonts w:ascii="Arial" w:cs="Arial" w:eastAsia="Arial" w:hAnsi="Arial"/>
                <w:sz w:val="13"/>
                <w:szCs w:val="13"/>
                <w:color w:val="auto"/>
                <w:w w:val="93"/>
              </w:rPr>
              <w:t>Energy: Oil and Gas</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11.00%</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L+975</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1,906,607</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1,861,523</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1,946,322</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Cannery Casino Resorts, LLC </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10/02/2019</w:t>
            </w:r>
          </w:p>
        </w:tc>
        <w:tc>
          <w:tcPr>
            <w:tcW w:w="2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5"/>
              </w:rPr>
              <w:t>Hotel, Gaming and Leisure</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10.00%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L+875</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1,700,000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1,671,746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1,576,750</w:t>
            </w:r>
          </w:p>
        </w:tc>
        <w:tc>
          <w:tcPr>
            <w:tcW w:w="0" w:type="dxa"/>
            <w:vAlign w:val="bottom"/>
          </w:tcPr>
          <w:p>
            <w:pPr>
              <w:spacing w:after="0"/>
              <w:rPr>
                <w:sz w:val="1"/>
                <w:szCs w:val="1"/>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Carolina Beverage Group, LLC </w:t>
            </w:r>
            <w:r>
              <w:rPr>
                <w:rFonts w:ascii="Arial" w:cs="Arial" w:eastAsia="Arial" w:hAnsi="Arial"/>
                <w:sz w:val="17"/>
                <w:szCs w:val="17"/>
                <w:color w:val="auto"/>
                <w:vertAlign w:val="superscript"/>
              </w:rPr>
              <w:t>(5),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08/01/2018</w:t>
            </w:r>
          </w:p>
        </w:tc>
        <w:tc>
          <w:tcPr>
            <w:tcW w:w="200" w:type="dxa"/>
            <w:vAlign w:val="bottom"/>
          </w:tcPr>
          <w:p>
            <w:pPr>
              <w:spacing w:after="0"/>
              <w:rPr>
                <w:sz w:val="12"/>
                <w:szCs w:val="12"/>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1"/>
              </w:rPr>
              <w:t>Beverage, Food and Tobacco</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10.63%</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3,500,000</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3,500,000</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3,578,750</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Gastar Exploration USA, Inc. </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05/15/2018</w:t>
            </w:r>
          </w:p>
        </w:tc>
        <w:tc>
          <w:tcPr>
            <w:tcW w:w="2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w w:val="93"/>
              </w:rPr>
              <w:t>Energy: Oil and Gas</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8.63%</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2,000,000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2,000,000</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1,890,000</w:t>
            </w: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3"/>
                <w:szCs w:val="13"/>
                <w:color w:val="auto"/>
              </w:rPr>
              <w:t>ILC Industries, LLC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06/14/2019</w:t>
            </w:r>
          </w:p>
        </w:tc>
        <w:tc>
          <w:tcPr>
            <w:tcW w:w="200" w:type="dxa"/>
            <w:vAlign w:val="bottom"/>
          </w:tcPr>
          <w:p>
            <w:pPr>
              <w:spacing w:after="0"/>
              <w:rPr>
                <w:sz w:val="12"/>
                <w:szCs w:val="12"/>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High Tech Industries</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11.50%</w:t>
            </w: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L+1,000</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2,000,000</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1,920,000</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1,840,000</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Language Line, LLC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12/20/2016</w:t>
            </w:r>
          </w:p>
        </w:tc>
        <w:tc>
          <w:tcPr>
            <w:tcW w:w="2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1"/>
              </w:rPr>
              <w:t>Consumer Services</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10.50%</w:t>
            </w: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L+875</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7,100,000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6,998,223</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6,981,643</w:t>
            </w:r>
          </w:p>
        </w:tc>
        <w:tc>
          <w:tcPr>
            <w:tcW w:w="0" w:type="dxa"/>
            <w:vAlign w:val="bottom"/>
          </w:tcPr>
          <w:p>
            <w:pPr>
              <w:spacing w:after="0"/>
              <w:rPr>
                <w:sz w:val="1"/>
                <w:szCs w:val="1"/>
                <w:color w:val="auto"/>
              </w:rPr>
            </w:pPr>
          </w:p>
        </w:tc>
      </w:tr>
      <w:tr>
        <w:trPr>
          <w:trHeight w:val="156"/>
        </w:trPr>
        <w:tc>
          <w:tcPr>
            <w:tcW w:w="304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Seven Seas Cruises </w:t>
            </w:r>
            <w:r>
              <w:rPr>
                <w:rFonts w:ascii="Arial" w:cs="Arial" w:eastAsia="Arial" w:hAnsi="Arial"/>
                <w:sz w:val="17"/>
                <w:szCs w:val="17"/>
                <w:color w:val="auto"/>
                <w:vertAlign w:val="superscript"/>
              </w:rPr>
              <w:t>(5), (6), (8)</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05/15/2019</w:t>
            </w:r>
          </w:p>
        </w:tc>
        <w:tc>
          <w:tcPr>
            <w:tcW w:w="200" w:type="dxa"/>
            <w:vAlign w:val="bottom"/>
          </w:tcPr>
          <w:p>
            <w:pPr>
              <w:spacing w:after="0"/>
              <w:rPr>
                <w:sz w:val="13"/>
                <w:szCs w:val="13"/>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5"/>
              </w:rPr>
              <w:t>Hotel, Gaming and Leisure</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9.13%</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1,500,000</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1,500,000</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1,635,000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Second Lien Secured Debt</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27,351,492</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27,499,315</w:t>
            </w:r>
          </w:p>
        </w:tc>
        <w:tc>
          <w:tcPr>
            <w:tcW w:w="0" w:type="dxa"/>
            <w:vAlign w:val="bottom"/>
          </w:tcPr>
          <w:p>
            <w:pPr>
              <w:spacing w:after="0"/>
              <w:rPr>
                <w:sz w:val="1"/>
                <w:szCs w:val="1"/>
                <w:color w:val="auto"/>
              </w:rPr>
            </w:pPr>
          </w:p>
        </w:tc>
      </w:tr>
      <w:tr>
        <w:trPr>
          <w:trHeight w:val="155"/>
        </w:trPr>
        <w:tc>
          <w:tcPr>
            <w:tcW w:w="304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Subordinated Debt/Corporate Notes—4.3% </w:t>
            </w:r>
            <w:r>
              <w:rPr>
                <w:rFonts w:ascii="Arial" w:cs="Arial" w:eastAsia="Arial" w:hAnsi="Arial"/>
                <w:sz w:val="18"/>
                <w:szCs w:val="18"/>
                <w:b w:val="1"/>
                <w:bCs w:val="1"/>
                <w:color w:val="auto"/>
                <w:vertAlign w:val="superscript"/>
              </w:rPr>
              <w:t>(8)</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Affinion Group Holdings, Inc.</w:t>
            </w:r>
          </w:p>
        </w:tc>
        <w:tc>
          <w:tcPr>
            <w:tcW w:w="6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11/15/2015</w:t>
            </w:r>
          </w:p>
        </w:tc>
        <w:tc>
          <w:tcPr>
            <w:tcW w:w="200" w:type="dxa"/>
            <w:vAlign w:val="bottom"/>
            <w:shd w:val="clear" w:color="auto" w:fill="CCEEFF"/>
          </w:tcPr>
          <w:p>
            <w:pPr>
              <w:spacing w:after="0"/>
              <w:rPr>
                <w:sz w:val="12"/>
                <w:szCs w:val="12"/>
                <w:color w:val="auto"/>
              </w:rPr>
            </w:pPr>
          </w:p>
        </w:tc>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Consumer Goods: Durable</w:t>
            </w:r>
          </w:p>
        </w:tc>
        <w:tc>
          <w:tcPr>
            <w:tcW w:w="980" w:type="dxa"/>
            <w:vAlign w:val="bottom"/>
            <w:gridSpan w:val="2"/>
            <w:shd w:val="clear" w:color="auto" w:fill="CCEEFF"/>
          </w:tcPr>
          <w:p>
            <w:pPr>
              <w:jc w:val="right"/>
              <w:ind w:right="213"/>
              <w:spacing w:after="0"/>
              <w:rPr>
                <w:sz w:val="20"/>
                <w:szCs w:val="20"/>
                <w:color w:val="auto"/>
              </w:rPr>
            </w:pPr>
            <w:r>
              <w:rPr>
                <w:rFonts w:ascii="Arial" w:cs="Arial" w:eastAsia="Arial" w:hAnsi="Arial"/>
                <w:sz w:val="13"/>
                <w:szCs w:val="13"/>
                <w:color w:val="auto"/>
              </w:rPr>
              <w:t>11.63%</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4,100,000</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3,873,657</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2,357,500</w:t>
            </w:r>
          </w:p>
        </w:tc>
        <w:tc>
          <w:tcPr>
            <w:tcW w:w="0" w:type="dxa"/>
            <w:vAlign w:val="bottom"/>
          </w:tcPr>
          <w:p>
            <w:pPr>
              <w:spacing w:after="0"/>
              <w:rPr>
                <w:sz w:val="1"/>
                <w:szCs w:val="1"/>
                <w:color w:val="auto"/>
              </w:rPr>
            </w:pPr>
          </w:p>
        </w:tc>
      </w:tr>
      <w:tr>
        <w:trPr>
          <w:trHeight w:val="148"/>
        </w:trPr>
        <w:tc>
          <w:tcPr>
            <w:tcW w:w="3040" w:type="dxa"/>
            <w:vAlign w:val="bottom"/>
            <w:gridSpan w:val="2"/>
          </w:tcPr>
          <w:p>
            <w:pPr>
              <w:spacing w:after="0"/>
              <w:rPr>
                <w:sz w:val="20"/>
                <w:szCs w:val="20"/>
                <w:color w:val="auto"/>
              </w:rPr>
            </w:pPr>
            <w:r>
              <w:rPr>
                <w:rFonts w:ascii="Arial" w:cs="Arial" w:eastAsia="Arial" w:hAnsi="Arial"/>
                <w:sz w:val="13"/>
                <w:szCs w:val="13"/>
                <w:color w:val="auto"/>
              </w:rPr>
              <w:t>Credit Infonet,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10/26/2018</w:t>
            </w:r>
          </w:p>
        </w:tc>
        <w:tc>
          <w:tcPr>
            <w:tcW w:w="200" w:type="dxa"/>
            <w:vAlign w:val="bottom"/>
          </w:tcPr>
          <w:p>
            <w:pPr>
              <w:spacing w:after="0"/>
              <w:rPr>
                <w:sz w:val="12"/>
                <w:szCs w:val="12"/>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3"/>
              </w:rPr>
              <w:t>High Tech Industries</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12.25%</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1,987,500</w:t>
            </w: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1,949,883</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1,997,517</w:t>
            </w:r>
          </w:p>
        </w:tc>
        <w:tc>
          <w:tcPr>
            <w:tcW w:w="0" w:type="dxa"/>
            <w:vAlign w:val="bottom"/>
          </w:tcPr>
          <w:p>
            <w:pPr>
              <w:spacing w:after="0"/>
              <w:rPr>
                <w:sz w:val="1"/>
                <w:szCs w:val="1"/>
                <w:color w:val="auto"/>
              </w:rPr>
            </w:pPr>
          </w:p>
        </w:tc>
      </w:tr>
      <w:tr>
        <w:trPr>
          <w:trHeight w:val="138"/>
        </w:trPr>
        <w:tc>
          <w:tcPr>
            <w:tcW w:w="304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Varel International Energy Mezzanine Funding</w:t>
            </w:r>
          </w:p>
        </w:tc>
        <w:tc>
          <w:tcPr>
            <w:tcW w:w="6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w w:val="95"/>
              </w:rPr>
              <w:t>01/15/2018</w:t>
            </w:r>
          </w:p>
        </w:tc>
        <w:tc>
          <w:tcPr>
            <w:tcW w:w="200" w:type="dxa"/>
            <w:vAlign w:val="bottom"/>
            <w:shd w:val="clear" w:color="auto" w:fill="CCEEFF"/>
          </w:tcPr>
          <w:p>
            <w:pPr>
              <w:spacing w:after="0"/>
              <w:rPr>
                <w:sz w:val="11"/>
                <w:szCs w:val="11"/>
                <w:color w:val="auto"/>
              </w:rPr>
            </w:pPr>
          </w:p>
        </w:tc>
        <w:tc>
          <w:tcPr>
            <w:tcW w:w="26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3"/>
                <w:szCs w:val="13"/>
                <w:color w:val="auto"/>
                <w:w w:val="93"/>
              </w:rPr>
              <w:t>Energy: Oil and Gas</w:t>
            </w:r>
          </w:p>
        </w:tc>
        <w:tc>
          <w:tcPr>
            <w:tcW w:w="980" w:type="dxa"/>
            <w:vAlign w:val="bottom"/>
            <w:gridSpan w:val="2"/>
            <w:shd w:val="clear" w:color="auto" w:fill="CCEEFF"/>
          </w:tcPr>
          <w:p>
            <w:pPr>
              <w:jc w:val="right"/>
              <w:ind w:right="213"/>
              <w:spacing w:after="0" w:line="138" w:lineRule="exact"/>
              <w:rPr>
                <w:sz w:val="20"/>
                <w:szCs w:val="20"/>
                <w:color w:val="auto"/>
              </w:rPr>
            </w:pPr>
            <w:r>
              <w:rPr>
                <w:rFonts w:ascii="Arial" w:cs="Arial" w:eastAsia="Arial" w:hAnsi="Arial"/>
                <w:sz w:val="13"/>
                <w:szCs w:val="13"/>
                <w:color w:val="auto"/>
              </w:rPr>
              <w:t>14.00%</w:t>
            </w:r>
          </w:p>
        </w:tc>
        <w:tc>
          <w:tcPr>
            <w:tcW w:w="960" w:type="dxa"/>
            <w:vAlign w:val="bottom"/>
            <w:gridSpan w:val="2"/>
            <w:shd w:val="clear" w:color="auto" w:fill="CCEEFF"/>
          </w:tcPr>
          <w:p>
            <w:pPr>
              <w:ind w:left="50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80"/>
              <w:spacing w:after="0" w:line="138" w:lineRule="exact"/>
              <w:rPr>
                <w:sz w:val="20"/>
                <w:szCs w:val="20"/>
                <w:color w:val="auto"/>
              </w:rPr>
            </w:pPr>
            <w:r>
              <w:rPr>
                <w:rFonts w:ascii="Arial" w:cs="Arial" w:eastAsia="Arial" w:hAnsi="Arial"/>
                <w:sz w:val="13"/>
                <w:szCs w:val="13"/>
                <w:color w:val="auto"/>
                <w:w w:val="96"/>
              </w:rPr>
              <w:t>1,810,934</w:t>
            </w:r>
          </w:p>
        </w:tc>
        <w:tc>
          <w:tcPr>
            <w:tcW w:w="80" w:type="dxa"/>
            <w:vAlign w:val="bottom"/>
            <w:shd w:val="clear" w:color="auto" w:fill="CCEEFF"/>
          </w:tcPr>
          <w:p>
            <w:pPr>
              <w:spacing w:after="0"/>
              <w:rPr>
                <w:sz w:val="11"/>
                <w:szCs w:val="11"/>
                <w:color w:val="auto"/>
              </w:rPr>
            </w:pPr>
          </w:p>
        </w:tc>
        <w:tc>
          <w:tcPr>
            <w:tcW w:w="960" w:type="dxa"/>
            <w:vAlign w:val="bottom"/>
            <w:gridSpan w:val="2"/>
            <w:shd w:val="clear" w:color="auto" w:fill="CCEEFF"/>
          </w:tcPr>
          <w:p>
            <w:pPr>
              <w:jc w:val="right"/>
              <w:ind w:right="260"/>
              <w:spacing w:after="0" w:line="138" w:lineRule="exact"/>
              <w:rPr>
                <w:sz w:val="20"/>
                <w:szCs w:val="20"/>
                <w:color w:val="auto"/>
              </w:rPr>
            </w:pPr>
            <w:r>
              <w:rPr>
                <w:rFonts w:ascii="Arial" w:cs="Arial" w:eastAsia="Arial" w:hAnsi="Arial"/>
                <w:sz w:val="13"/>
                <w:szCs w:val="13"/>
                <w:color w:val="auto"/>
              </w:rPr>
              <w:t>1,780,211</w:t>
            </w: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8" w:lineRule="exact"/>
              <w:rPr>
                <w:sz w:val="20"/>
                <w:szCs w:val="20"/>
                <w:color w:val="auto"/>
              </w:rPr>
            </w:pPr>
            <w:r>
              <w:rPr>
                <w:rFonts w:ascii="Arial" w:cs="Arial" w:eastAsia="Arial" w:hAnsi="Arial"/>
                <w:sz w:val="13"/>
                <w:szCs w:val="13"/>
                <w:color w:val="auto"/>
              </w:rPr>
              <w:t>1,793,834</w:t>
            </w:r>
          </w:p>
        </w:tc>
        <w:tc>
          <w:tcPr>
            <w:tcW w:w="0" w:type="dxa"/>
            <w:vAlign w:val="bottom"/>
          </w:tcPr>
          <w:p>
            <w:pPr>
              <w:spacing w:after="0"/>
              <w:rPr>
                <w:sz w:val="1"/>
                <w:szCs w:val="1"/>
                <w:color w:val="auto"/>
              </w:rPr>
            </w:pPr>
          </w:p>
        </w:tc>
      </w:tr>
      <w:tr>
        <w:trPr>
          <w:trHeight w:val="173"/>
        </w:trPr>
        <w:tc>
          <w:tcPr>
            <w:tcW w:w="30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Corp.</w:t>
            </w:r>
          </w:p>
        </w:tc>
        <w:tc>
          <w:tcPr>
            <w:tcW w:w="6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(PIK 4.00%)</w:t>
            </w: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3040" w:type="dxa"/>
            <w:vAlign w:val="bottom"/>
            <w:gridSpan w:val="2"/>
          </w:tcPr>
          <w:p>
            <w:pPr>
              <w:spacing w:after="0"/>
              <w:rPr>
                <w:sz w:val="20"/>
                <w:szCs w:val="20"/>
                <w:color w:val="auto"/>
              </w:rPr>
            </w:pPr>
            <w:r>
              <w:rPr>
                <w:rFonts w:ascii="Arial" w:cs="Arial" w:eastAsia="Arial" w:hAnsi="Arial"/>
                <w:sz w:val="13"/>
                <w:szCs w:val="13"/>
                <w:color w:val="auto"/>
              </w:rPr>
              <w:t>Vestcom International, Inc.</w:t>
            </w:r>
          </w:p>
        </w:tc>
        <w:tc>
          <w:tcPr>
            <w:tcW w:w="620" w:type="dxa"/>
            <w:vAlign w:val="bottom"/>
          </w:tcPr>
          <w:p>
            <w:pPr>
              <w:jc w:val="center"/>
              <w:spacing w:after="0"/>
              <w:rPr>
                <w:sz w:val="20"/>
                <w:szCs w:val="20"/>
                <w:color w:val="auto"/>
              </w:rPr>
            </w:pPr>
            <w:r>
              <w:rPr>
                <w:rFonts w:ascii="Arial" w:cs="Arial" w:eastAsia="Arial" w:hAnsi="Arial"/>
                <w:sz w:val="13"/>
                <w:szCs w:val="13"/>
                <w:color w:val="auto"/>
                <w:w w:val="95"/>
              </w:rPr>
              <w:t>06/27/2019</w:t>
            </w:r>
          </w:p>
        </w:tc>
        <w:tc>
          <w:tcPr>
            <w:tcW w:w="200" w:type="dxa"/>
            <w:vAlign w:val="bottom"/>
          </w:tcPr>
          <w:p>
            <w:pPr>
              <w:spacing w:after="0"/>
              <w:rPr>
                <w:sz w:val="13"/>
                <w:szCs w:val="13"/>
                <w:color w:val="auto"/>
              </w:rPr>
            </w:pPr>
          </w:p>
        </w:tc>
        <w:tc>
          <w:tcPr>
            <w:tcW w:w="2640" w:type="dxa"/>
            <w:vAlign w:val="bottom"/>
            <w:gridSpan w:val="2"/>
          </w:tcPr>
          <w:p>
            <w:pPr>
              <w:jc w:val="center"/>
              <w:ind w:right="200"/>
              <w:spacing w:after="0"/>
              <w:rPr>
                <w:sz w:val="20"/>
                <w:szCs w:val="20"/>
                <w:color w:val="auto"/>
              </w:rPr>
            </w:pPr>
            <w:r>
              <w:rPr>
                <w:rFonts w:ascii="Arial" w:cs="Arial" w:eastAsia="Arial" w:hAnsi="Arial"/>
                <w:sz w:val="13"/>
                <w:szCs w:val="13"/>
                <w:color w:val="auto"/>
                <w:w w:val="97"/>
              </w:rPr>
              <w:t>Media: Advertising, Printing and Publishing</w:t>
            </w:r>
          </w:p>
        </w:tc>
        <w:tc>
          <w:tcPr>
            <w:tcW w:w="980" w:type="dxa"/>
            <w:vAlign w:val="bottom"/>
            <w:gridSpan w:val="2"/>
          </w:tcPr>
          <w:p>
            <w:pPr>
              <w:jc w:val="right"/>
              <w:ind w:right="213"/>
              <w:spacing w:after="0"/>
              <w:rPr>
                <w:sz w:val="20"/>
                <w:szCs w:val="20"/>
                <w:color w:val="auto"/>
              </w:rPr>
            </w:pPr>
            <w:r>
              <w:rPr>
                <w:rFonts w:ascii="Arial" w:cs="Arial" w:eastAsia="Arial" w:hAnsi="Arial"/>
                <w:sz w:val="13"/>
                <w:szCs w:val="13"/>
                <w:color w:val="auto"/>
              </w:rPr>
              <w:t>12.00%</w:t>
            </w:r>
          </w:p>
        </w:tc>
        <w:tc>
          <w:tcPr>
            <w:tcW w:w="96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w w:val="96"/>
              </w:rPr>
              <w:t>2,859,027</w:t>
            </w: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2,806,095</w:t>
            </w:r>
          </w:p>
        </w:tc>
        <w:tc>
          <w:tcPr>
            <w:tcW w:w="2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2,854,319</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Subordinated Debt/Corporate Notes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10,409,846</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9,003,170</w:t>
            </w:r>
          </w:p>
        </w:tc>
        <w:tc>
          <w:tcPr>
            <w:tcW w:w="0" w:type="dxa"/>
            <w:vAlign w:val="bottom"/>
          </w:tcPr>
          <w:p>
            <w:pPr>
              <w:spacing w:after="0"/>
              <w:rPr>
                <w:sz w:val="1"/>
                <w:szCs w:val="1"/>
                <w:color w:val="auto"/>
              </w:rPr>
            </w:pPr>
          </w:p>
        </w:tc>
      </w:tr>
      <w:tr>
        <w:trPr>
          <w:trHeight w:val="155"/>
        </w:trPr>
        <w:tc>
          <w:tcPr>
            <w:tcW w:w="3040" w:type="dxa"/>
            <w:vAlign w:val="bottom"/>
            <w:gridSpan w:val="2"/>
          </w:tcPr>
          <w:p>
            <w:pPr>
              <w:spacing w:after="0" w:line="156" w:lineRule="exact"/>
              <w:rPr>
                <w:sz w:val="20"/>
                <w:szCs w:val="20"/>
                <w:color w:val="auto"/>
              </w:rPr>
            </w:pPr>
            <w:r>
              <w:rPr>
                <w:rFonts w:ascii="Arial" w:cs="Arial" w:eastAsia="Arial" w:hAnsi="Arial"/>
                <w:sz w:val="11"/>
                <w:szCs w:val="11"/>
                <w:b w:val="1"/>
                <w:bCs w:val="1"/>
                <w:color w:val="auto"/>
              </w:rPr>
              <w:t xml:space="preserve">Common Equity/Warrants—0.1% </w:t>
            </w:r>
            <w:r>
              <w:rPr>
                <w:rFonts w:ascii="Arial" w:cs="Arial" w:eastAsia="Arial" w:hAnsi="Arial"/>
                <w:sz w:val="18"/>
                <w:szCs w:val="18"/>
                <w:b w:val="1"/>
                <w:bCs w:val="1"/>
                <w:color w:val="auto"/>
                <w:vertAlign w:val="superscript"/>
              </w:rPr>
              <w:t>(7), (8)</w:t>
            </w: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UniTek Global Services, Inc. (Warrants)</w:t>
            </w:r>
          </w:p>
        </w:tc>
        <w:tc>
          <w:tcPr>
            <w:tcW w:w="820" w:type="dxa"/>
            <w:vAlign w:val="bottom"/>
            <w:gridSpan w:val="2"/>
            <w:shd w:val="clear" w:color="auto" w:fill="CCEEFF"/>
          </w:tcPr>
          <w:p>
            <w:pPr>
              <w:ind w:left="200"/>
              <w:spacing w:after="0"/>
              <w:rPr>
                <w:sz w:val="20"/>
                <w:szCs w:val="20"/>
                <w:color w:val="auto"/>
              </w:rPr>
            </w:pPr>
            <w:r>
              <w:rPr>
                <w:rFonts w:ascii="Arial" w:cs="Arial" w:eastAsia="Arial" w:hAnsi="Arial"/>
                <w:sz w:val="13"/>
                <w:szCs w:val="13"/>
                <w:color w:val="auto"/>
              </w:rPr>
              <w:t>—</w:t>
            </w:r>
          </w:p>
        </w:tc>
        <w:tc>
          <w:tcPr>
            <w:tcW w:w="26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Telecommunications</w:t>
            </w:r>
          </w:p>
        </w:tc>
        <w:tc>
          <w:tcPr>
            <w:tcW w:w="98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56,717</w:t>
            </w:r>
          </w:p>
        </w:tc>
        <w:tc>
          <w:tcPr>
            <w:tcW w:w="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95,284</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66,926</w:t>
            </w:r>
          </w:p>
        </w:tc>
        <w:tc>
          <w:tcPr>
            <w:tcW w:w="0" w:type="dxa"/>
            <w:vAlign w:val="bottom"/>
          </w:tcPr>
          <w:p>
            <w:pPr>
              <w:spacing w:after="0"/>
              <w:rPr>
                <w:sz w:val="1"/>
                <w:szCs w:val="1"/>
                <w:color w:val="auto"/>
              </w:rPr>
            </w:pPr>
          </w:p>
        </w:tc>
      </w:tr>
      <w:tr>
        <w:trPr>
          <w:trHeight w:val="138"/>
        </w:trPr>
        <w:tc>
          <w:tcPr>
            <w:tcW w:w="3040" w:type="dxa"/>
            <w:vAlign w:val="bottom"/>
            <w:gridSpan w:val="2"/>
          </w:tcPr>
          <w:p>
            <w:pPr>
              <w:spacing w:after="0" w:line="138" w:lineRule="exact"/>
              <w:rPr>
                <w:sz w:val="20"/>
                <w:szCs w:val="20"/>
                <w:color w:val="auto"/>
              </w:rPr>
            </w:pPr>
            <w:r>
              <w:rPr>
                <w:rFonts w:ascii="Arial" w:cs="Arial" w:eastAsia="Arial" w:hAnsi="Arial"/>
                <w:sz w:val="13"/>
                <w:szCs w:val="13"/>
                <w:color w:val="auto"/>
              </w:rPr>
              <w:t>Vestcom Parent Holdings, Inc.</w:t>
            </w:r>
          </w:p>
        </w:tc>
        <w:tc>
          <w:tcPr>
            <w:tcW w:w="820" w:type="dxa"/>
            <w:vAlign w:val="bottom"/>
            <w:gridSpan w:val="2"/>
          </w:tcPr>
          <w:p>
            <w:pPr>
              <w:ind w:left="200"/>
              <w:spacing w:after="0" w:line="138" w:lineRule="exact"/>
              <w:rPr>
                <w:sz w:val="20"/>
                <w:szCs w:val="20"/>
                <w:color w:val="auto"/>
              </w:rPr>
            </w:pPr>
            <w:r>
              <w:rPr>
                <w:rFonts w:ascii="Arial" w:cs="Arial" w:eastAsia="Arial" w:hAnsi="Arial"/>
                <w:sz w:val="13"/>
                <w:szCs w:val="13"/>
                <w:color w:val="auto"/>
              </w:rPr>
              <w:t>—</w:t>
            </w:r>
          </w:p>
        </w:tc>
        <w:tc>
          <w:tcPr>
            <w:tcW w:w="2640" w:type="dxa"/>
            <w:vAlign w:val="bottom"/>
            <w:gridSpan w:val="2"/>
          </w:tcPr>
          <w:p>
            <w:pPr>
              <w:jc w:val="center"/>
              <w:ind w:right="200"/>
              <w:spacing w:after="0" w:line="138" w:lineRule="exact"/>
              <w:rPr>
                <w:sz w:val="20"/>
                <w:szCs w:val="20"/>
                <w:color w:val="auto"/>
              </w:rPr>
            </w:pPr>
            <w:r>
              <w:rPr>
                <w:rFonts w:ascii="Arial" w:cs="Arial" w:eastAsia="Arial" w:hAnsi="Arial"/>
                <w:sz w:val="13"/>
                <w:szCs w:val="13"/>
                <w:color w:val="auto"/>
                <w:w w:val="97"/>
              </w:rPr>
              <w:t>Media: Advertising, Printing and Publishing</w:t>
            </w:r>
          </w:p>
        </w:tc>
        <w:tc>
          <w:tcPr>
            <w:tcW w:w="980" w:type="dxa"/>
            <w:vAlign w:val="bottom"/>
            <w:gridSpan w:val="2"/>
          </w:tcPr>
          <w:p>
            <w:pPr>
              <w:jc w:val="right"/>
              <w:ind w:right="393"/>
              <w:spacing w:after="0" w:line="138" w:lineRule="exact"/>
              <w:rPr>
                <w:sz w:val="20"/>
                <w:szCs w:val="20"/>
                <w:color w:val="auto"/>
              </w:rPr>
            </w:pPr>
            <w:r>
              <w:rPr>
                <w:rFonts w:ascii="Arial" w:cs="Arial" w:eastAsia="Arial" w:hAnsi="Arial"/>
                <w:sz w:val="13"/>
                <w:szCs w:val="13"/>
                <w:color w:val="auto"/>
              </w:rPr>
              <w:t>—</w:t>
            </w:r>
          </w:p>
        </w:tc>
        <w:tc>
          <w:tcPr>
            <w:tcW w:w="960" w:type="dxa"/>
            <w:vAlign w:val="bottom"/>
            <w:gridSpan w:val="2"/>
          </w:tcPr>
          <w:p>
            <w:pPr>
              <w:ind w:left="500"/>
              <w:spacing w:after="0" w:line="138" w:lineRule="exact"/>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280"/>
              <w:spacing w:after="0" w:line="138" w:lineRule="exact"/>
              <w:rPr>
                <w:sz w:val="20"/>
                <w:szCs w:val="20"/>
                <w:color w:val="auto"/>
              </w:rPr>
            </w:pPr>
            <w:r>
              <w:rPr>
                <w:rFonts w:ascii="Arial" w:cs="Arial" w:eastAsia="Arial" w:hAnsi="Arial"/>
                <w:sz w:val="13"/>
                <w:szCs w:val="13"/>
                <w:color w:val="auto"/>
              </w:rPr>
              <w:t>15,179</w:t>
            </w:r>
          </w:p>
        </w:tc>
        <w:tc>
          <w:tcPr>
            <w:tcW w:w="80" w:type="dxa"/>
            <w:vAlign w:val="bottom"/>
          </w:tcPr>
          <w:p>
            <w:pPr>
              <w:spacing w:after="0"/>
              <w:rPr>
                <w:sz w:val="11"/>
                <w:szCs w:val="11"/>
                <w:color w:val="auto"/>
              </w:rPr>
            </w:pPr>
          </w:p>
        </w:tc>
        <w:tc>
          <w:tcPr>
            <w:tcW w:w="960" w:type="dxa"/>
            <w:vAlign w:val="bottom"/>
            <w:gridSpan w:val="2"/>
          </w:tcPr>
          <w:p>
            <w:pPr>
              <w:jc w:val="right"/>
              <w:ind w:right="260"/>
              <w:spacing w:after="0" w:line="138" w:lineRule="exact"/>
              <w:rPr>
                <w:sz w:val="20"/>
                <w:szCs w:val="20"/>
                <w:color w:val="auto"/>
              </w:rPr>
            </w:pPr>
            <w:r>
              <w:rPr>
                <w:rFonts w:ascii="Arial" w:cs="Arial" w:eastAsia="Arial" w:hAnsi="Arial"/>
                <w:sz w:val="13"/>
                <w:szCs w:val="13"/>
                <w:color w:val="auto"/>
              </w:rPr>
              <w:t>166,667</w:t>
            </w:r>
          </w:p>
        </w:tc>
        <w:tc>
          <w:tcPr>
            <w:tcW w:w="100" w:type="dxa"/>
            <w:vAlign w:val="bottom"/>
          </w:tcPr>
          <w:p>
            <w:pPr>
              <w:spacing w:after="0"/>
              <w:rPr>
                <w:sz w:val="11"/>
                <w:szCs w:val="11"/>
                <w:color w:val="auto"/>
              </w:rPr>
            </w:pPr>
          </w:p>
        </w:tc>
        <w:tc>
          <w:tcPr>
            <w:tcW w:w="800" w:type="dxa"/>
            <w:vAlign w:val="bottom"/>
            <w:gridSpan w:val="2"/>
          </w:tcPr>
          <w:p>
            <w:pPr>
              <w:jc w:val="right"/>
              <w:ind w:right="80"/>
              <w:spacing w:after="0" w:line="138" w:lineRule="exact"/>
              <w:rPr>
                <w:sz w:val="20"/>
                <w:szCs w:val="20"/>
                <w:color w:val="auto"/>
              </w:rPr>
            </w:pPr>
            <w:r>
              <w:rPr>
                <w:rFonts w:ascii="Arial" w:cs="Arial" w:eastAsia="Arial" w:hAnsi="Arial"/>
                <w:sz w:val="13"/>
                <w:szCs w:val="13"/>
                <w:color w:val="auto"/>
              </w:rPr>
              <w:t>188,235</w:t>
            </w:r>
          </w:p>
        </w:tc>
        <w:tc>
          <w:tcPr>
            <w:tcW w:w="0" w:type="dxa"/>
            <w:vAlign w:val="bottom"/>
          </w:tcPr>
          <w:p>
            <w:pPr>
              <w:spacing w:after="0"/>
              <w:rPr>
                <w:sz w:val="1"/>
                <w:szCs w:val="1"/>
                <w:color w:val="auto"/>
              </w:rPr>
            </w:pPr>
          </w:p>
        </w:tc>
      </w:tr>
      <w:tr>
        <w:trPr>
          <w:trHeight w:val="166"/>
        </w:trPr>
        <w:tc>
          <w:tcPr>
            <w:tcW w:w="3040" w:type="dxa"/>
            <w:vAlign w:val="bottom"/>
            <w:gridSpan w:val="2"/>
          </w:tcPr>
          <w:p>
            <w:pPr>
              <w:ind w:left="220"/>
              <w:spacing w:after="0"/>
              <w:rPr>
                <w:sz w:val="20"/>
                <w:szCs w:val="20"/>
                <w:color w:val="auto"/>
              </w:rPr>
            </w:pPr>
            <w:r>
              <w:rPr>
                <w:rFonts w:ascii="Arial" w:cs="Arial" w:eastAsia="Arial" w:hAnsi="Arial"/>
                <w:sz w:val="13"/>
                <w:szCs w:val="13"/>
                <w:color w:val="auto"/>
              </w:rPr>
              <w:t>(Vestcom International, Inc.)</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Common Equity/Warrants</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261,951</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255,161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500" w:type="dxa"/>
            <w:vAlign w:val="bottom"/>
            <w:gridSpan w:val="6"/>
          </w:tcPr>
          <w:p>
            <w:pPr>
              <w:spacing w:after="0"/>
              <w:rPr>
                <w:sz w:val="20"/>
                <w:szCs w:val="20"/>
                <w:color w:val="auto"/>
              </w:rPr>
            </w:pPr>
            <w:r>
              <w:rPr>
                <w:rFonts w:ascii="Arial" w:cs="Arial" w:eastAsia="Arial" w:hAnsi="Arial"/>
                <w:sz w:val="13"/>
                <w:szCs w:val="13"/>
                <w:b w:val="1"/>
                <w:bCs w:val="1"/>
                <w:color w:val="auto"/>
              </w:rPr>
              <w:t>Total Investments in Non-Controlled, Non-Affiliated Portfolio Companies</w:t>
            </w: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w w:val="94"/>
              </w:rPr>
              <w:t>319,283,468</w:t>
            </w:r>
          </w:p>
        </w:tc>
        <w:tc>
          <w:tcPr>
            <w:tcW w:w="100" w:type="dxa"/>
            <w:vAlign w:val="bottom"/>
          </w:tcPr>
          <w:p>
            <w:pPr>
              <w:spacing w:after="0"/>
              <w:rPr>
                <w:sz w:val="13"/>
                <w:szCs w:val="13"/>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w w:val="96"/>
              </w:rPr>
              <w:t>317,803,894</w:t>
            </w: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Cash Equivalents—2.2%</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60" w:type="dxa"/>
            <w:vAlign w:val="bottom"/>
            <w:gridSpan w:val="4"/>
          </w:tcPr>
          <w:p>
            <w:pPr>
              <w:spacing w:after="0"/>
              <w:rPr>
                <w:sz w:val="20"/>
                <w:szCs w:val="20"/>
                <w:color w:val="auto"/>
              </w:rPr>
            </w:pPr>
            <w:r>
              <w:rPr>
                <w:rFonts w:ascii="Arial" w:cs="Arial" w:eastAsia="Arial" w:hAnsi="Arial"/>
                <w:sz w:val="13"/>
                <w:szCs w:val="13"/>
                <w:color w:val="auto"/>
              </w:rPr>
              <w:t>BlackRock Liquidity Funds, Temp Cash, Institutional Shares</w:t>
            </w: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3"/>
                <w:szCs w:val="13"/>
                <w:color w:val="auto"/>
              </w:rPr>
              <w:t>2,747,327</w:t>
            </w:r>
          </w:p>
        </w:tc>
        <w:tc>
          <w:tcPr>
            <w:tcW w:w="1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2,747,327</w:t>
            </w:r>
          </w:p>
        </w:tc>
        <w:tc>
          <w:tcPr>
            <w:tcW w:w="0" w:type="dxa"/>
            <w:vAlign w:val="bottom"/>
          </w:tcPr>
          <w:p>
            <w:pPr>
              <w:spacing w:after="0"/>
              <w:rPr>
                <w:sz w:val="1"/>
                <w:szCs w:val="1"/>
                <w:color w:val="auto"/>
              </w:rPr>
            </w:pPr>
          </w:p>
        </w:tc>
      </w:tr>
      <w:tr>
        <w:trPr>
          <w:trHeight w:val="148"/>
        </w:trPr>
        <w:tc>
          <w:tcPr>
            <w:tcW w:w="3860" w:type="dxa"/>
            <w:vAlign w:val="bottom"/>
            <w:gridSpan w:val="4"/>
            <w:shd w:val="clear" w:color="auto" w:fill="CCEEFF"/>
          </w:tcPr>
          <w:p>
            <w:pPr>
              <w:spacing w:after="0"/>
              <w:rPr>
                <w:sz w:val="20"/>
                <w:szCs w:val="20"/>
                <w:color w:val="auto"/>
              </w:rPr>
            </w:pPr>
            <w:r>
              <w:rPr>
                <w:rFonts w:ascii="Arial" w:cs="Arial" w:eastAsia="Arial" w:hAnsi="Arial"/>
                <w:sz w:val="13"/>
                <w:szCs w:val="13"/>
                <w:color w:val="auto"/>
              </w:rPr>
              <w:t>BlackRock Liquidity Funds, Temp Fund, Institutional Shares</w:t>
            </w: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1,830,922</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1,830,922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040" w:type="dxa"/>
            <w:vAlign w:val="bottom"/>
            <w:gridSpan w:val="2"/>
          </w:tcPr>
          <w:p>
            <w:pPr>
              <w:spacing w:after="0"/>
              <w:rPr>
                <w:sz w:val="20"/>
                <w:szCs w:val="20"/>
                <w:color w:val="auto"/>
              </w:rPr>
            </w:pPr>
            <w:r>
              <w:rPr>
                <w:rFonts w:ascii="Arial" w:cs="Arial" w:eastAsia="Arial" w:hAnsi="Arial"/>
                <w:sz w:val="13"/>
                <w:szCs w:val="13"/>
                <w:b w:val="1"/>
                <w:bCs w:val="1"/>
                <w:color w:val="auto"/>
              </w:rPr>
              <w:t>Total Cash Equivalents</w:t>
            </w: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w w:val="98"/>
              </w:rPr>
              <w:t>Total Investments and Cash Equivalents—153.5%</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4"/>
              </w:rPr>
              <w:t>323,861,717</w:t>
            </w:r>
          </w:p>
        </w:tc>
        <w:tc>
          <w:tcPr>
            <w:tcW w:w="2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6"/>
              </w:rPr>
              <w:t>322,382,143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Liabilities in Excess of Other Assets—(53.5)%</w:t>
            </w: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04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w w:val="91"/>
              </w:rPr>
              <w:t>(112,315,749)</w:t>
            </w:r>
          </w:p>
        </w:tc>
        <w:tc>
          <w:tcPr>
            <w:tcW w:w="0" w:type="dxa"/>
            <w:vAlign w:val="bottom"/>
          </w:tcPr>
          <w:p>
            <w:pPr>
              <w:spacing w:after="0"/>
              <w:rPr>
                <w:sz w:val="1"/>
                <w:szCs w:val="1"/>
                <w:color w:val="auto"/>
              </w:rPr>
            </w:pPr>
          </w:p>
        </w:tc>
      </w:tr>
      <w:tr>
        <w:trPr>
          <w:trHeight w:val="149"/>
        </w:trPr>
        <w:tc>
          <w:tcPr>
            <w:tcW w:w="304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Net Assets—100.0%</w:t>
            </w: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210,066,394</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31" w:lineRule="exact"/>
        <w:rPr>
          <w:sz w:val="20"/>
          <w:szCs w:val="20"/>
          <w:color w:val="auto"/>
        </w:rPr>
      </w:pPr>
    </w:p>
    <w:p>
      <w:pPr>
        <w:ind w:left="340" w:right="20" w:hanging="332"/>
        <w:spacing w:after="0" w:line="24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Valued based on our accounting policy (see Note 2).</w:t>
      </w:r>
    </w:p>
    <w:p>
      <w:pPr>
        <w:ind w:left="340" w:right="540" w:hanging="332"/>
        <w:spacing w:after="0" w:line="258" w:lineRule="auto"/>
        <w:tabs>
          <w:tab w:leader="none" w:pos="34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32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580" w:hanging="332"/>
        <w:spacing w:after="0" w:line="238" w:lineRule="auto"/>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Non-U.S. company or principal place of business outside the United States.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Non-income producing securities.</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Coupon is not subject to a LIBOR or Prime rate floor.</w:t>
      </w:r>
    </w:p>
    <w:p>
      <w:pPr>
        <w:ind w:left="340" w:hanging="332"/>
        <w:spacing w:after="0"/>
        <w:tabs>
          <w:tab w:leader="none" w:pos="340" w:val="left"/>
        </w:tabs>
        <w:numPr>
          <w:ilvl w:val="0"/>
          <w:numId w:val="4"/>
        </w:numPr>
        <w:rPr>
          <w:rFonts w:ascii="Arial" w:cs="Arial" w:eastAsia="Arial" w:hAnsi="Arial"/>
          <w:sz w:val="13"/>
          <w:szCs w:val="13"/>
          <w:color w:val="auto"/>
        </w:rPr>
      </w:pPr>
      <w:r>
        <w:rPr>
          <w:rFonts w:ascii="Arial" w:cs="Arial" w:eastAsia="Arial" w:hAnsi="Arial"/>
          <w:sz w:val="13"/>
          <w:szCs w:val="13"/>
          <w:color w:val="auto"/>
        </w:rPr>
        <w:t>Represents the purchase of a security with delayed settlement (unfunded investment). This security does not have a basis point spread above an index.</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SEE NOTES TO CONSOLIDATED FINANCIAL STATEMENTS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10</w:t>
      </w:r>
    </w:p>
    <w:p>
      <w:pPr>
        <w:sectPr>
          <w:pgSz w:w="11900" w:h="16838" w:orient="portrait"/>
          <w:cols w:equalWidth="0" w:num="1">
            <w:col w:w="11240"/>
          </w:cols>
          <w:pgMar w:left="320" w:top="459"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NOTES TO CONSOLIDATED FINANCIAL STATEMENTS</w:t>
      </w:r>
    </w:p>
    <w:p>
      <w:pPr>
        <w:jc w:val="center"/>
        <w:ind w:right="-19"/>
        <w:spacing w:after="0"/>
        <w:rPr>
          <w:sz w:val="20"/>
          <w:szCs w:val="20"/>
          <w:color w:val="auto"/>
        </w:rPr>
      </w:pPr>
      <w:r>
        <w:rPr>
          <w:rFonts w:ascii="Arial" w:cs="Arial" w:eastAsia="Arial" w:hAnsi="Arial"/>
          <w:sz w:val="13"/>
          <w:szCs w:val="13"/>
          <w:b w:val="1"/>
          <w:bCs w:val="1"/>
          <w:color w:val="auto"/>
        </w:rPr>
        <w:t>MARCH 31, 2014</w:t>
      </w: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4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 ORGANIZATION</w:t>
      </w:r>
    </w:p>
    <w:p>
      <w:pPr>
        <w:spacing w:after="0" w:line="82" w:lineRule="exact"/>
        <w:rPr>
          <w:sz w:val="20"/>
          <w:szCs w:val="20"/>
          <w:color w:val="auto"/>
        </w:rPr>
      </w:pPr>
    </w:p>
    <w:p>
      <w:pPr>
        <w:ind w:right="360" w:firstLine="786"/>
        <w:spacing w:after="0" w:line="274" w:lineRule="auto"/>
        <w:rPr>
          <w:sz w:val="20"/>
          <w:szCs w:val="20"/>
          <w:color w:val="auto"/>
        </w:rPr>
      </w:pPr>
      <w:r>
        <w:rPr>
          <w:rFonts w:ascii="Arial" w:cs="Arial" w:eastAsia="Arial" w:hAnsi="Arial"/>
          <w:sz w:val="13"/>
          <w:szCs w:val="13"/>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18" w:lineRule="exact"/>
        <w:rPr>
          <w:sz w:val="20"/>
          <w:szCs w:val="20"/>
          <w:color w:val="auto"/>
        </w:rPr>
      </w:pPr>
    </w:p>
    <w:p>
      <w:pPr>
        <w:ind w:right="80" w:firstLine="786"/>
        <w:spacing w:after="0" w:line="270" w:lineRule="auto"/>
        <w:rPr>
          <w:sz w:val="20"/>
          <w:szCs w:val="20"/>
          <w:color w:val="auto"/>
        </w:rPr>
      </w:pPr>
      <w:r>
        <w:rPr>
          <w:rFonts w:ascii="Arial" w:cs="Arial" w:eastAsia="Arial" w:hAnsi="Arial"/>
          <w:sz w:val="12"/>
          <w:szCs w:val="12"/>
          <w:color w:val="auto"/>
        </w:rPr>
        <w:t>Our investment objectives are to generate current income and capital appreciation. We seek to achieve our investment objective by investing primarily in Floating Rate Loans and other investments made to U.S. middle-market private companies whose debt is rated below investment grade. Floating Rate Loans or variable-rate investments pay interest at variable rates, which are determined periodically, on the basis of a floating base lending rate such as LIBOR, with or without a floor,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22" w:lineRule="exact"/>
        <w:rPr>
          <w:sz w:val="20"/>
          <w:szCs w:val="20"/>
          <w:color w:val="auto"/>
        </w:rPr>
      </w:pPr>
    </w:p>
    <w:p>
      <w:pPr>
        <w:ind w:right="180" w:firstLine="786"/>
        <w:spacing w:after="0" w:line="256" w:lineRule="auto"/>
        <w:rPr>
          <w:sz w:val="20"/>
          <w:szCs w:val="20"/>
          <w:color w:val="auto"/>
        </w:rPr>
      </w:pPr>
      <w:r>
        <w:rPr>
          <w:rFonts w:ascii="Arial" w:cs="Arial" w:eastAsia="Arial" w:hAnsi="Arial"/>
          <w:sz w:val="13"/>
          <w:szCs w:val="13"/>
          <w:color w:val="auto"/>
        </w:rPr>
        <w:t>In April 2011, we closed our initial public offering and our common stock trades on the NASDAQ Global Select Market under the symbol “PFLT.” From inception to date, we have issued 14,889,367 shares of common stock for gross proceeds of $216.3 million, or $210.0 million after deducting the sales load and underwriting expenses paid by us. In addition, since inception, our Investment Adviser has paid $2.9 million of the sales load in connection with our offerings of securities.</w:t>
      </w:r>
    </w:p>
    <w:p>
      <w:pPr>
        <w:spacing w:after="0" w:line="129" w:lineRule="exact"/>
        <w:rPr>
          <w:sz w:val="20"/>
          <w:szCs w:val="20"/>
          <w:color w:val="auto"/>
        </w:rPr>
      </w:pPr>
    </w:p>
    <w:p>
      <w:pPr>
        <w:ind w:firstLine="786"/>
        <w:spacing w:after="0" w:line="274" w:lineRule="auto"/>
        <w:rPr>
          <w:sz w:val="20"/>
          <w:szCs w:val="20"/>
          <w:color w:val="auto"/>
        </w:rPr>
      </w:pPr>
      <w:r>
        <w:rPr>
          <w:rFonts w:ascii="Arial" w:cs="Arial" w:eastAsia="Arial" w:hAnsi="Arial"/>
          <w:sz w:val="13"/>
          <w:szCs w:val="13"/>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18" w:lineRule="exact"/>
        <w:rPr>
          <w:sz w:val="20"/>
          <w:szCs w:val="20"/>
          <w:color w:val="auto"/>
        </w:rPr>
      </w:pPr>
    </w:p>
    <w:p>
      <w:pPr>
        <w:ind w:right="20" w:firstLine="786"/>
        <w:spacing w:after="0" w:line="250" w:lineRule="auto"/>
        <w:rPr>
          <w:sz w:val="20"/>
          <w:szCs w:val="20"/>
          <w:color w:val="auto"/>
        </w:rPr>
      </w:pPr>
      <w:r>
        <w:rPr>
          <w:rFonts w:ascii="Arial" w:cs="Arial" w:eastAsia="Arial" w:hAnsi="Arial"/>
          <w:sz w:val="13"/>
          <w:szCs w:val="13"/>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any management fee owed with respect to such services is to be paid to us so long as the Investment Adviser remains the collateral manager. This arrangement does not increase our consolidated management fee. The five-year Credit Facility allows Funding I to borrow up to $200 million at LIBOR plus 200 basis points during the revolving period. The Credit Facility is secured by all of the assets held by Funding I. See Note 9.</w:t>
      </w:r>
    </w:p>
    <w:p>
      <w:pPr>
        <w:spacing w:after="0" w:line="2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2. SIGNIFICANT ACCOUNTING POLICIES</w:t>
      </w:r>
    </w:p>
    <w:p>
      <w:pPr>
        <w:spacing w:after="0" w:line="82" w:lineRule="exact"/>
        <w:rPr>
          <w:sz w:val="20"/>
          <w:szCs w:val="20"/>
          <w:color w:val="auto"/>
        </w:rPr>
      </w:pPr>
    </w:p>
    <w:p>
      <w:pPr>
        <w:ind w:right="40" w:firstLine="786"/>
        <w:spacing w:after="0" w:line="245"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Actual results could differ from these estimates. We reclassified certain prior period amounts to conform to the current period presentation. We have eliminated all intercompany balances and transactions. References to the Accounting Standards Codification, or ASC, serve as a single source of accounting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w:t>
      </w:r>
    </w:p>
    <w:p>
      <w:pPr>
        <w:spacing w:after="0" w:line="137" w:lineRule="exact"/>
        <w:rPr>
          <w:sz w:val="20"/>
          <w:szCs w:val="20"/>
          <w:color w:val="auto"/>
        </w:rPr>
      </w:pPr>
    </w:p>
    <w:p>
      <w:pPr>
        <w:ind w:right="60" w:firstLine="786"/>
        <w:spacing w:after="0" w:line="317" w:lineRule="auto"/>
        <w:rPr>
          <w:sz w:val="20"/>
          <w:szCs w:val="20"/>
          <w:color w:val="auto"/>
        </w:rPr>
      </w:pPr>
      <w:r>
        <w:rPr>
          <w:rFonts w:ascii="Arial" w:cs="Arial" w:eastAsia="Arial" w:hAnsi="Arial"/>
          <w:sz w:val="12"/>
          <w:szCs w:val="12"/>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94"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Our significant accounting policies consistently applied are as follows: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(a) Investment Valuations</w:t>
      </w:r>
    </w:p>
    <w:p>
      <w:pPr>
        <w:spacing w:after="0" w:line="80" w:lineRule="exact"/>
        <w:rPr>
          <w:sz w:val="20"/>
          <w:szCs w:val="20"/>
          <w:color w:val="auto"/>
        </w:rPr>
      </w:pPr>
    </w:p>
    <w:p>
      <w:pPr>
        <w:ind w:right="40" w:firstLine="786"/>
        <w:spacing w:after="0" w:line="244"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38" w:lineRule="exact"/>
        <w:rPr>
          <w:sz w:val="20"/>
          <w:szCs w:val="20"/>
          <w:color w:val="auto"/>
        </w:rPr>
      </w:pPr>
    </w:p>
    <w:p>
      <w:pPr>
        <w:ind w:right="60" w:firstLine="786"/>
        <w:spacing w:after="0" w:line="274" w:lineRule="auto"/>
        <w:rPr>
          <w:sz w:val="20"/>
          <w:szCs w:val="20"/>
          <w:color w:val="auto"/>
        </w:rPr>
      </w:pPr>
      <w:r>
        <w:rPr>
          <w:rFonts w:ascii="Arial" w:cs="Arial" w:eastAsia="Arial" w:hAnsi="Arial"/>
          <w:sz w:val="13"/>
          <w:szCs w:val="13"/>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37" w:lineRule="exact"/>
        <w:rPr>
          <w:sz w:val="20"/>
          <w:szCs w:val="20"/>
          <w:color w:val="auto"/>
        </w:rPr>
      </w:pPr>
    </w:p>
    <w:p>
      <w:pPr>
        <w:ind w:left="780" w:right="80" w:hanging="448"/>
        <w:spacing w:after="0" w:line="274"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36" w:lineRule="exact"/>
        <w:rPr>
          <w:rFonts w:ascii="Arial" w:cs="Arial" w:eastAsia="Arial" w:hAnsi="Arial"/>
          <w:sz w:val="13"/>
          <w:szCs w:val="13"/>
          <w:color w:val="auto"/>
        </w:rPr>
      </w:pPr>
    </w:p>
    <w:p>
      <w:pPr>
        <w:ind w:left="780" w:hanging="448"/>
        <w:spacing w:after="0"/>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80" w:lineRule="exact"/>
        <w:rPr>
          <w:rFonts w:ascii="Arial" w:cs="Arial" w:eastAsia="Arial" w:hAnsi="Arial"/>
          <w:sz w:val="13"/>
          <w:szCs w:val="13"/>
          <w:color w:val="auto"/>
        </w:rPr>
      </w:pPr>
    </w:p>
    <w:p>
      <w:pPr>
        <w:ind w:left="780" w:right="440" w:hanging="448"/>
        <w:spacing w:after="0" w:line="256" w:lineRule="auto"/>
        <w:tabs>
          <w:tab w:leader="none" w:pos="780" w:val="left"/>
        </w:tabs>
        <w:numPr>
          <w:ilvl w:val="0"/>
          <w:numId w:val="5"/>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ectPr>
          <w:pgSz w:w="11900" w:h="16838" w:orient="portrait"/>
          <w:cols w:equalWidth="0" w:num="1">
            <w:col w:w="11240"/>
          </w:cols>
          <w:pgMar w:left="320" w:top="459"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spacing w:after="0"/>
        <w:rPr>
          <w:sz w:val="20"/>
          <w:szCs w:val="20"/>
          <w:color w:val="auto"/>
        </w:rPr>
      </w:pPr>
      <w:r>
        <w:rPr>
          <w:rFonts w:ascii="Arial" w:cs="Arial" w:eastAsia="Arial" w:hAnsi="Arial"/>
          <w:sz w:val="13"/>
          <w:szCs w:val="13"/>
          <w:b w:val="1"/>
          <w:bCs w:val="1"/>
          <w:color w:val="auto"/>
        </w:rPr>
        <w:t>MARCH 31, 2014</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36" w:lineRule="exact"/>
        <w:rPr>
          <w:sz w:val="20"/>
          <w:szCs w:val="20"/>
          <w:color w:val="auto"/>
        </w:rPr>
      </w:pPr>
    </w:p>
    <w:p>
      <w:pPr>
        <w:ind w:left="780" w:right="280" w:hanging="448"/>
        <w:spacing w:after="0" w:line="256" w:lineRule="auto"/>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48" w:lineRule="exact"/>
        <w:rPr>
          <w:rFonts w:ascii="Arial" w:cs="Arial" w:eastAsia="Arial" w:hAnsi="Arial"/>
          <w:sz w:val="13"/>
          <w:szCs w:val="13"/>
          <w:color w:val="auto"/>
        </w:rPr>
      </w:pPr>
    </w:p>
    <w:p>
      <w:pPr>
        <w:ind w:left="780" w:right="320" w:hanging="448"/>
        <w:spacing w:after="0" w:line="274" w:lineRule="auto"/>
        <w:tabs>
          <w:tab w:leader="none" w:pos="7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18"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(b) Security Transactions, Revenue Recognition, and Realized/Unrealized Gains or Losses</w:t>
      </w:r>
    </w:p>
    <w:p>
      <w:pPr>
        <w:spacing w:after="0" w:line="80" w:lineRule="exact"/>
        <w:rPr>
          <w:sz w:val="20"/>
          <w:szCs w:val="20"/>
          <w:color w:val="auto"/>
        </w:rPr>
      </w:pPr>
    </w:p>
    <w:p>
      <w:pPr>
        <w:ind w:right="80" w:firstLine="786"/>
        <w:spacing w:after="0" w:line="250"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33"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collectible. We do not accrue as a receivable interest on loans and debt investments if we have reason to doubt our ability to collect such interest. Loan origination fees, original issue discount, or OID,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35" w:lineRule="exact"/>
        <w:rPr>
          <w:sz w:val="20"/>
          <w:szCs w:val="20"/>
          <w:color w:val="auto"/>
        </w:rPr>
      </w:pPr>
    </w:p>
    <w:p>
      <w:pPr>
        <w:ind w:right="60" w:firstLine="786"/>
        <w:spacing w:after="0" w:line="288"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(c) Income Taxes</w:t>
      </w:r>
    </w:p>
    <w:p>
      <w:pPr>
        <w:spacing w:after="0" w:line="80" w:lineRule="exact"/>
        <w:rPr>
          <w:sz w:val="20"/>
          <w:szCs w:val="20"/>
          <w:color w:val="auto"/>
        </w:rPr>
      </w:pPr>
    </w:p>
    <w:p>
      <w:pPr>
        <w:ind w:right="20" w:firstLine="786"/>
        <w:spacing w:after="0" w:line="245" w:lineRule="auto"/>
        <w:rPr>
          <w:sz w:val="20"/>
          <w:szCs w:val="20"/>
          <w:color w:val="auto"/>
        </w:rPr>
      </w:pPr>
      <w:r>
        <w:rPr>
          <w:rFonts w:ascii="Arial" w:cs="Arial" w:eastAsia="Arial" w:hAnsi="Arial"/>
          <w:sz w:val="13"/>
          <w:szCs w:val="13"/>
          <w:color w:val="auto"/>
        </w:rPr>
        <w:t>We have complied with the requirements of Subchapter M of the Code and expect to be subject to taxation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As a result, for the three and six months ended March 31, 2014, we accrued estimated excise taxes of $0.1 million and $0.2 million, respectively. For the three and six months ended March 31, 2013, we accrued estimated excise taxes of less than $0.1 million and $0.1 million, respectively.</w:t>
      </w:r>
    </w:p>
    <w:p>
      <w:pPr>
        <w:spacing w:after="0" w:line="137" w:lineRule="exact"/>
        <w:rPr>
          <w:sz w:val="20"/>
          <w:szCs w:val="20"/>
          <w:color w:val="auto"/>
        </w:rPr>
      </w:pPr>
    </w:p>
    <w:p>
      <w:pPr>
        <w:ind w:right="20" w:firstLine="786"/>
        <w:spacing w:after="0" w:line="250" w:lineRule="auto"/>
        <w:rPr>
          <w:sz w:val="20"/>
          <w:szCs w:val="20"/>
          <w:color w:val="auto"/>
        </w:rPr>
      </w:pPr>
      <w:r>
        <w:rPr>
          <w:rFonts w:ascii="Arial" w:cs="Arial" w:eastAsia="Arial" w:hAnsi="Arial"/>
          <w:sz w:val="13"/>
          <w:szCs w:val="13"/>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returns for each of our federal tax years since 2011 remain subject to examination by the Internal Revenue Service.</w:t>
      </w:r>
    </w:p>
    <w:p>
      <w:pPr>
        <w:spacing w:after="0" w:line="133" w:lineRule="exact"/>
        <w:rPr>
          <w:sz w:val="20"/>
          <w:szCs w:val="20"/>
          <w:color w:val="auto"/>
        </w:rPr>
      </w:pPr>
    </w:p>
    <w:p>
      <w:pPr>
        <w:ind w:right="200" w:firstLine="786"/>
        <w:spacing w:after="0" w:line="25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(d) Distributions and Capital Transactions</w:t>
      </w:r>
    </w:p>
    <w:p>
      <w:pPr>
        <w:spacing w:after="0" w:line="80" w:lineRule="exact"/>
        <w:rPr>
          <w:sz w:val="20"/>
          <w:szCs w:val="20"/>
          <w:color w:val="auto"/>
        </w:rPr>
      </w:pPr>
    </w:p>
    <w:p>
      <w:pPr>
        <w:jc w:val="both"/>
        <w:ind w:right="260" w:firstLine="786"/>
        <w:spacing w:after="0" w:line="256" w:lineRule="auto"/>
        <w:rPr>
          <w:sz w:val="20"/>
          <w:szCs w:val="20"/>
          <w:color w:val="auto"/>
        </w:rPr>
      </w:pPr>
      <w:r>
        <w:rPr>
          <w:rFonts w:ascii="Arial" w:cs="Arial" w:eastAsia="Arial" w:hAnsi="Arial"/>
          <w:sz w:val="13"/>
          <w:szCs w:val="13"/>
          <w:color w:val="auto"/>
        </w:rPr>
        <w:t>Distributions to common stockholders are recorded on the ex-dividend date. The amount to be paid, if any, as a distribution is ratified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qualified dividends and/or a return of capital.</w:t>
      </w:r>
    </w:p>
    <w:p>
      <w:pPr>
        <w:spacing w:after="0" w:line="129" w:lineRule="exact"/>
        <w:rPr>
          <w:sz w:val="20"/>
          <w:szCs w:val="20"/>
          <w:color w:val="auto"/>
        </w:rPr>
      </w:pPr>
    </w:p>
    <w:p>
      <w:pPr>
        <w:jc w:val="both"/>
        <w:ind w:right="260" w:firstLine="786"/>
        <w:spacing w:after="0" w:line="274" w:lineRule="auto"/>
        <w:rPr>
          <w:sz w:val="20"/>
          <w:szCs w:val="20"/>
          <w:color w:val="auto"/>
        </w:rPr>
      </w:pPr>
      <w:r>
        <w:rPr>
          <w:rFonts w:ascii="Arial" w:cs="Arial" w:eastAsia="Arial" w:hAnsi="Arial"/>
          <w:sz w:val="13"/>
          <w:szCs w:val="13"/>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99"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(e) Consolidation</w:t>
      </w:r>
    </w:p>
    <w:p>
      <w:pPr>
        <w:spacing w:after="0" w:line="80" w:lineRule="exact"/>
        <w:rPr>
          <w:sz w:val="20"/>
          <w:szCs w:val="20"/>
          <w:color w:val="auto"/>
        </w:rPr>
      </w:pPr>
    </w:p>
    <w:p>
      <w:pPr>
        <w:ind w:right="340" w:firstLine="786"/>
        <w:spacing w:after="0" w:line="256" w:lineRule="auto"/>
        <w:rPr>
          <w:sz w:val="20"/>
          <w:szCs w:val="20"/>
          <w:color w:val="auto"/>
        </w:rPr>
      </w:pPr>
      <w:r>
        <w:rPr>
          <w:rFonts w:ascii="Arial" w:cs="Arial" w:eastAsia="Arial" w:hAnsi="Arial"/>
          <w:sz w:val="13"/>
          <w:szCs w:val="13"/>
          <w:color w:val="auto"/>
        </w:rPr>
        <w:t>As permitted under Regulation S-X and as explained by ASC 946-810-45,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12</w:t>
      </w:r>
    </w:p>
    <w:p>
      <w:pPr>
        <w:sectPr>
          <w:pgSz w:w="11900" w:h="16838" w:orient="portrait"/>
          <w:cols w:equalWidth="0" w:num="1">
            <w:col w:w="11240"/>
          </w:cols>
          <w:pgMar w:left="320" w:top="459"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spacing w:after="0"/>
        <w:rPr>
          <w:sz w:val="20"/>
          <w:szCs w:val="20"/>
          <w:color w:val="auto"/>
        </w:rPr>
      </w:pPr>
      <w:r>
        <w:rPr>
          <w:rFonts w:ascii="Arial" w:cs="Arial" w:eastAsia="Arial" w:hAnsi="Arial"/>
          <w:sz w:val="13"/>
          <w:szCs w:val="13"/>
          <w:b w:val="1"/>
          <w:bCs w:val="1"/>
          <w:color w:val="auto"/>
        </w:rPr>
        <w:t>MARCH 31, 2014</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3"/>
          <w:szCs w:val="13"/>
          <w:b w:val="1"/>
          <w:bCs w:val="1"/>
          <w:i w:val="1"/>
          <w:iCs w:val="1"/>
          <w:color w:val="auto"/>
        </w:rPr>
        <w:t>(f) Asset Transfers and Servicing</w:t>
      </w:r>
    </w:p>
    <w:p>
      <w:pPr>
        <w:spacing w:after="0" w:line="80" w:lineRule="exact"/>
        <w:rPr>
          <w:sz w:val="20"/>
          <w:szCs w:val="20"/>
          <w:color w:val="auto"/>
        </w:rPr>
      </w:pPr>
    </w:p>
    <w:p>
      <w:pPr>
        <w:ind w:right="140" w:firstLine="786"/>
        <w:spacing w:after="0" w:line="256" w:lineRule="auto"/>
        <w:rPr>
          <w:sz w:val="20"/>
          <w:szCs w:val="20"/>
          <w:color w:val="auto"/>
        </w:rPr>
      </w:pPr>
      <w:r>
        <w:rPr>
          <w:rFonts w:ascii="Arial" w:cs="Arial" w:eastAsia="Arial" w:hAnsi="Arial"/>
          <w:sz w:val="13"/>
          <w:szCs w:val="13"/>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of Funding I’s assets and such assets are not intended to be available to the creditors of PennantPark Floating Rate Capital Ltd. or any affiliate of the Company.</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3. AGREEMENTS</w:t>
      </w:r>
    </w:p>
    <w:p>
      <w:pPr>
        <w:spacing w:after="0" w:line="82"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The Investment Management Agreement with the Investment Adviser was reapproved by our board of directors, including a majority of our directors who are not interested persons of us or the Investment Adviser, in February 2014. Under the Investment Management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any management fee owed with respect to such services is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35" w:lineRule="exact"/>
        <w:rPr>
          <w:sz w:val="20"/>
          <w:szCs w:val="20"/>
          <w:color w:val="auto"/>
        </w:rPr>
      </w:pPr>
    </w:p>
    <w:p>
      <w:pPr>
        <w:ind w:firstLine="786"/>
        <w:spacing w:after="0" w:line="268" w:lineRule="auto"/>
        <w:rPr>
          <w:sz w:val="20"/>
          <w:szCs w:val="20"/>
          <w:color w:val="auto"/>
        </w:rPr>
      </w:pPr>
      <w:r>
        <w:rPr>
          <w:rFonts w:ascii="Arial" w:cs="Arial" w:eastAsia="Arial" w:hAnsi="Arial"/>
          <w:sz w:val="12"/>
          <w:szCs w:val="12"/>
          <w:color w:val="auto"/>
        </w:rPr>
        <w:t>The base management fee is calculated at an annual rate of 1.00% of our “average adjusted gross assets,” which equals our gross assets (net of U.S. Treasury Bills, temporary draws under any credit facility, repurchase agreements or other balance sheet transactions undertaken at the end of a fiscal quarter for purposes of preserving investment flexibility for the next quarter and adjusted to exclude cash, cash equivalents and unfunded delayed draw loans,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the three and six months ended March 31, 2014, the Investment Adviser earned base management fees of $1.0 million and $1.8 million, respectively, from us. For the three and six months ended March 31, 2013, the Investment Adviser earned base management fees of $0.5 million and $0.9 million, respectively, from us.</w:t>
      </w:r>
    </w:p>
    <w:p>
      <w:pPr>
        <w:spacing w:after="0" w:line="12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incentive fee has two parts, as follows:</w:t>
      </w:r>
    </w:p>
    <w:p>
      <w:pPr>
        <w:spacing w:after="0" w:line="161" w:lineRule="exact"/>
        <w:rPr>
          <w:sz w:val="20"/>
          <w:szCs w:val="20"/>
          <w:color w:val="auto"/>
        </w:rPr>
      </w:pPr>
    </w:p>
    <w:p>
      <w:pPr>
        <w:ind w:right="20" w:firstLine="786"/>
        <w:spacing w:after="0" w:line="241" w:lineRule="auto"/>
        <w:rPr>
          <w:sz w:val="20"/>
          <w:szCs w:val="20"/>
          <w:color w:val="auto"/>
        </w:rPr>
      </w:pPr>
      <w:r>
        <w:rPr>
          <w:rFonts w:ascii="Arial" w:cs="Arial" w:eastAsia="Arial" w:hAnsi="Arial"/>
          <w:sz w:val="13"/>
          <w:szCs w:val="13"/>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adjusted for any share issuances or repurchases during the relevant quarter. For the three and six months ended March 31, 2014, the Investment Adviser earned an incentive fee on net investment income as calculated under the Investment Management Agreement of $0.7 million and $0.8 million, respectively, from us. For the three and six months ended March 31, 2013, the Investment Adviser earned an incentive fee on net investment income as calculated under the Investment Management Agreement of $0.3 million and $0.7 million, respectively, from us.</w:t>
      </w:r>
    </w:p>
    <w:p>
      <w:pPr>
        <w:spacing w:after="0" w:line="139" w:lineRule="exact"/>
        <w:rPr>
          <w:sz w:val="20"/>
          <w:szCs w:val="20"/>
          <w:color w:val="auto"/>
        </w:rPr>
      </w:pPr>
    </w:p>
    <w:p>
      <w:pPr>
        <w:ind w:right="20" w:firstLine="786"/>
        <w:spacing w:after="0" w:line="273"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from our inception. For the three and six months ended March 31, 2014, the Investment Adviser earned an incentive fee on capital gains of $0.3 million and $0.7 million, respectively, as calculated under the Investment Management Agreement. For the three and six months ended March 31, 2013, the Investment Adviser did not earn an incentive fee on capital gains as calculated under the Investment Management Agreement (as described above).</w:t>
      </w:r>
    </w:p>
    <w:p>
      <w:pPr>
        <w:spacing w:after="0" w:line="120" w:lineRule="exact"/>
        <w:rPr>
          <w:sz w:val="20"/>
          <w:szCs w:val="20"/>
          <w:color w:val="auto"/>
        </w:rPr>
      </w:pPr>
    </w:p>
    <w:p>
      <w:pPr>
        <w:ind w:right="20" w:firstLine="786"/>
        <w:spacing w:after="0" w:line="266" w:lineRule="auto"/>
        <w:rPr>
          <w:sz w:val="20"/>
          <w:szCs w:val="20"/>
          <w:color w:val="auto"/>
        </w:rPr>
      </w:pPr>
      <w:r>
        <w:rPr>
          <w:rFonts w:ascii="Arial" w:cs="Arial" w:eastAsia="Arial" w:hAnsi="Arial"/>
          <w:sz w:val="12"/>
          <w:szCs w:val="12"/>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six months ended March 31, 2014, the Investment Adviser accrued an incentive fee on unrealized and realized capital gains as calculated under GAAP of $0.4 million and $0.6 million, respectively. For the three and six months ended March 31, 2013, the Investment Adviser accrued an incentive fee on unrealized and realized capital gains as calculated under GAAP of $0.4 million and $0.6 million, respectively.</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13</w:t>
      </w:r>
    </w:p>
    <w:p>
      <w:pPr>
        <w:sectPr>
          <w:pgSz w:w="11900" w:h="16838" w:orient="portrait"/>
          <w:cols w:equalWidth="0" w:num="1">
            <w:col w:w="11240"/>
          </w:cols>
          <w:pgMar w:left="320" w:top="459"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ind w:right="-99"/>
        <w:spacing w:after="0"/>
        <w:rPr>
          <w:sz w:val="20"/>
          <w:szCs w:val="20"/>
          <w:color w:val="auto"/>
        </w:rPr>
      </w:pPr>
      <w:r>
        <w:rPr>
          <w:rFonts w:ascii="Arial" w:cs="Arial" w:eastAsia="Arial" w:hAnsi="Arial"/>
          <w:sz w:val="13"/>
          <w:szCs w:val="13"/>
          <w:b w:val="1"/>
          <w:bCs w:val="1"/>
          <w:color w:val="auto"/>
        </w:rPr>
        <w:t>MARCH 31, 2014</w:t>
      </w:r>
    </w:p>
    <w:p>
      <w:pPr>
        <w:jc w:val="center"/>
        <w:ind w:right="-99"/>
        <w:spacing w:after="0"/>
        <w:rPr>
          <w:sz w:val="20"/>
          <w:szCs w:val="20"/>
          <w:color w:val="auto"/>
        </w:rPr>
      </w:pPr>
      <w:r>
        <w:rPr>
          <w:rFonts w:ascii="Arial" w:cs="Arial" w:eastAsia="Arial" w:hAnsi="Arial"/>
          <w:sz w:val="13"/>
          <w:szCs w:val="13"/>
          <w:b w:val="1"/>
          <w:bCs w:val="1"/>
          <w:color w:val="auto"/>
        </w:rPr>
        <w:t>(Unaudited)</w:t>
      </w:r>
    </w:p>
    <w:p>
      <w:pPr>
        <w:spacing w:after="0" w:line="136" w:lineRule="exact"/>
        <w:rPr>
          <w:sz w:val="20"/>
          <w:szCs w:val="20"/>
          <w:color w:val="auto"/>
        </w:rPr>
      </w:pPr>
    </w:p>
    <w:p>
      <w:pPr>
        <w:ind w:firstLine="786"/>
        <w:spacing w:after="0" w:line="266" w:lineRule="auto"/>
        <w:rPr>
          <w:sz w:val="20"/>
          <w:szCs w:val="20"/>
          <w:color w:val="auto"/>
        </w:rPr>
      </w:pPr>
      <w:r>
        <w:rPr>
          <w:rFonts w:ascii="Arial" w:cs="Arial" w:eastAsia="Arial" w:hAnsi="Arial"/>
          <w:sz w:val="12"/>
          <w:szCs w:val="12"/>
          <w:color w:val="auto"/>
        </w:rPr>
        <w:t>The Administration Agreement with the Administrator was reapproved by our board of directors, including a majority of the directors who are not interested persons of us, in February 2014.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technology systems, insurance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2014, the Investment Adviser was reimbursed approximately $0.3 million and $0.4 million, respectively, from us, including expenses incurred on behalf of the Administrator, for the services described above. For the three and six months ended March 31, 2013, the Investment Adviser was reimbursed approximately $0.1 million and $0.2 million, respectively, from us, including expenses incurred on behalf of the Administrator, for the services described above.</w:t>
      </w:r>
    </w:p>
    <w:p>
      <w:pPr>
        <w:spacing w:after="0" w:line="20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4. INVESTMENTS</w:t>
      </w:r>
    </w:p>
    <w:p>
      <w:pPr>
        <w:spacing w:after="0" w:line="82" w:lineRule="exact"/>
        <w:rPr>
          <w:sz w:val="20"/>
          <w:szCs w:val="20"/>
          <w:color w:val="auto"/>
        </w:rPr>
      </w:pPr>
    </w:p>
    <w:p>
      <w:pPr>
        <w:ind w:right="40" w:firstLine="786"/>
        <w:spacing w:after="0" w:line="256" w:lineRule="auto"/>
        <w:rPr>
          <w:sz w:val="20"/>
          <w:szCs w:val="20"/>
          <w:color w:val="auto"/>
        </w:rPr>
      </w:pPr>
      <w:r>
        <w:rPr>
          <w:rFonts w:ascii="Arial" w:cs="Arial" w:eastAsia="Arial" w:hAnsi="Arial"/>
          <w:sz w:val="13"/>
          <w:szCs w:val="13"/>
          <w:color w:val="auto"/>
        </w:rPr>
        <w:t>Purchases of investments, including PIK, for the three and six months ended March 31, 2014 totaled $50.5 million and $154.5 million, respectively. For the same periods in the prior year, purchases of investments, including PIK, totaled $45.1 million and $84.1 million, respectively. Sales and repayments of investments for the three and six months ended March 31, 2014 totaled $35.7 million and $91.2 million, respectively. For the same periods in the prior year, sales and repayments of investments totaled $43.9 million and $74.2 million, respectively.</w:t>
      </w:r>
    </w:p>
    <w:p>
      <w:pPr>
        <w:spacing w:after="0" w:line="129" w:lineRule="exact"/>
        <w:rPr>
          <w:sz w:val="20"/>
          <w:szCs w:val="20"/>
          <w:color w:val="auto"/>
        </w:rPr>
      </w:pPr>
    </w:p>
    <w:tbl>
      <w:tblPr>
        <w:tblLayout w:type="fixed"/>
        <w:tblInd w:w="46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4820" w:type="dxa"/>
            <w:vAlign w:val="bottom"/>
            <w:gridSpan w:val="2"/>
          </w:tcPr>
          <w:p>
            <w:pPr>
              <w:ind w:left="320"/>
              <w:spacing w:after="0"/>
              <w:rPr>
                <w:sz w:val="20"/>
                <w:szCs w:val="20"/>
                <w:color w:val="auto"/>
              </w:rPr>
            </w:pPr>
            <w:r>
              <w:rPr>
                <w:rFonts w:ascii="Arial" w:cs="Arial" w:eastAsia="Arial" w:hAnsi="Arial"/>
                <w:sz w:val="13"/>
                <w:szCs w:val="13"/>
                <w:color w:val="auto"/>
              </w:rPr>
              <w:t>Investments and cash equivalents consisted of the following:</w:t>
            </w:r>
          </w:p>
        </w:tc>
        <w:tc>
          <w:tcPr>
            <w:tcW w:w="1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484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Investment Classification</w:t>
            </w:r>
          </w:p>
        </w:tc>
        <w:tc>
          <w:tcPr>
            <w:tcW w:w="1240" w:type="dxa"/>
            <w:vAlign w:val="bottom"/>
          </w:tcPr>
          <w:p>
            <w:pPr>
              <w:spacing w:after="0"/>
              <w:rPr>
                <w:sz w:val="24"/>
                <w:szCs w:val="24"/>
                <w:color w:val="auto"/>
              </w:rPr>
            </w:pPr>
          </w:p>
        </w:tc>
        <w:tc>
          <w:tcPr>
            <w:tcW w:w="1900" w:type="dxa"/>
            <w:vAlign w:val="bottom"/>
            <w:gridSpan w:val="3"/>
          </w:tcPr>
          <w:p>
            <w:pPr>
              <w:jc w:val="right"/>
              <w:ind w:right="453"/>
              <w:spacing w:after="0"/>
              <w:rPr>
                <w:sz w:val="20"/>
                <w:szCs w:val="20"/>
                <w:color w:val="auto"/>
              </w:rPr>
            </w:pPr>
            <w:r>
              <w:rPr>
                <w:rFonts w:ascii="Arial" w:cs="Arial" w:eastAsia="Arial" w:hAnsi="Arial"/>
                <w:sz w:val="13"/>
                <w:szCs w:val="13"/>
                <w:b w:val="1"/>
                <w:bCs w:val="1"/>
                <w:color w:val="auto"/>
              </w:rPr>
              <w:t>March 31, 2014</w:t>
            </w:r>
          </w:p>
        </w:tc>
        <w:tc>
          <w:tcPr>
            <w:tcW w:w="360" w:type="dxa"/>
            <w:vAlign w:val="bottom"/>
          </w:tcPr>
          <w:p>
            <w:pPr>
              <w:spacing w:after="0"/>
              <w:rPr>
                <w:sz w:val="24"/>
                <w:szCs w:val="24"/>
                <w:color w:val="auto"/>
              </w:rPr>
            </w:pPr>
          </w:p>
        </w:tc>
        <w:tc>
          <w:tcPr>
            <w:tcW w:w="2000" w:type="dxa"/>
            <w:vAlign w:val="bottom"/>
            <w:gridSpan w:val="4"/>
          </w:tcPr>
          <w:p>
            <w:pPr>
              <w:ind w:left="380"/>
              <w:spacing w:after="0"/>
              <w:rPr>
                <w:sz w:val="20"/>
                <w:szCs w:val="20"/>
                <w:color w:val="auto"/>
              </w:rPr>
            </w:pPr>
            <w:r>
              <w:rPr>
                <w:rFonts w:ascii="Arial" w:cs="Arial" w:eastAsia="Arial" w:hAnsi="Arial"/>
                <w:sz w:val="13"/>
                <w:szCs w:val="13"/>
                <w:b w:val="1"/>
                <w:bCs w:val="1"/>
                <w:color w:val="auto"/>
              </w:rPr>
              <w:t>September 30, 2013</w:t>
            </w:r>
          </w:p>
        </w:tc>
        <w:tc>
          <w:tcPr>
            <w:tcW w:w="0" w:type="dxa"/>
            <w:vAlign w:val="bottom"/>
          </w:tcPr>
          <w:p>
            <w:pPr>
              <w:spacing w:after="0"/>
              <w:rPr>
                <w:sz w:val="1"/>
                <w:szCs w:val="1"/>
                <w:color w:val="auto"/>
              </w:rPr>
            </w:pPr>
          </w:p>
        </w:tc>
      </w:tr>
      <w:tr>
        <w:trPr>
          <w:trHeight w:val="148"/>
        </w:trPr>
        <w:tc>
          <w:tcPr>
            <w:tcW w:w="4840" w:type="dxa"/>
            <w:vAlign w:val="bottom"/>
            <w:gridSpan w:val="3"/>
            <w:vMerge w:val="continue"/>
          </w:tcPr>
          <w:p>
            <w:pPr>
              <w:spacing w:after="0"/>
              <w:rPr>
                <w:sz w:val="12"/>
                <w:szCs w:val="12"/>
                <w:color w:val="auto"/>
              </w:rPr>
            </w:pPr>
          </w:p>
        </w:tc>
        <w:tc>
          <w:tcPr>
            <w:tcW w:w="1240" w:type="dxa"/>
            <w:vAlign w:val="bottom"/>
          </w:tcPr>
          <w:p>
            <w:pPr>
              <w:spacing w:after="0"/>
              <w:rPr>
                <w:sz w:val="12"/>
                <w:szCs w:val="12"/>
                <w:color w:val="auto"/>
              </w:rPr>
            </w:pPr>
          </w:p>
        </w:tc>
        <w:tc>
          <w:tcPr>
            <w:tcW w:w="760" w:type="dxa"/>
            <w:vAlign w:val="bottom"/>
            <w:tcBorders>
              <w:top w:val="single" w:sz="8" w:color="auto"/>
            </w:tcBorders>
          </w:tcPr>
          <w:p>
            <w:pPr>
              <w:jc w:val="right"/>
              <w:ind w:right="193"/>
              <w:spacing w:after="0" w:line="129" w:lineRule="exact"/>
              <w:rPr>
                <w:sz w:val="20"/>
                <w:szCs w:val="20"/>
                <w:color w:val="auto"/>
              </w:rPr>
            </w:pPr>
            <w:r>
              <w:rPr>
                <w:rFonts w:ascii="Arial" w:cs="Arial" w:eastAsia="Arial" w:hAnsi="Arial"/>
                <w:sz w:val="13"/>
                <w:szCs w:val="13"/>
                <w:b w:val="1"/>
                <w:bCs w:val="1"/>
                <w:color w:val="auto"/>
              </w:rPr>
              <w:t>Cost</w:t>
            </w:r>
          </w:p>
        </w:tc>
        <w:tc>
          <w:tcPr>
            <w:tcW w:w="3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3"/>
                <w:szCs w:val="13"/>
                <w:b w:val="1"/>
                <w:bCs w:val="1"/>
                <w:color w:val="auto"/>
              </w:rPr>
              <w:t>Fair Value</w:t>
            </w:r>
          </w:p>
        </w:tc>
        <w:tc>
          <w:tcPr>
            <w:tcW w:w="360" w:type="dxa"/>
            <w:vAlign w:val="bottom"/>
          </w:tcPr>
          <w:p>
            <w:pPr>
              <w:spacing w:after="0"/>
              <w:rPr>
                <w:sz w:val="12"/>
                <w:szCs w:val="12"/>
                <w:color w:val="auto"/>
              </w:rPr>
            </w:pPr>
          </w:p>
        </w:tc>
        <w:tc>
          <w:tcPr>
            <w:tcW w:w="760" w:type="dxa"/>
            <w:vAlign w:val="bottom"/>
            <w:tcBorders>
              <w:top w:val="single" w:sz="8" w:color="auto"/>
            </w:tcBorders>
          </w:tcPr>
          <w:p>
            <w:pPr>
              <w:jc w:val="right"/>
              <w:ind w:right="193"/>
              <w:spacing w:after="0" w:line="129" w:lineRule="exact"/>
              <w:rPr>
                <w:sz w:val="20"/>
                <w:szCs w:val="20"/>
                <w:color w:val="auto"/>
              </w:rPr>
            </w:pPr>
            <w:r>
              <w:rPr>
                <w:rFonts w:ascii="Arial" w:cs="Arial" w:eastAsia="Arial" w:hAnsi="Arial"/>
                <w:sz w:val="13"/>
                <w:szCs w:val="13"/>
                <w:b w:val="1"/>
                <w:bCs w:val="1"/>
                <w:color w:val="auto"/>
              </w:rPr>
              <w:t>Cost</w:t>
            </w:r>
          </w:p>
        </w:tc>
        <w:tc>
          <w:tcPr>
            <w:tcW w:w="3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3"/>
                <w:szCs w:val="13"/>
                <w:b w:val="1"/>
                <w:bCs w:val="1"/>
                <w:color w:val="auto"/>
              </w:rPr>
              <w:t>Fair Value</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340" w:type="dxa"/>
            <w:vAlign w:val="bottom"/>
            <w:tcBorders>
              <w:top w:val="single" w:sz="8" w:color="auto"/>
            </w:tcBorders>
            <w:shd w:val="clear" w:color="auto" w:fill="CCEEFF"/>
          </w:tcPr>
          <w:p>
            <w:pPr>
              <w:spacing w:after="0" w:line="136" w:lineRule="exact"/>
              <w:rPr>
                <w:sz w:val="20"/>
                <w:szCs w:val="20"/>
                <w:color w:val="auto"/>
              </w:rPr>
            </w:pPr>
            <w:r>
              <w:rPr>
                <w:rFonts w:ascii="Arial" w:cs="Arial" w:eastAsia="Arial" w:hAnsi="Arial"/>
                <w:sz w:val="13"/>
                <w:szCs w:val="13"/>
                <w:color w:val="auto"/>
              </w:rPr>
              <w:t>First lien</w:t>
            </w:r>
          </w:p>
        </w:tc>
        <w:tc>
          <w:tcPr>
            <w:tcW w:w="3480" w:type="dxa"/>
            <w:vAlign w:val="bottom"/>
            <w:tcBorders>
              <w:top w:val="single" w:sz="8" w:color="CCEEFF"/>
            </w:tcBorders>
            <w:shd w:val="clear" w:color="auto" w:fill="CCEEFF"/>
          </w:tcPr>
          <w:p>
            <w:pPr>
              <w:spacing w:after="0"/>
              <w:rPr>
                <w:sz w:val="11"/>
                <w:szCs w:val="11"/>
                <w:color w:val="auto"/>
              </w:rPr>
            </w:pPr>
          </w:p>
        </w:tc>
        <w:tc>
          <w:tcPr>
            <w:tcW w:w="124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8"/>
              </w:rPr>
              <w:t>$ 340,116,611</w:t>
            </w:r>
          </w:p>
        </w:tc>
        <w:tc>
          <w:tcPr>
            <w:tcW w:w="3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8"/>
              </w:rPr>
              <w:t>$ 342,243,375</w:t>
            </w:r>
          </w:p>
        </w:tc>
        <w:tc>
          <w:tcPr>
            <w:tcW w:w="360" w:type="dxa"/>
            <w:vAlign w:val="bottom"/>
            <w:tcBorders>
              <w:top w:val="single" w:sz="8" w:color="CCEEFF"/>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8"/>
              </w:rPr>
              <w:t>$ 281,260,179</w:t>
            </w:r>
          </w:p>
        </w:tc>
        <w:tc>
          <w:tcPr>
            <w:tcW w:w="38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88"/>
              </w:rPr>
              <w:t>$ 281,046,248</w:t>
            </w:r>
          </w:p>
        </w:tc>
        <w:tc>
          <w:tcPr>
            <w:tcW w:w="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tcPr>
          <w:p>
            <w:pPr>
              <w:spacing w:after="0"/>
              <w:rPr>
                <w:sz w:val="20"/>
                <w:szCs w:val="20"/>
                <w:color w:val="auto"/>
              </w:rPr>
            </w:pPr>
            <w:r>
              <w:rPr>
                <w:rFonts w:ascii="Arial" w:cs="Arial" w:eastAsia="Arial" w:hAnsi="Arial"/>
                <w:sz w:val="13"/>
                <w:szCs w:val="13"/>
                <w:color w:val="auto"/>
              </w:rPr>
              <w:t>Second lien</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31,971,700</w:t>
            </w: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32,575,086</w:t>
            </w:r>
          </w:p>
        </w:tc>
        <w:tc>
          <w:tcPr>
            <w:tcW w:w="1120" w:type="dxa"/>
            <w:vAlign w:val="bottom"/>
            <w:gridSpan w:val="2"/>
          </w:tcPr>
          <w:p>
            <w:pPr>
              <w:jc w:val="right"/>
              <w:spacing w:after="0"/>
              <w:rPr>
                <w:sz w:val="20"/>
                <w:szCs w:val="20"/>
                <w:color w:val="auto"/>
              </w:rPr>
            </w:pPr>
            <w:r>
              <w:rPr>
                <w:rFonts w:ascii="Arial" w:cs="Arial" w:eastAsia="Arial" w:hAnsi="Arial"/>
                <w:sz w:val="13"/>
                <w:szCs w:val="13"/>
                <w:color w:val="auto"/>
              </w:rPr>
              <w:t>27,351,492</w:t>
            </w:r>
          </w:p>
        </w:tc>
        <w:tc>
          <w:tcPr>
            <w:tcW w:w="1160" w:type="dxa"/>
            <w:vAlign w:val="bottom"/>
            <w:gridSpan w:val="2"/>
          </w:tcPr>
          <w:p>
            <w:pPr>
              <w:jc w:val="right"/>
              <w:spacing w:after="0"/>
              <w:rPr>
                <w:sz w:val="20"/>
                <w:szCs w:val="20"/>
                <w:color w:val="auto"/>
              </w:rPr>
            </w:pPr>
            <w:r>
              <w:rPr>
                <w:rFonts w:ascii="Arial" w:cs="Arial" w:eastAsia="Arial" w:hAnsi="Arial"/>
                <w:sz w:val="13"/>
                <w:szCs w:val="13"/>
                <w:color w:val="auto"/>
              </w:rPr>
              <w:t>27,499,315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Subordinated debt / corporate notes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12,294,481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12,739,529</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10,409,846</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9,003,170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20" w:type="dxa"/>
            <w:vAlign w:val="bottom"/>
            <w:gridSpan w:val="2"/>
          </w:tcPr>
          <w:p>
            <w:pPr>
              <w:spacing w:after="0"/>
              <w:rPr>
                <w:sz w:val="20"/>
                <w:szCs w:val="20"/>
                <w:color w:val="auto"/>
              </w:rPr>
            </w:pPr>
            <w:r>
              <w:rPr>
                <w:rFonts w:ascii="Arial" w:cs="Arial" w:eastAsia="Arial" w:hAnsi="Arial"/>
                <w:sz w:val="13"/>
                <w:szCs w:val="13"/>
                <w:color w:val="auto"/>
              </w:rPr>
              <w:t>Preferred equity / common equity / warrants</w:t>
            </w:r>
          </w:p>
        </w:tc>
        <w:tc>
          <w:tcPr>
            <w:tcW w:w="124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1,040,434</w:t>
            </w:r>
          </w:p>
        </w:tc>
        <w:tc>
          <w:tcPr>
            <w:tcW w:w="36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1,650,443</w:t>
            </w:r>
          </w:p>
        </w:tc>
        <w:tc>
          <w:tcPr>
            <w:tcW w:w="360" w:type="dxa"/>
            <w:vAlign w:val="bottom"/>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261,951</w:t>
            </w:r>
          </w:p>
        </w:tc>
        <w:tc>
          <w:tcPr>
            <w:tcW w:w="380" w:type="dxa"/>
            <w:vAlign w:val="bottom"/>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255,161</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investments</w:t>
            </w:r>
          </w:p>
        </w:tc>
        <w:tc>
          <w:tcPr>
            <w:tcW w:w="124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385,423,226</w:t>
            </w:r>
          </w:p>
        </w:tc>
        <w:tc>
          <w:tcPr>
            <w:tcW w:w="36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389,208,433</w:t>
            </w:r>
          </w:p>
        </w:tc>
        <w:tc>
          <w:tcPr>
            <w:tcW w:w="360" w:type="dxa"/>
            <w:vAlign w:val="bottom"/>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319,283,468</w:t>
            </w:r>
          </w:p>
        </w:tc>
        <w:tc>
          <w:tcPr>
            <w:tcW w:w="380" w:type="dxa"/>
            <w:vAlign w:val="bottom"/>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317,803,894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4840" w:type="dxa"/>
            <w:vAlign w:val="bottom"/>
            <w:gridSpan w:val="3"/>
          </w:tcPr>
          <w:p>
            <w:pPr>
              <w:spacing w:after="0"/>
              <w:rPr>
                <w:sz w:val="20"/>
                <w:szCs w:val="20"/>
                <w:color w:val="auto"/>
              </w:rPr>
            </w:pPr>
            <w:r>
              <w:rPr>
                <w:rFonts w:ascii="Arial" w:cs="Arial" w:eastAsia="Arial" w:hAnsi="Arial"/>
                <w:sz w:val="13"/>
                <w:szCs w:val="13"/>
                <w:color w:val="auto"/>
              </w:rPr>
              <w:t>Cash equivalents</w:t>
            </w:r>
          </w:p>
        </w:tc>
        <w:tc>
          <w:tcPr>
            <w:tcW w:w="124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5,080,140</w:t>
            </w:r>
          </w:p>
        </w:tc>
        <w:tc>
          <w:tcPr>
            <w:tcW w:w="36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5,080,140</w:t>
            </w:r>
          </w:p>
        </w:tc>
        <w:tc>
          <w:tcPr>
            <w:tcW w:w="360" w:type="dxa"/>
            <w:vAlign w:val="bottom"/>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38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 investments and cash equivalents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3"/>
                <w:szCs w:val="13"/>
                <w:u w:val="single" w:color="auto"/>
                <w:color w:val="auto"/>
              </w:rPr>
              <w:t>$</w:t>
            </w:r>
            <w:r>
              <w:rPr>
                <w:rFonts w:ascii="Arial" w:cs="Arial" w:eastAsia="Arial" w:hAnsi="Arial"/>
                <w:sz w:val="13"/>
                <w:szCs w:val="13"/>
                <w:color w:val="auto"/>
              </w:rPr>
              <w:t>390,503,366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$ 394,288,573</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$ 323,861,717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$ 322,382,143</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800"/>
        <w:spacing w:after="0"/>
        <w:rPr>
          <w:sz w:val="20"/>
          <w:szCs w:val="20"/>
          <w:color w:val="auto"/>
        </w:rPr>
      </w:pPr>
      <w:r>
        <w:rPr>
          <w:rFonts w:ascii="Arial" w:cs="Arial" w:eastAsia="Arial" w:hAnsi="Arial"/>
          <w:sz w:val="12"/>
          <w:szCs w:val="12"/>
          <w:color w:val="auto"/>
        </w:rPr>
        <w:t>The table below describes investments by industry classification and enumerates the percentage, by fair value, of the total portfolio assets (excluding cash equivalents) in such industries as of:</w:t>
      </w:r>
    </w:p>
    <w:p>
      <w:pPr>
        <w:spacing w:after="0" w:line="211"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3300" w:type="dxa"/>
            <w:vAlign w:val="bottom"/>
            <w:gridSpan w:val="2"/>
          </w:tcPr>
          <w:p>
            <w:pPr>
              <w:spacing w:after="0"/>
              <w:rPr>
                <w:sz w:val="20"/>
                <w:szCs w:val="20"/>
                <w:color w:val="auto"/>
              </w:rPr>
            </w:pPr>
            <w:r>
              <w:rPr>
                <w:rFonts w:ascii="Arial" w:cs="Arial" w:eastAsia="Arial" w:hAnsi="Arial"/>
                <w:sz w:val="13"/>
                <w:szCs w:val="13"/>
                <w:b w:val="1"/>
                <w:bCs w:val="1"/>
                <w:color w:val="auto"/>
              </w:rPr>
              <w:t>Industry Classification</w:t>
            </w:r>
          </w:p>
        </w:tc>
        <w:tc>
          <w:tcPr>
            <w:tcW w:w="24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b w:val="1"/>
                <w:bCs w:val="1"/>
                <w:color w:val="auto"/>
                <w:w w:val="95"/>
              </w:rPr>
              <w:t>March 31, 2014</w:t>
            </w:r>
          </w:p>
        </w:tc>
        <w:tc>
          <w:tcPr>
            <w:tcW w:w="8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3"/>
                <w:szCs w:val="13"/>
                <w:b w:val="1"/>
                <w:bCs w:val="1"/>
                <w:color w:val="auto"/>
                <w:w w:val="90"/>
              </w:rPr>
              <w:t>September 30, 2013</w:t>
            </w:r>
          </w:p>
        </w:tc>
        <w:tc>
          <w:tcPr>
            <w:tcW w:w="0" w:type="dxa"/>
            <w:vAlign w:val="bottom"/>
          </w:tcPr>
          <w:p>
            <w:pPr>
              <w:spacing w:after="0"/>
              <w:rPr>
                <w:sz w:val="1"/>
                <w:szCs w:val="1"/>
                <w:color w:val="auto"/>
              </w:rPr>
            </w:pPr>
          </w:p>
        </w:tc>
      </w:tr>
      <w:tr>
        <w:trPr>
          <w:trHeight w:val="20"/>
        </w:trPr>
        <w:tc>
          <w:tcPr>
            <w:tcW w:w="1220" w:type="dxa"/>
            <w:vAlign w:val="bottom"/>
            <w:tcBorders>
              <w:bottom w:val="single" w:sz="8" w:color="CCEEFF"/>
            </w:tcBorders>
            <w:shd w:val="clear" w:color="auto" w:fill="000000"/>
          </w:tcPr>
          <w:p>
            <w:pPr>
              <w:spacing w:after="0" w:line="20" w:lineRule="exact"/>
              <w:rPr>
                <w:sz w:val="1"/>
                <w:szCs w:val="1"/>
                <w:color w:val="auto"/>
              </w:rPr>
            </w:pPr>
          </w:p>
        </w:tc>
        <w:tc>
          <w:tcPr>
            <w:tcW w:w="20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330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Healthcare and Pharmaceuticals</w:t>
            </w:r>
          </w:p>
        </w:tc>
        <w:tc>
          <w:tcPr>
            <w:tcW w:w="2400" w:type="dxa"/>
            <w:vAlign w:val="bottom"/>
            <w:shd w:val="clear" w:color="auto" w:fill="CCEEFF"/>
          </w:tcPr>
          <w:p>
            <w:pPr>
              <w:spacing w:after="0"/>
              <w:rPr>
                <w:sz w:val="11"/>
                <w:szCs w:val="11"/>
                <w:color w:val="auto"/>
              </w:rPr>
            </w:pPr>
          </w:p>
        </w:tc>
        <w:tc>
          <w:tcPr>
            <w:tcW w:w="900" w:type="dxa"/>
            <w:vAlign w:val="bottom"/>
            <w:shd w:val="clear" w:color="auto" w:fill="CCEEFF"/>
          </w:tcPr>
          <w:p>
            <w:pPr>
              <w:jc w:val="right"/>
              <w:ind w:right="173"/>
              <w:spacing w:after="0" w:line="136" w:lineRule="exact"/>
              <w:rPr>
                <w:sz w:val="20"/>
                <w:szCs w:val="20"/>
                <w:color w:val="auto"/>
              </w:rPr>
            </w:pPr>
            <w:r>
              <w:rPr>
                <w:rFonts w:ascii="Arial" w:cs="Arial" w:eastAsia="Arial" w:hAnsi="Arial"/>
                <w:sz w:val="13"/>
                <w:szCs w:val="13"/>
                <w:color w:val="auto"/>
              </w:rPr>
              <w:t>14%</w:t>
            </w:r>
          </w:p>
        </w:tc>
        <w:tc>
          <w:tcPr>
            <w:tcW w:w="80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273"/>
              <w:spacing w:after="0" w:line="136" w:lineRule="exact"/>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High Tech Industries</w:t>
            </w:r>
          </w:p>
        </w:tc>
        <w:tc>
          <w:tcPr>
            <w:tcW w:w="3300" w:type="dxa"/>
            <w:vAlign w:val="bottom"/>
            <w:gridSpan w:val="2"/>
          </w:tcPr>
          <w:p>
            <w:pPr>
              <w:jc w:val="right"/>
              <w:ind w:right="293"/>
              <w:spacing w:after="0"/>
              <w:rPr>
                <w:sz w:val="20"/>
                <w:szCs w:val="20"/>
                <w:color w:val="auto"/>
              </w:rPr>
            </w:pPr>
            <w:r>
              <w:rPr>
                <w:rFonts w:ascii="Arial" w:cs="Arial" w:eastAsia="Arial" w:hAnsi="Arial"/>
                <w:sz w:val="13"/>
                <w:szCs w:val="13"/>
                <w:color w:val="auto"/>
              </w:rPr>
              <w:t>13</w:t>
            </w:r>
          </w:p>
        </w:tc>
        <w:tc>
          <w:tcPr>
            <w:tcW w:w="1920" w:type="dxa"/>
            <w:vAlign w:val="bottom"/>
            <w:gridSpan w:val="2"/>
          </w:tcPr>
          <w:p>
            <w:pPr>
              <w:jc w:val="right"/>
              <w:ind w:right="393"/>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Hotel, Gaming and Leisure</w:t>
            </w:r>
          </w:p>
        </w:tc>
        <w:tc>
          <w:tcPr>
            <w:tcW w:w="330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12</w:t>
            </w:r>
          </w:p>
        </w:tc>
        <w:tc>
          <w:tcPr>
            <w:tcW w:w="1920" w:type="dxa"/>
            <w:vAlign w:val="bottom"/>
            <w:gridSpan w:val="2"/>
            <w:shd w:val="clear" w:color="auto" w:fill="CCEEFF"/>
          </w:tcPr>
          <w:p>
            <w:pPr>
              <w:jc w:val="right"/>
              <w:ind w:right="353"/>
              <w:spacing w:after="0"/>
              <w:rPr>
                <w:sz w:val="20"/>
                <w:szCs w:val="20"/>
                <w:color w:val="auto"/>
              </w:rPr>
            </w:pPr>
            <w:r>
              <w:rPr>
                <w:rFonts w:ascii="Arial" w:cs="Arial" w:eastAsia="Arial" w:hAnsi="Arial"/>
                <w:sz w:val="13"/>
                <w:szCs w:val="13"/>
                <w:color w:val="auto"/>
              </w:rPr>
              <w:t>13</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Consumer Services</w:t>
            </w:r>
          </w:p>
        </w:tc>
        <w:tc>
          <w:tcPr>
            <w:tcW w:w="3300" w:type="dxa"/>
            <w:vAlign w:val="bottom"/>
            <w:gridSpan w:val="2"/>
          </w:tcPr>
          <w:p>
            <w:pPr>
              <w:jc w:val="right"/>
              <w:ind w:right="293"/>
              <w:spacing w:after="0"/>
              <w:rPr>
                <w:sz w:val="20"/>
                <w:szCs w:val="20"/>
                <w:color w:val="auto"/>
              </w:rPr>
            </w:pPr>
            <w:r>
              <w:rPr>
                <w:rFonts w:ascii="Arial" w:cs="Arial" w:eastAsia="Arial" w:hAnsi="Arial"/>
                <w:sz w:val="13"/>
                <w:szCs w:val="13"/>
                <w:color w:val="auto"/>
              </w:rPr>
              <w:t>8</w:t>
            </w:r>
          </w:p>
        </w:tc>
        <w:tc>
          <w:tcPr>
            <w:tcW w:w="1920" w:type="dxa"/>
            <w:vAlign w:val="bottom"/>
            <w:gridSpan w:val="2"/>
          </w:tcPr>
          <w:p>
            <w:pPr>
              <w:jc w:val="right"/>
              <w:ind w:right="393"/>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Business Services</w:t>
            </w:r>
          </w:p>
        </w:tc>
        <w:tc>
          <w:tcPr>
            <w:tcW w:w="330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7</w:t>
            </w:r>
          </w:p>
        </w:tc>
        <w:tc>
          <w:tcPr>
            <w:tcW w:w="19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rPr>
                <w:sz w:val="20"/>
                <w:szCs w:val="20"/>
                <w:color w:val="auto"/>
              </w:rPr>
            </w:pPr>
            <w:r>
              <w:rPr>
                <w:rFonts w:ascii="Arial" w:cs="Arial" w:eastAsia="Arial" w:hAnsi="Arial"/>
                <w:sz w:val="13"/>
                <w:szCs w:val="13"/>
                <w:color w:val="auto"/>
              </w:rPr>
              <w:t>Media: Advertising, Printing and Publishing</w:t>
            </w:r>
          </w:p>
        </w:tc>
        <w:tc>
          <w:tcPr>
            <w:tcW w:w="3300" w:type="dxa"/>
            <w:vAlign w:val="bottom"/>
            <w:gridSpan w:val="2"/>
          </w:tcPr>
          <w:p>
            <w:pPr>
              <w:jc w:val="right"/>
              <w:ind w:right="293"/>
              <w:spacing w:after="0"/>
              <w:rPr>
                <w:sz w:val="20"/>
                <w:szCs w:val="20"/>
                <w:color w:val="auto"/>
              </w:rPr>
            </w:pPr>
            <w:r>
              <w:rPr>
                <w:rFonts w:ascii="Arial" w:cs="Arial" w:eastAsia="Arial" w:hAnsi="Arial"/>
                <w:sz w:val="13"/>
                <w:szCs w:val="13"/>
                <w:color w:val="auto"/>
              </w:rPr>
              <w:t>7</w:t>
            </w:r>
          </w:p>
        </w:tc>
        <w:tc>
          <w:tcPr>
            <w:tcW w:w="1920" w:type="dxa"/>
            <w:vAlign w:val="bottom"/>
            <w:gridSpan w:val="2"/>
          </w:tcPr>
          <w:p>
            <w:pPr>
              <w:jc w:val="right"/>
              <w:ind w:right="393"/>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Retail</w:t>
            </w:r>
          </w:p>
        </w:tc>
        <w:tc>
          <w:tcPr>
            <w:tcW w:w="330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6</w:t>
            </w:r>
          </w:p>
        </w:tc>
        <w:tc>
          <w:tcPr>
            <w:tcW w:w="19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Banking, Finance, Insurance and Real Estate</w:t>
            </w:r>
          </w:p>
        </w:tc>
        <w:tc>
          <w:tcPr>
            <w:tcW w:w="3300" w:type="dxa"/>
            <w:vAlign w:val="bottom"/>
            <w:gridSpan w:val="2"/>
          </w:tcPr>
          <w:p>
            <w:pPr>
              <w:jc w:val="right"/>
              <w:ind w:right="293"/>
              <w:spacing w:after="0"/>
              <w:rPr>
                <w:sz w:val="20"/>
                <w:szCs w:val="20"/>
                <w:color w:val="auto"/>
              </w:rPr>
            </w:pPr>
            <w:r>
              <w:rPr>
                <w:rFonts w:ascii="Arial" w:cs="Arial" w:eastAsia="Arial" w:hAnsi="Arial"/>
                <w:sz w:val="13"/>
                <w:szCs w:val="13"/>
                <w:color w:val="auto"/>
              </w:rPr>
              <w:t>5</w:t>
            </w:r>
          </w:p>
        </w:tc>
        <w:tc>
          <w:tcPr>
            <w:tcW w:w="1920" w:type="dxa"/>
            <w:vAlign w:val="bottom"/>
            <w:gridSpan w:val="2"/>
          </w:tcPr>
          <w:p>
            <w:pPr>
              <w:jc w:val="right"/>
              <w:ind w:right="39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Goods: Non-Durable</w:t>
            </w:r>
          </w:p>
        </w:tc>
        <w:tc>
          <w:tcPr>
            <w:tcW w:w="330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5</w:t>
            </w:r>
          </w:p>
        </w:tc>
        <w:tc>
          <w:tcPr>
            <w:tcW w:w="19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Chemicals, Plastics and Rubber</w:t>
            </w:r>
          </w:p>
        </w:tc>
        <w:tc>
          <w:tcPr>
            <w:tcW w:w="3300" w:type="dxa"/>
            <w:vAlign w:val="bottom"/>
            <w:gridSpan w:val="2"/>
          </w:tcPr>
          <w:p>
            <w:pPr>
              <w:jc w:val="right"/>
              <w:ind w:right="293"/>
              <w:spacing w:after="0"/>
              <w:rPr>
                <w:sz w:val="20"/>
                <w:szCs w:val="20"/>
                <w:color w:val="auto"/>
              </w:rPr>
            </w:pPr>
            <w:r>
              <w:rPr>
                <w:rFonts w:ascii="Arial" w:cs="Arial" w:eastAsia="Arial" w:hAnsi="Arial"/>
                <w:sz w:val="13"/>
                <w:szCs w:val="13"/>
                <w:color w:val="auto"/>
              </w:rPr>
              <w:t>4</w:t>
            </w:r>
          </w:p>
        </w:tc>
        <w:tc>
          <w:tcPr>
            <w:tcW w:w="1920" w:type="dxa"/>
            <w:vAlign w:val="bottom"/>
            <w:gridSpan w:val="2"/>
          </w:tcPr>
          <w:p>
            <w:pPr>
              <w:jc w:val="right"/>
              <w:ind w:right="393"/>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Consumer Goods: Durable</w:t>
            </w:r>
          </w:p>
        </w:tc>
        <w:tc>
          <w:tcPr>
            <w:tcW w:w="330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4</w:t>
            </w:r>
          </w:p>
        </w:tc>
        <w:tc>
          <w:tcPr>
            <w:tcW w:w="19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Energy: Oil and Gas</w:t>
            </w:r>
          </w:p>
        </w:tc>
        <w:tc>
          <w:tcPr>
            <w:tcW w:w="3300" w:type="dxa"/>
            <w:vAlign w:val="bottom"/>
            <w:gridSpan w:val="2"/>
          </w:tcPr>
          <w:p>
            <w:pPr>
              <w:jc w:val="right"/>
              <w:ind w:right="293"/>
              <w:spacing w:after="0"/>
              <w:rPr>
                <w:sz w:val="20"/>
                <w:szCs w:val="20"/>
                <w:color w:val="auto"/>
              </w:rPr>
            </w:pPr>
            <w:r>
              <w:rPr>
                <w:rFonts w:ascii="Arial" w:cs="Arial" w:eastAsia="Arial" w:hAnsi="Arial"/>
                <w:sz w:val="13"/>
                <w:szCs w:val="13"/>
                <w:color w:val="auto"/>
              </w:rPr>
              <w:t>4</w:t>
            </w:r>
          </w:p>
        </w:tc>
        <w:tc>
          <w:tcPr>
            <w:tcW w:w="1920" w:type="dxa"/>
            <w:vAlign w:val="bottom"/>
            <w:gridSpan w:val="2"/>
          </w:tcPr>
          <w:p>
            <w:pPr>
              <w:jc w:val="right"/>
              <w:ind w:right="393"/>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Automotive</w:t>
            </w:r>
          </w:p>
        </w:tc>
        <w:tc>
          <w:tcPr>
            <w:tcW w:w="330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2</w:t>
            </w:r>
          </w:p>
        </w:tc>
        <w:tc>
          <w:tcPr>
            <w:tcW w:w="19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9"/>
        </w:trPr>
        <w:tc>
          <w:tcPr>
            <w:tcW w:w="3300" w:type="dxa"/>
            <w:vAlign w:val="bottom"/>
            <w:gridSpan w:val="2"/>
          </w:tcPr>
          <w:p>
            <w:pPr>
              <w:spacing w:after="0"/>
              <w:rPr>
                <w:sz w:val="20"/>
                <w:szCs w:val="20"/>
                <w:color w:val="auto"/>
              </w:rPr>
            </w:pPr>
            <w:r>
              <w:rPr>
                <w:rFonts w:ascii="Arial" w:cs="Arial" w:eastAsia="Arial" w:hAnsi="Arial"/>
                <w:sz w:val="13"/>
                <w:szCs w:val="13"/>
                <w:color w:val="auto"/>
              </w:rPr>
              <w:t>Media: Broadcasting and Subscription</w:t>
            </w:r>
          </w:p>
        </w:tc>
        <w:tc>
          <w:tcPr>
            <w:tcW w:w="3300" w:type="dxa"/>
            <w:vAlign w:val="bottom"/>
            <w:gridSpan w:val="2"/>
          </w:tcPr>
          <w:p>
            <w:pPr>
              <w:jc w:val="right"/>
              <w:ind w:right="293"/>
              <w:spacing w:after="0"/>
              <w:rPr>
                <w:sz w:val="20"/>
                <w:szCs w:val="20"/>
                <w:color w:val="auto"/>
              </w:rPr>
            </w:pPr>
            <w:r>
              <w:rPr>
                <w:rFonts w:ascii="Arial" w:cs="Arial" w:eastAsia="Arial" w:hAnsi="Arial"/>
                <w:sz w:val="13"/>
                <w:szCs w:val="13"/>
                <w:color w:val="auto"/>
              </w:rPr>
              <w:t>2</w:t>
            </w:r>
          </w:p>
        </w:tc>
        <w:tc>
          <w:tcPr>
            <w:tcW w:w="1920" w:type="dxa"/>
            <w:vAlign w:val="bottom"/>
            <w:gridSpan w:val="2"/>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Aerospace and Defense</w:t>
            </w:r>
          </w:p>
        </w:tc>
        <w:tc>
          <w:tcPr>
            <w:tcW w:w="330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w:t>
            </w:r>
          </w:p>
        </w:tc>
        <w:tc>
          <w:tcPr>
            <w:tcW w:w="19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Beverage, Food and Tobacco</w:t>
            </w:r>
          </w:p>
        </w:tc>
        <w:tc>
          <w:tcPr>
            <w:tcW w:w="3300" w:type="dxa"/>
            <w:vAlign w:val="bottom"/>
            <w:gridSpan w:val="2"/>
          </w:tcPr>
          <w:p>
            <w:pPr>
              <w:jc w:val="right"/>
              <w:ind w:right="293"/>
              <w:spacing w:after="0"/>
              <w:rPr>
                <w:sz w:val="20"/>
                <w:szCs w:val="20"/>
                <w:color w:val="auto"/>
              </w:rPr>
            </w:pPr>
            <w:r>
              <w:rPr>
                <w:rFonts w:ascii="Arial" w:cs="Arial" w:eastAsia="Arial" w:hAnsi="Arial"/>
                <w:sz w:val="13"/>
                <w:szCs w:val="13"/>
                <w:color w:val="auto"/>
              </w:rPr>
              <w:t>1</w:t>
            </w:r>
          </w:p>
        </w:tc>
        <w:tc>
          <w:tcPr>
            <w:tcW w:w="1920" w:type="dxa"/>
            <w:vAlign w:val="bottom"/>
            <w:gridSpan w:val="2"/>
          </w:tcPr>
          <w:p>
            <w:pPr>
              <w:jc w:val="right"/>
              <w:ind w:right="39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Containers, Packaging and Glass</w:t>
            </w:r>
          </w:p>
        </w:tc>
        <w:tc>
          <w:tcPr>
            <w:tcW w:w="330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w:t>
            </w:r>
          </w:p>
        </w:tc>
        <w:tc>
          <w:tcPr>
            <w:tcW w:w="19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Media: Diversified and Production</w:t>
            </w:r>
          </w:p>
        </w:tc>
        <w:tc>
          <w:tcPr>
            <w:tcW w:w="3300" w:type="dxa"/>
            <w:vAlign w:val="bottom"/>
            <w:gridSpan w:val="2"/>
          </w:tcPr>
          <w:p>
            <w:pPr>
              <w:jc w:val="right"/>
              <w:ind w:right="293"/>
              <w:spacing w:after="0"/>
              <w:rPr>
                <w:sz w:val="20"/>
                <w:szCs w:val="20"/>
                <w:color w:val="auto"/>
              </w:rPr>
            </w:pPr>
            <w:r>
              <w:rPr>
                <w:rFonts w:ascii="Arial" w:cs="Arial" w:eastAsia="Arial" w:hAnsi="Arial"/>
                <w:sz w:val="13"/>
                <w:szCs w:val="13"/>
                <w:color w:val="auto"/>
              </w:rPr>
              <w:t>1</w:t>
            </w:r>
          </w:p>
        </w:tc>
        <w:tc>
          <w:tcPr>
            <w:tcW w:w="1920" w:type="dxa"/>
            <w:vAlign w:val="bottom"/>
            <w:gridSpan w:val="2"/>
          </w:tcPr>
          <w:p>
            <w:pPr>
              <w:jc w:val="right"/>
              <w:ind w:right="39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Telecommunications</w:t>
            </w:r>
          </w:p>
        </w:tc>
        <w:tc>
          <w:tcPr>
            <w:tcW w:w="3300" w:type="dxa"/>
            <w:vAlign w:val="bottom"/>
            <w:gridSpan w:val="2"/>
            <w:shd w:val="clear" w:color="auto" w:fill="CCEEFF"/>
          </w:tcPr>
          <w:p>
            <w:pPr>
              <w:jc w:val="right"/>
              <w:ind w:right="293"/>
              <w:spacing w:after="0"/>
              <w:rPr>
                <w:sz w:val="20"/>
                <w:szCs w:val="20"/>
                <w:color w:val="auto"/>
              </w:rPr>
            </w:pPr>
            <w:r>
              <w:rPr>
                <w:rFonts w:ascii="Arial" w:cs="Arial" w:eastAsia="Arial" w:hAnsi="Arial"/>
                <w:sz w:val="13"/>
                <w:szCs w:val="13"/>
                <w:color w:val="auto"/>
              </w:rPr>
              <w:t>1</w:t>
            </w:r>
          </w:p>
        </w:tc>
        <w:tc>
          <w:tcPr>
            <w:tcW w:w="19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300" w:type="dxa"/>
            <w:vAlign w:val="bottom"/>
            <w:gridSpan w:val="2"/>
          </w:tcPr>
          <w:p>
            <w:pPr>
              <w:spacing w:after="0"/>
              <w:rPr>
                <w:sz w:val="20"/>
                <w:szCs w:val="20"/>
                <w:color w:val="auto"/>
              </w:rPr>
            </w:pPr>
            <w:r>
              <w:rPr>
                <w:rFonts w:ascii="Arial" w:cs="Arial" w:eastAsia="Arial" w:hAnsi="Arial"/>
                <w:sz w:val="13"/>
                <w:szCs w:val="13"/>
                <w:color w:val="auto"/>
              </w:rPr>
              <w:t>Transportation: Consumer</w:t>
            </w:r>
          </w:p>
        </w:tc>
        <w:tc>
          <w:tcPr>
            <w:tcW w:w="3300" w:type="dxa"/>
            <w:vAlign w:val="bottom"/>
            <w:gridSpan w:val="2"/>
          </w:tcPr>
          <w:p>
            <w:pPr>
              <w:jc w:val="right"/>
              <w:ind w:right="293"/>
              <w:spacing w:after="0"/>
              <w:rPr>
                <w:sz w:val="20"/>
                <w:szCs w:val="20"/>
                <w:color w:val="auto"/>
              </w:rPr>
            </w:pPr>
            <w:r>
              <w:rPr>
                <w:rFonts w:ascii="Arial" w:cs="Arial" w:eastAsia="Arial" w:hAnsi="Arial"/>
                <w:sz w:val="13"/>
                <w:szCs w:val="13"/>
                <w:color w:val="auto"/>
              </w:rPr>
              <w:t>1</w:t>
            </w:r>
          </w:p>
        </w:tc>
        <w:tc>
          <w:tcPr>
            <w:tcW w:w="1920" w:type="dxa"/>
            <w:vAlign w:val="bottom"/>
            <w:gridSpan w:val="2"/>
          </w:tcPr>
          <w:p>
            <w:pPr>
              <w:jc w:val="right"/>
              <w:ind w:right="393"/>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48"/>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Construction and Building</w:t>
            </w:r>
          </w:p>
        </w:tc>
        <w:tc>
          <w:tcPr>
            <w:tcW w:w="240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293"/>
              <w:spacing w:after="0"/>
              <w:rPr>
                <w:sz w:val="20"/>
                <w:szCs w:val="20"/>
                <w:color w:val="auto"/>
              </w:rPr>
            </w:pPr>
            <w:r>
              <w:rPr>
                <w:rFonts w:ascii="Arial" w:cs="Arial" w:eastAsia="Arial" w:hAnsi="Arial"/>
                <w:sz w:val="13"/>
                <w:szCs w:val="13"/>
                <w:color w:val="auto"/>
              </w:rPr>
              <w:t>—</w:t>
            </w:r>
          </w:p>
        </w:tc>
        <w:tc>
          <w:tcPr>
            <w:tcW w:w="1920" w:type="dxa"/>
            <w:vAlign w:val="bottom"/>
            <w:gridSpan w:val="2"/>
            <w:shd w:val="clear" w:color="auto" w:fill="CCEEFF"/>
          </w:tcPr>
          <w:p>
            <w:pPr>
              <w:jc w:val="right"/>
              <w:ind w:right="393"/>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55"/>
        </w:trPr>
        <w:tc>
          <w:tcPr>
            <w:tcW w:w="3300" w:type="dxa"/>
            <w:vAlign w:val="bottom"/>
            <w:gridSpan w:val="2"/>
          </w:tcPr>
          <w:p>
            <w:pPr>
              <w:spacing w:after="0"/>
              <w:rPr>
                <w:sz w:val="20"/>
                <w:szCs w:val="20"/>
                <w:color w:val="auto"/>
              </w:rPr>
            </w:pPr>
            <w:r>
              <w:rPr>
                <w:rFonts w:ascii="Arial" w:cs="Arial" w:eastAsia="Arial" w:hAnsi="Arial"/>
                <w:sz w:val="13"/>
                <w:szCs w:val="13"/>
                <w:color w:val="auto"/>
              </w:rPr>
              <w:t>All Other</w:t>
            </w:r>
          </w:p>
        </w:tc>
        <w:tc>
          <w:tcPr>
            <w:tcW w:w="2400" w:type="dxa"/>
            <w:vAlign w:val="bottom"/>
          </w:tcPr>
          <w:p>
            <w:pPr>
              <w:spacing w:after="0"/>
              <w:rPr>
                <w:sz w:val="13"/>
                <w:szCs w:val="13"/>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3"/>
                <w:szCs w:val="13"/>
                <w:color w:val="auto"/>
              </w:rPr>
              <w:t>1</w:t>
            </w:r>
          </w:p>
        </w:tc>
        <w:tc>
          <w:tcPr>
            <w:tcW w:w="800" w:type="dxa"/>
            <w:vAlign w:val="bottom"/>
          </w:tcPr>
          <w:p>
            <w:pPr>
              <w:spacing w:after="0"/>
              <w:rPr>
                <w:sz w:val="13"/>
                <w:szCs w:val="13"/>
                <w:color w:val="auto"/>
              </w:rPr>
            </w:pPr>
          </w:p>
        </w:tc>
        <w:tc>
          <w:tcPr>
            <w:tcW w:w="1120" w:type="dxa"/>
            <w:vAlign w:val="bottom"/>
            <w:tcBorders>
              <w:bottom w:val="single" w:sz="8" w:color="auto"/>
            </w:tcBorders>
          </w:tcPr>
          <w:p>
            <w:pPr>
              <w:jc w:val="right"/>
              <w:ind w:right="393"/>
              <w:spacing w:after="0"/>
              <w:rPr>
                <w:sz w:val="20"/>
                <w:szCs w:val="20"/>
                <w:color w:val="auto"/>
              </w:rPr>
            </w:pPr>
            <w:r>
              <w:rPr>
                <w:rFonts w:ascii="Arial" w:cs="Arial" w:eastAsia="Arial" w:hAnsi="Arial"/>
                <w:sz w:val="13"/>
                <w:szCs w:val="13"/>
                <w:color w:val="auto"/>
              </w:rPr>
              <w:t>5</w:t>
            </w:r>
          </w:p>
        </w:tc>
        <w:tc>
          <w:tcPr>
            <w:tcW w:w="0" w:type="dxa"/>
            <w:vAlign w:val="bottom"/>
          </w:tcPr>
          <w:p>
            <w:pPr>
              <w:spacing w:after="0"/>
              <w:rPr>
                <w:sz w:val="1"/>
                <w:szCs w:val="1"/>
                <w:color w:val="auto"/>
              </w:rPr>
            </w:pPr>
          </w:p>
        </w:tc>
      </w:tr>
      <w:tr>
        <w:trPr>
          <w:trHeight w:val="149"/>
        </w:trPr>
        <w:tc>
          <w:tcPr>
            <w:tcW w:w="3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Total</w:t>
            </w:r>
          </w:p>
        </w:tc>
        <w:tc>
          <w:tcPr>
            <w:tcW w:w="3300" w:type="dxa"/>
            <w:vAlign w:val="bottom"/>
            <w:gridSpan w:val="2"/>
            <w:shd w:val="clear" w:color="auto" w:fill="CCEEFF"/>
          </w:tcPr>
          <w:p>
            <w:pPr>
              <w:jc w:val="right"/>
              <w:ind w:right="173"/>
              <w:spacing w:after="0"/>
              <w:rPr>
                <w:sz w:val="20"/>
                <w:szCs w:val="20"/>
                <w:color w:val="auto"/>
              </w:rPr>
            </w:pPr>
            <w:r>
              <w:rPr>
                <w:rFonts w:ascii="Arial" w:cs="Arial" w:eastAsia="Arial" w:hAnsi="Arial"/>
                <w:sz w:val="13"/>
                <w:szCs w:val="13"/>
                <w:color w:val="auto"/>
              </w:rPr>
              <w:t>100%</w:t>
            </w:r>
          </w:p>
        </w:tc>
        <w:tc>
          <w:tcPr>
            <w:tcW w:w="1920" w:type="dxa"/>
            <w:vAlign w:val="bottom"/>
            <w:gridSpan w:val="2"/>
            <w:shd w:val="clear" w:color="auto" w:fill="CCEEFF"/>
          </w:tcPr>
          <w:p>
            <w:pPr>
              <w:jc w:val="right"/>
              <w:ind w:right="273"/>
              <w:spacing w:after="0"/>
              <w:rPr>
                <w:sz w:val="20"/>
                <w:szCs w:val="20"/>
                <w:color w:val="auto"/>
              </w:rPr>
            </w:pPr>
            <w:r>
              <w:rPr>
                <w:rFonts w:ascii="Arial" w:cs="Arial" w:eastAsia="Arial" w:hAnsi="Arial"/>
                <w:sz w:val="13"/>
                <w:szCs w:val="13"/>
                <w:color w:val="auto"/>
              </w:rPr>
              <w:t>100%</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400" w:type="dxa"/>
            <w:vAlign w:val="bottom"/>
            <w:vMerge w:val="restart"/>
          </w:tcPr>
          <w:p>
            <w:pPr>
              <w:jc w:val="right"/>
              <w:ind w:right="1293"/>
              <w:spacing w:after="0"/>
              <w:rPr>
                <w:sz w:val="20"/>
                <w:szCs w:val="20"/>
                <w:color w:val="auto"/>
              </w:rPr>
            </w:pPr>
            <w:r>
              <w:rPr>
                <w:rFonts w:ascii="Arial" w:cs="Arial" w:eastAsia="Arial" w:hAnsi="Arial"/>
                <w:sz w:val="13"/>
                <w:szCs w:val="13"/>
                <w:color w:val="auto"/>
              </w:rPr>
              <w:t>14</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ind w:right="-19"/>
        <w:spacing w:after="0"/>
        <w:rPr>
          <w:sz w:val="20"/>
          <w:szCs w:val="20"/>
          <w:color w:val="auto"/>
        </w:rPr>
      </w:pPr>
      <w:r>
        <w:rPr>
          <w:rFonts w:ascii="Arial" w:cs="Arial" w:eastAsia="Arial" w:hAnsi="Arial"/>
          <w:sz w:val="13"/>
          <w:szCs w:val="13"/>
          <w:b w:val="1"/>
          <w:bCs w:val="1"/>
          <w:color w:val="auto"/>
        </w:rPr>
        <w:t>MARCH 31, 2014</w:t>
      </w:r>
    </w:p>
    <w:p>
      <w:pPr>
        <w:jc w:val="center"/>
        <w:ind w:right="-19"/>
        <w:spacing w:after="0"/>
        <w:rPr>
          <w:sz w:val="20"/>
          <w:szCs w:val="20"/>
          <w:color w:val="auto"/>
        </w:rPr>
      </w:pPr>
      <w:r>
        <w:rPr>
          <w:rFonts w:ascii="Arial" w:cs="Arial" w:eastAsia="Arial" w:hAnsi="Arial"/>
          <w:sz w:val="13"/>
          <w:szCs w:val="13"/>
          <w:b w:val="1"/>
          <w:bCs w:val="1"/>
          <w:color w:val="auto"/>
        </w:rPr>
        <w:t>(Unaudited)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5. FAIR VALUE OF FINANCIAL INSTRUMENTS</w:t>
      </w:r>
    </w:p>
    <w:p>
      <w:pPr>
        <w:spacing w:after="0" w:line="82"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3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310" w:lineRule="exact"/>
        <w:rPr>
          <w:sz w:val="20"/>
          <w:szCs w:val="20"/>
          <w:color w:val="auto"/>
        </w:rPr>
      </w:pPr>
    </w:p>
    <w:p>
      <w:pPr>
        <w:ind w:left="800"/>
        <w:spacing w:after="0"/>
        <w:tabs>
          <w:tab w:leader="none" w:pos="136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07" w:lineRule="exact"/>
        <w:rPr>
          <w:sz w:val="20"/>
          <w:szCs w:val="20"/>
          <w:color w:val="auto"/>
        </w:rPr>
      </w:pPr>
    </w:p>
    <w:p>
      <w:pPr>
        <w:ind w:left="1380" w:right="840" w:hanging="579"/>
        <w:spacing w:after="0" w:line="317" w:lineRule="auto"/>
        <w:tabs>
          <w:tab w:leader="none" w:pos="136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0" w:lineRule="exact"/>
        <w:rPr>
          <w:sz w:val="20"/>
          <w:szCs w:val="20"/>
          <w:color w:val="auto"/>
        </w:rPr>
      </w:pPr>
    </w:p>
    <w:p>
      <w:pPr>
        <w:ind w:left="800"/>
        <w:spacing w:after="0"/>
        <w:tabs>
          <w:tab w:leader="none" w:pos="136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61" w:lineRule="exact"/>
        <w:rPr>
          <w:sz w:val="20"/>
          <w:szCs w:val="20"/>
          <w:color w:val="auto"/>
        </w:rPr>
      </w:pPr>
    </w:p>
    <w:p>
      <w:pPr>
        <w:ind w:firstLine="786"/>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29" w:lineRule="exact"/>
        <w:rPr>
          <w:sz w:val="20"/>
          <w:szCs w:val="20"/>
          <w:color w:val="auto"/>
        </w:rPr>
      </w:pPr>
    </w:p>
    <w:p>
      <w:pPr>
        <w:ind w:firstLine="786"/>
        <w:spacing w:after="0" w:line="247" w:lineRule="auto"/>
        <w:rPr>
          <w:sz w:val="20"/>
          <w:szCs w:val="20"/>
          <w:color w:val="auto"/>
        </w:rPr>
      </w:pPr>
      <w:r>
        <w:rPr>
          <w:rFonts w:ascii="Arial" w:cs="Arial" w:eastAsia="Arial" w:hAnsi="Arial"/>
          <w:sz w:val="13"/>
          <w:szCs w:val="13"/>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market-based inputs that may be used in pricing an asset.</w:t>
      </w:r>
    </w:p>
    <w:p>
      <w:pPr>
        <w:spacing w:after="0" w:line="135" w:lineRule="exact"/>
        <w:rPr>
          <w:sz w:val="20"/>
          <w:szCs w:val="20"/>
          <w:color w:val="auto"/>
        </w:rPr>
      </w:pPr>
    </w:p>
    <w:p>
      <w:pPr>
        <w:jc w:val="both"/>
        <w:ind w:right="80" w:firstLine="786"/>
        <w:spacing w:after="0" w:line="278" w:lineRule="auto"/>
        <w:rPr>
          <w:sz w:val="20"/>
          <w:szCs w:val="20"/>
          <w:color w:val="auto"/>
        </w:rPr>
      </w:pPr>
      <w:r>
        <w:rPr>
          <w:rFonts w:ascii="Arial" w:cs="Arial" w:eastAsia="Arial" w:hAnsi="Arial"/>
          <w:sz w:val="12"/>
          <w:szCs w:val="12"/>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17" w:lineRule="exact"/>
        <w:rPr>
          <w:sz w:val="20"/>
          <w:szCs w:val="20"/>
          <w:color w:val="auto"/>
        </w:rPr>
      </w:pPr>
    </w:p>
    <w:p>
      <w:pPr>
        <w:ind w:right="20" w:firstLine="786"/>
        <w:spacing w:after="0" w:line="250" w:lineRule="auto"/>
        <w:rPr>
          <w:sz w:val="20"/>
          <w:szCs w:val="20"/>
          <w:color w:val="auto"/>
        </w:rPr>
      </w:pPr>
      <w:r>
        <w:rPr>
          <w:rFonts w:ascii="Arial" w:cs="Arial" w:eastAsia="Arial" w:hAnsi="Arial"/>
          <w:sz w:val="13"/>
          <w:szCs w:val="13"/>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2014, our ability to observe valuation inputs resulted in no reclassification of assets between any levels. This compares to the six months ended March 31, 2013, which resulted in the reclassification of one asset from Level 3 to 2 and no other transfers between levels.</w:t>
      </w:r>
    </w:p>
    <w:p>
      <w:pPr>
        <w:spacing w:after="0" w:line="133" w:lineRule="exact"/>
        <w:rPr>
          <w:sz w:val="20"/>
          <w:szCs w:val="20"/>
          <w:color w:val="auto"/>
        </w:rPr>
      </w:pPr>
    </w:p>
    <w:p>
      <w:pPr>
        <w:ind w:right="220" w:firstLine="786"/>
        <w:spacing w:after="0" w:line="317" w:lineRule="auto"/>
        <w:rPr>
          <w:sz w:val="20"/>
          <w:szCs w:val="20"/>
          <w:color w:val="auto"/>
        </w:rPr>
      </w:pPr>
      <w:r>
        <w:rPr>
          <w:rFonts w:ascii="Arial" w:cs="Arial" w:eastAsia="Arial" w:hAnsi="Arial"/>
          <w:sz w:val="12"/>
          <w:szCs w:val="12"/>
          <w:color w:val="auto"/>
        </w:rPr>
        <w:t>In addition to using the above inputs in cash equivalents, investments and our long-term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94"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may not have corroborating evidence and may be the result of consensus pricing.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33" w:lineRule="exact"/>
        <w:rPr>
          <w:sz w:val="20"/>
          <w:szCs w:val="20"/>
          <w:color w:val="auto"/>
        </w:rPr>
      </w:pPr>
    </w:p>
    <w:p>
      <w:pPr>
        <w:ind w:right="40" w:firstLine="786"/>
        <w:spacing w:after="0" w:line="243" w:lineRule="auto"/>
        <w:rPr>
          <w:sz w:val="20"/>
          <w:szCs w:val="20"/>
          <w:color w:val="auto"/>
        </w:rPr>
      </w:pPr>
      <w:r>
        <w:rPr>
          <w:rFonts w:ascii="Arial" w:cs="Arial" w:eastAsia="Arial" w:hAnsi="Arial"/>
          <w:sz w:val="13"/>
          <w:szCs w:val="13"/>
          <w:color w:val="auto"/>
        </w:rPr>
        <w:t>The remainder of our portfolio, including our long-term Credit Facility, is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15</w:t>
      </w:r>
    </w:p>
    <w:p>
      <w:pPr>
        <w:sectPr>
          <w:pgSz w:w="11900" w:h="16838" w:orient="portrait"/>
          <w:cols w:equalWidth="0" w:num="1">
            <w:col w:w="11220"/>
          </w:cols>
          <w:pgMar w:left="320" w:top="459" w:right="3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spacing w:after="0"/>
        <w:rPr>
          <w:sz w:val="20"/>
          <w:szCs w:val="20"/>
          <w:color w:val="auto"/>
        </w:rPr>
      </w:pPr>
      <w:r>
        <w:rPr>
          <w:rFonts w:ascii="Arial" w:cs="Arial" w:eastAsia="Arial" w:hAnsi="Arial"/>
          <w:sz w:val="13"/>
          <w:szCs w:val="13"/>
          <w:b w:val="1"/>
          <w:bCs w:val="1"/>
          <w:color w:val="auto"/>
        </w:rPr>
        <w:t>MARCH 31, 2014</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Our Level 3 valuation techniques, unobservable inputs and ranges were categorized as follows for ASC 820 purposes: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6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153"/>
              <w:spacing w:after="0"/>
              <w:rPr>
                <w:sz w:val="20"/>
                <w:szCs w:val="20"/>
                <w:color w:val="auto"/>
              </w:rPr>
            </w:pPr>
            <w:r>
              <w:rPr>
                <w:rFonts w:ascii="Arial" w:cs="Arial" w:eastAsia="Arial" w:hAnsi="Arial"/>
                <w:sz w:val="13"/>
                <w:szCs w:val="13"/>
                <w:b w:val="1"/>
                <w:bCs w:val="1"/>
                <w:color w:val="auto"/>
              </w:rPr>
              <w:t>Fair Value at</w:t>
            </w: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Unobservable</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Range of Input</w:t>
            </w:r>
          </w:p>
        </w:tc>
        <w:tc>
          <w:tcPr>
            <w:tcW w:w="0" w:type="dxa"/>
            <w:vAlign w:val="bottom"/>
          </w:tcPr>
          <w:p>
            <w:pPr>
              <w:spacing w:after="0"/>
              <w:rPr>
                <w:sz w:val="1"/>
                <w:szCs w:val="1"/>
                <w:color w:val="auto"/>
              </w:rPr>
            </w:pPr>
          </w:p>
        </w:tc>
      </w:tr>
      <w:tr>
        <w:trPr>
          <w:trHeight w:val="148"/>
        </w:trPr>
        <w:tc>
          <w:tcPr>
            <w:tcW w:w="56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ind w:right="73"/>
              <w:spacing w:after="0" w:line="148" w:lineRule="exact"/>
              <w:rPr>
                <w:sz w:val="20"/>
                <w:szCs w:val="20"/>
                <w:color w:val="auto"/>
              </w:rPr>
            </w:pPr>
            <w:r>
              <w:rPr>
                <w:rFonts w:ascii="Arial" w:cs="Arial" w:eastAsia="Arial" w:hAnsi="Arial"/>
                <w:sz w:val="13"/>
                <w:szCs w:val="13"/>
                <w:b w:val="1"/>
                <w:bCs w:val="1"/>
                <w:color w:val="auto"/>
                <w:w w:val="99"/>
              </w:rPr>
              <w:t>March 31, 2014</w:t>
            </w:r>
          </w:p>
        </w:tc>
        <w:tc>
          <w:tcPr>
            <w:tcW w:w="280" w:type="dxa"/>
            <w:vAlign w:val="bottom"/>
          </w:tcPr>
          <w:p>
            <w:pPr>
              <w:spacing w:after="0"/>
              <w:rPr>
                <w:sz w:val="12"/>
                <w:szCs w:val="12"/>
                <w:color w:val="auto"/>
              </w:rPr>
            </w:pPr>
          </w:p>
        </w:tc>
        <w:tc>
          <w:tcPr>
            <w:tcW w:w="160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4"/>
              </w:rPr>
              <w:t>Valuation Technique</w:t>
            </w:r>
          </w:p>
        </w:tc>
        <w:tc>
          <w:tcPr>
            <w:tcW w:w="124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rPr>
              <w:t>Input</w:t>
            </w:r>
          </w:p>
        </w:tc>
        <w:tc>
          <w:tcPr>
            <w:tcW w:w="13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48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5620" w:type="dxa"/>
            <w:vAlign w:val="bottom"/>
            <w:gridSpan w:val="2"/>
            <w:shd w:val="clear" w:color="auto" w:fill="CCEEFF"/>
          </w:tcPr>
          <w:p>
            <w:pPr>
              <w:spacing w:after="0" w:line="125" w:lineRule="exact"/>
              <w:rPr>
                <w:sz w:val="20"/>
                <w:szCs w:val="20"/>
                <w:color w:val="auto"/>
              </w:rPr>
            </w:pPr>
            <w:r>
              <w:rPr>
                <w:rFonts w:ascii="Arial" w:cs="Arial" w:eastAsia="Arial" w:hAnsi="Arial"/>
                <w:sz w:val="13"/>
                <w:szCs w:val="13"/>
                <w:color w:val="auto"/>
              </w:rPr>
              <w:t>Debt investments</w:t>
            </w: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jc w:val="right"/>
              <w:ind w:right="18"/>
              <w:spacing w:after="0"/>
              <w:rPr>
                <w:sz w:val="20"/>
                <w:szCs w:val="20"/>
                <w:color w:val="auto"/>
              </w:rPr>
            </w:pPr>
            <w:r>
              <w:rPr>
                <w:rFonts w:ascii="Arial" w:cs="Arial" w:eastAsia="Arial" w:hAnsi="Arial"/>
                <w:sz w:val="4"/>
                <w:szCs w:val="4"/>
                <w:color w:val="auto"/>
                <w:w w:val="87"/>
              </w:rPr>
              <w:t>$</w:t>
            </w:r>
          </w:p>
        </w:tc>
        <w:tc>
          <w:tcPr>
            <w:tcW w:w="1080" w:type="dxa"/>
            <w:vAlign w:val="bottom"/>
            <w:shd w:val="clear" w:color="auto" w:fill="CCEEFF"/>
          </w:tcPr>
          <w:p>
            <w:pPr>
              <w:jc w:val="right"/>
              <w:spacing w:after="0" w:line="125" w:lineRule="exact"/>
              <w:rPr>
                <w:sz w:val="20"/>
                <w:szCs w:val="20"/>
                <w:color w:val="auto"/>
              </w:rPr>
            </w:pPr>
            <w:r>
              <w:rPr>
                <w:rFonts w:ascii="Arial" w:cs="Arial" w:eastAsia="Arial" w:hAnsi="Arial"/>
                <w:sz w:val="13"/>
                <w:szCs w:val="13"/>
                <w:color w:val="auto"/>
              </w:rPr>
              <w:t>350,283,680</w:t>
            </w:r>
          </w:p>
        </w:tc>
        <w:tc>
          <w:tcPr>
            <w:tcW w:w="280" w:type="dxa"/>
            <w:vAlign w:val="bottom"/>
            <w:shd w:val="clear" w:color="auto" w:fill="CCEEFF"/>
          </w:tcPr>
          <w:p>
            <w:pPr>
              <w:spacing w:after="0"/>
              <w:rPr>
                <w:sz w:val="10"/>
                <w:szCs w:val="10"/>
                <w:color w:val="auto"/>
              </w:rPr>
            </w:pPr>
          </w:p>
        </w:tc>
        <w:tc>
          <w:tcPr>
            <w:tcW w:w="140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w w:val="94"/>
              </w:rPr>
              <w:t>Market Comparable</w:t>
            </w: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w w:val="97"/>
              </w:rPr>
              <w:t>Broker/Dealer</w:t>
            </w:r>
          </w:p>
        </w:tc>
        <w:tc>
          <w:tcPr>
            <w:tcW w:w="220" w:type="dxa"/>
            <w:vAlign w:val="bottom"/>
            <w:shd w:val="clear" w:color="auto" w:fill="CCEEFF"/>
          </w:tcPr>
          <w:p>
            <w:pPr>
              <w:spacing w:after="0"/>
              <w:rPr>
                <w:sz w:val="10"/>
                <w:szCs w:val="10"/>
                <w:color w:val="auto"/>
              </w:rPr>
            </w:pPr>
          </w:p>
        </w:tc>
        <w:tc>
          <w:tcPr>
            <w:tcW w:w="132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9"/>
        </w:trPr>
        <w:tc>
          <w:tcPr>
            <w:tcW w:w="820" w:type="dxa"/>
            <w:vAlign w:val="bottom"/>
            <w:shd w:val="clear" w:color="auto" w:fill="CCEEFF"/>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bid quotes</w:t>
            </w: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620" w:type="dxa"/>
            <w:vAlign w:val="bottom"/>
            <w:gridSpan w:val="2"/>
          </w:tcPr>
          <w:p>
            <w:pPr>
              <w:spacing w:after="0"/>
              <w:rPr>
                <w:sz w:val="20"/>
                <w:szCs w:val="20"/>
                <w:color w:val="auto"/>
              </w:rPr>
            </w:pPr>
            <w:r>
              <w:rPr>
                <w:rFonts w:ascii="Arial" w:cs="Arial" w:eastAsia="Arial" w:hAnsi="Arial"/>
                <w:sz w:val="13"/>
                <w:szCs w:val="13"/>
                <w:color w:val="auto"/>
              </w:rPr>
              <w:t>Debt investments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31,394,850</w:t>
            </w:r>
          </w:p>
        </w:tc>
        <w:tc>
          <w:tcPr>
            <w:tcW w:w="280" w:type="dxa"/>
            <w:vAlign w:val="bottom"/>
          </w:tcPr>
          <w:p>
            <w:pPr>
              <w:spacing w:after="0"/>
              <w:rPr>
                <w:sz w:val="12"/>
                <w:szCs w:val="12"/>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Market Comparable</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color w:val="auto"/>
                <w:w w:val="99"/>
              </w:rPr>
              <w:t>Market Yield</w:t>
            </w:r>
          </w:p>
        </w:tc>
        <w:tc>
          <w:tcPr>
            <w:tcW w:w="1320" w:type="dxa"/>
            <w:vAlign w:val="bottom"/>
          </w:tcPr>
          <w:p>
            <w:pPr>
              <w:jc w:val="center"/>
              <w:spacing w:after="0"/>
              <w:rPr>
                <w:sz w:val="20"/>
                <w:szCs w:val="20"/>
                <w:color w:val="auto"/>
              </w:rPr>
            </w:pPr>
            <w:r>
              <w:rPr>
                <w:rFonts w:ascii="Arial" w:cs="Arial" w:eastAsia="Arial" w:hAnsi="Arial"/>
                <w:sz w:val="13"/>
                <w:szCs w:val="13"/>
                <w:color w:val="auto"/>
                <w:w w:val="95"/>
              </w:rPr>
              <w:t>6.5% – 13.2% (11.2%)</w:t>
            </w:r>
          </w:p>
        </w:tc>
        <w:tc>
          <w:tcPr>
            <w:tcW w:w="0" w:type="dxa"/>
            <w:vAlign w:val="bottom"/>
          </w:tcPr>
          <w:p>
            <w:pPr>
              <w:spacing w:after="0"/>
              <w:rPr>
                <w:sz w:val="1"/>
                <w:szCs w:val="1"/>
                <w:color w:val="auto"/>
              </w:rPr>
            </w:pPr>
          </w:p>
        </w:tc>
      </w:tr>
      <w:tr>
        <w:trPr>
          <w:trHeight w:val="138"/>
        </w:trPr>
        <w:tc>
          <w:tcPr>
            <w:tcW w:w="5620" w:type="dxa"/>
            <w:vAlign w:val="bottom"/>
            <w:gridSpan w:val="2"/>
            <w:shd w:val="clear" w:color="auto" w:fill="CCEEFF"/>
          </w:tcPr>
          <w:p>
            <w:pPr>
              <w:spacing w:after="0" w:line="138" w:lineRule="exact"/>
              <w:rPr>
                <w:sz w:val="20"/>
                <w:szCs w:val="20"/>
                <w:color w:val="auto"/>
              </w:rPr>
            </w:pPr>
            <w:r>
              <w:rPr>
                <w:rFonts w:ascii="Arial" w:cs="Arial" w:eastAsia="Arial" w:hAnsi="Arial"/>
                <w:sz w:val="13"/>
                <w:szCs w:val="13"/>
                <w:color w:val="auto"/>
              </w:rPr>
              <w:t>Equity investments</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744,954</w:t>
            </w:r>
          </w:p>
        </w:tc>
        <w:tc>
          <w:tcPr>
            <w:tcW w:w="28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jc w:val="center"/>
              <w:ind w:right="200"/>
              <w:spacing w:after="0" w:line="138" w:lineRule="exact"/>
              <w:rPr>
                <w:sz w:val="20"/>
                <w:szCs w:val="20"/>
                <w:color w:val="auto"/>
              </w:rPr>
            </w:pPr>
            <w:r>
              <w:rPr>
                <w:rFonts w:ascii="Arial" w:cs="Arial" w:eastAsia="Arial" w:hAnsi="Arial"/>
                <w:sz w:val="13"/>
                <w:szCs w:val="13"/>
                <w:color w:val="auto"/>
                <w:w w:val="94"/>
              </w:rPr>
              <w:t>Market Comparable</w:t>
            </w:r>
          </w:p>
        </w:tc>
        <w:tc>
          <w:tcPr>
            <w:tcW w:w="1240" w:type="dxa"/>
            <w:vAlign w:val="bottom"/>
            <w:gridSpan w:val="2"/>
            <w:shd w:val="clear" w:color="auto" w:fill="CCEEFF"/>
          </w:tcPr>
          <w:p>
            <w:pPr>
              <w:jc w:val="center"/>
              <w:ind w:right="220"/>
              <w:spacing w:after="0" w:line="138" w:lineRule="exact"/>
              <w:rPr>
                <w:sz w:val="20"/>
                <w:szCs w:val="20"/>
                <w:color w:val="auto"/>
              </w:rPr>
            </w:pPr>
            <w:r>
              <w:rPr>
                <w:rFonts w:ascii="Arial" w:cs="Arial" w:eastAsia="Arial" w:hAnsi="Arial"/>
                <w:sz w:val="13"/>
                <w:szCs w:val="13"/>
                <w:color w:val="auto"/>
                <w:w w:val="97"/>
              </w:rPr>
              <w:t>Broker/Dealer</w:t>
            </w:r>
          </w:p>
        </w:tc>
        <w:tc>
          <w:tcPr>
            <w:tcW w:w="1320" w:type="dxa"/>
            <w:vAlign w:val="bottom"/>
            <w:shd w:val="clear" w:color="auto" w:fill="CCEEFF"/>
          </w:tcPr>
          <w:p>
            <w:pPr>
              <w:jc w:val="center"/>
              <w:spacing w:after="0" w:line="138"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9"/>
        </w:trPr>
        <w:tc>
          <w:tcPr>
            <w:tcW w:w="820" w:type="dxa"/>
            <w:vAlign w:val="bottom"/>
            <w:shd w:val="clear" w:color="auto" w:fill="CCEEFF"/>
          </w:tcPr>
          <w:p>
            <w:pPr>
              <w:spacing w:after="0"/>
              <w:rPr>
                <w:sz w:val="13"/>
                <w:szCs w:val="13"/>
                <w:color w:val="auto"/>
              </w:rPr>
            </w:pPr>
          </w:p>
        </w:tc>
        <w:tc>
          <w:tcPr>
            <w:tcW w:w="48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bid quotes</w:t>
            </w: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620" w:type="dxa"/>
            <w:vAlign w:val="bottom"/>
            <w:gridSpan w:val="2"/>
          </w:tcPr>
          <w:p>
            <w:pPr>
              <w:spacing w:after="0"/>
              <w:rPr>
                <w:sz w:val="20"/>
                <w:szCs w:val="20"/>
                <w:color w:val="auto"/>
              </w:rPr>
            </w:pPr>
            <w:r>
              <w:rPr>
                <w:rFonts w:ascii="Arial" w:cs="Arial" w:eastAsia="Arial" w:hAnsi="Arial"/>
                <w:sz w:val="13"/>
                <w:szCs w:val="13"/>
                <w:color w:val="auto"/>
              </w:rPr>
              <w:t>Equity investments</w:t>
            </w:r>
          </w:p>
        </w:tc>
        <w:tc>
          <w:tcPr>
            <w:tcW w:w="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802,831</w:t>
            </w:r>
          </w:p>
        </w:tc>
        <w:tc>
          <w:tcPr>
            <w:tcW w:w="280" w:type="dxa"/>
            <w:vAlign w:val="bottom"/>
          </w:tcPr>
          <w:p>
            <w:pPr>
              <w:spacing w:after="0"/>
              <w:rPr>
                <w:sz w:val="13"/>
                <w:szCs w:val="13"/>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Enterprise Market Value</w:t>
            </w: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color w:val="auto"/>
              </w:rPr>
              <w:t>EBITDA multiple</w:t>
            </w:r>
          </w:p>
        </w:tc>
        <w:tc>
          <w:tcPr>
            <w:tcW w:w="1320" w:type="dxa"/>
            <w:vAlign w:val="bottom"/>
          </w:tcPr>
          <w:p>
            <w:pPr>
              <w:jc w:val="center"/>
              <w:spacing w:after="0"/>
              <w:rPr>
                <w:sz w:val="20"/>
                <w:szCs w:val="20"/>
                <w:color w:val="auto"/>
              </w:rPr>
            </w:pPr>
            <w:r>
              <w:rPr>
                <w:rFonts w:ascii="Arial" w:cs="Arial" w:eastAsia="Arial" w:hAnsi="Arial"/>
                <w:sz w:val="13"/>
                <w:szCs w:val="13"/>
                <w:color w:val="auto"/>
                <w:w w:val="95"/>
              </w:rPr>
              <w:t>6.1x – 9.5x (8.2x)</w:t>
            </w:r>
          </w:p>
        </w:tc>
        <w:tc>
          <w:tcPr>
            <w:tcW w:w="0" w:type="dxa"/>
            <w:vAlign w:val="bottom"/>
          </w:tcPr>
          <w:p>
            <w:pPr>
              <w:spacing w:after="0"/>
              <w:rPr>
                <w:sz w:val="1"/>
                <w:szCs w:val="1"/>
                <w:color w:val="auto"/>
              </w:rPr>
            </w:pPr>
          </w:p>
        </w:tc>
      </w:tr>
      <w:tr>
        <w:trPr>
          <w:trHeight w:val="148"/>
        </w:trPr>
        <w:tc>
          <w:tcPr>
            <w:tcW w:w="562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Total Level 3 investments</w:t>
            </w:r>
          </w:p>
        </w:tc>
        <w:tc>
          <w:tcPr>
            <w:tcW w:w="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383,226,315</w:t>
            </w:r>
          </w:p>
        </w:tc>
        <w:tc>
          <w:tcPr>
            <w:tcW w:w="280" w:type="dxa"/>
            <w:vAlign w:val="bottom"/>
            <w:shd w:val="clear" w:color="auto" w:fill="CCEEFF"/>
          </w:tcPr>
          <w:p>
            <w:pPr>
              <w:spacing w:after="0"/>
              <w:rPr>
                <w:sz w:val="12"/>
                <w:szCs w:val="12"/>
                <w:color w:val="auto"/>
              </w:rPr>
            </w:pPr>
          </w:p>
        </w:tc>
        <w:tc>
          <w:tcPr>
            <w:tcW w:w="14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spacing w:after="0"/>
              <w:rPr>
                <w:sz w:val="20"/>
                <w:szCs w:val="20"/>
                <w:color w:val="auto"/>
              </w:rPr>
            </w:pPr>
            <w:r>
              <w:rPr>
                <w:rFonts w:ascii="Arial" w:cs="Arial" w:eastAsia="Arial" w:hAnsi="Arial"/>
                <w:sz w:val="13"/>
                <w:szCs w:val="13"/>
                <w:color w:val="auto"/>
              </w:rPr>
              <w:t>Long-Term Credit Facility</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4"/>
              </w:rPr>
              <w:t>Market Comparable</w:t>
            </w:r>
          </w:p>
        </w:tc>
        <w:tc>
          <w:tcPr>
            <w:tcW w:w="1240" w:type="dxa"/>
            <w:vAlign w:val="bottom"/>
            <w:gridSpan w:val="2"/>
            <w:vMerge w:val="restart"/>
          </w:tcPr>
          <w:p>
            <w:pPr>
              <w:jc w:val="center"/>
              <w:ind w:right="200"/>
              <w:spacing w:after="0"/>
              <w:rPr>
                <w:sz w:val="20"/>
                <w:szCs w:val="20"/>
                <w:color w:val="auto"/>
              </w:rPr>
            </w:pPr>
            <w:r>
              <w:rPr>
                <w:rFonts w:ascii="Arial" w:cs="Arial" w:eastAsia="Arial" w:hAnsi="Arial"/>
                <w:sz w:val="13"/>
                <w:szCs w:val="13"/>
                <w:color w:val="auto"/>
                <w:w w:val="93"/>
              </w:rPr>
              <w:t>Discount rate</w:t>
            </w:r>
          </w:p>
        </w:tc>
        <w:tc>
          <w:tcPr>
            <w:tcW w:w="1320" w:type="dxa"/>
            <w:vAlign w:val="bottom"/>
            <w:vMerge w:val="restart"/>
          </w:tcPr>
          <w:p>
            <w:pPr>
              <w:jc w:val="center"/>
              <w:spacing w:after="0"/>
              <w:rPr>
                <w:sz w:val="20"/>
                <w:szCs w:val="20"/>
                <w:color w:val="auto"/>
              </w:rPr>
            </w:pPr>
            <w:r>
              <w:rPr>
                <w:rFonts w:ascii="Arial" w:cs="Arial" w:eastAsia="Arial" w:hAnsi="Arial"/>
                <w:sz w:val="13"/>
                <w:szCs w:val="13"/>
                <w:color w:val="auto"/>
                <w:w w:val="94"/>
              </w:rPr>
              <w:t>3.5%</w:t>
            </w:r>
          </w:p>
        </w:tc>
        <w:tc>
          <w:tcPr>
            <w:tcW w:w="0" w:type="dxa"/>
            <w:vAlign w:val="bottom"/>
          </w:tcPr>
          <w:p>
            <w:pPr>
              <w:spacing w:after="0" w:line="20" w:lineRule="exact"/>
              <w:rPr>
                <w:sz w:val="1"/>
                <w:szCs w:val="1"/>
                <w:color w:val="auto"/>
              </w:rPr>
            </w:pPr>
          </w:p>
        </w:tc>
      </w:tr>
      <w:tr>
        <w:trPr>
          <w:trHeight w:val="143"/>
        </w:trPr>
        <w:tc>
          <w:tcPr>
            <w:tcW w:w="5620" w:type="dxa"/>
            <w:vAlign w:val="bottom"/>
            <w:gridSpan w:val="2"/>
            <w:vMerge w:val="continue"/>
          </w:tcPr>
          <w:p>
            <w:pPr>
              <w:spacing w:after="0"/>
              <w:rPr>
                <w:sz w:val="12"/>
                <w:szCs w:val="12"/>
                <w:color w:val="auto"/>
              </w:rPr>
            </w:pPr>
          </w:p>
        </w:tc>
        <w:tc>
          <w:tcPr>
            <w:tcW w:w="10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3"/>
                <w:szCs w:val="13"/>
                <w:color w:val="auto"/>
              </w:rPr>
              <w:t>173,200,000</w:t>
            </w:r>
          </w:p>
        </w:tc>
        <w:tc>
          <w:tcPr>
            <w:tcW w:w="28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Asset Category</w:t>
            </w:r>
          </w:p>
        </w:tc>
        <w:tc>
          <w:tcPr>
            <w:tcW w:w="1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jc w:val="right"/>
              <w:ind w:right="153"/>
              <w:spacing w:after="0"/>
              <w:rPr>
                <w:sz w:val="20"/>
                <w:szCs w:val="20"/>
                <w:color w:val="auto"/>
              </w:rPr>
            </w:pPr>
            <w:r>
              <w:rPr>
                <w:rFonts w:ascii="Arial" w:cs="Arial" w:eastAsia="Arial" w:hAnsi="Arial"/>
                <w:sz w:val="13"/>
                <w:szCs w:val="13"/>
                <w:b w:val="1"/>
                <w:bCs w:val="1"/>
                <w:color w:val="auto"/>
              </w:rPr>
              <w:t>Fair Value at</w:t>
            </w: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3"/>
              </w:rPr>
              <w:t>Unobservable</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w w:val="96"/>
              </w:rPr>
              <w:t>Range of Input</w:t>
            </w:r>
          </w:p>
        </w:tc>
        <w:tc>
          <w:tcPr>
            <w:tcW w:w="0" w:type="dxa"/>
            <w:vAlign w:val="bottom"/>
          </w:tcPr>
          <w:p>
            <w:pPr>
              <w:spacing w:after="0"/>
              <w:rPr>
                <w:sz w:val="1"/>
                <w:szCs w:val="1"/>
                <w:color w:val="auto"/>
              </w:rPr>
            </w:pPr>
          </w:p>
        </w:tc>
      </w:tr>
      <w:tr>
        <w:trPr>
          <w:trHeight w:val="148"/>
        </w:trPr>
        <w:tc>
          <w:tcPr>
            <w:tcW w:w="3720" w:type="dxa"/>
            <w:vAlign w:val="bottom"/>
            <w:gridSpan w:val="2"/>
            <w:vMerge w:val="continue"/>
          </w:tcPr>
          <w:p>
            <w:pPr>
              <w:spacing w:after="0"/>
              <w:rPr>
                <w:sz w:val="12"/>
                <w:szCs w:val="12"/>
                <w:color w:val="auto"/>
              </w:rPr>
            </w:pPr>
          </w:p>
        </w:tc>
        <w:tc>
          <w:tcPr>
            <w:tcW w:w="1900" w:type="dxa"/>
            <w:vAlign w:val="bottom"/>
          </w:tcPr>
          <w:p>
            <w:pPr>
              <w:spacing w:after="0"/>
              <w:rPr>
                <w:sz w:val="12"/>
                <w:szCs w:val="12"/>
                <w:color w:val="auto"/>
              </w:rPr>
            </w:pPr>
          </w:p>
        </w:tc>
        <w:tc>
          <w:tcPr>
            <w:tcW w:w="1180" w:type="dxa"/>
            <w:vAlign w:val="bottom"/>
            <w:gridSpan w:val="2"/>
          </w:tcPr>
          <w:p>
            <w:pPr>
              <w:jc w:val="right"/>
              <w:spacing w:after="0" w:line="148" w:lineRule="exact"/>
              <w:rPr>
                <w:sz w:val="20"/>
                <w:szCs w:val="20"/>
                <w:color w:val="auto"/>
              </w:rPr>
            </w:pPr>
            <w:r>
              <w:rPr>
                <w:rFonts w:ascii="Arial" w:cs="Arial" w:eastAsia="Arial" w:hAnsi="Arial"/>
                <w:sz w:val="13"/>
                <w:szCs w:val="13"/>
                <w:b w:val="1"/>
                <w:bCs w:val="1"/>
                <w:color w:val="auto"/>
                <w:w w:val="92"/>
              </w:rPr>
              <w:t>September 30, 2013</w:t>
            </w:r>
          </w:p>
        </w:tc>
        <w:tc>
          <w:tcPr>
            <w:tcW w:w="280" w:type="dxa"/>
            <w:vAlign w:val="bottom"/>
          </w:tcPr>
          <w:p>
            <w:pPr>
              <w:spacing w:after="0"/>
              <w:rPr>
                <w:sz w:val="12"/>
                <w:szCs w:val="12"/>
                <w:color w:val="auto"/>
              </w:rPr>
            </w:pPr>
          </w:p>
        </w:tc>
        <w:tc>
          <w:tcPr>
            <w:tcW w:w="160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w w:val="94"/>
              </w:rPr>
              <w:t>Valuation Technique</w:t>
            </w:r>
          </w:p>
        </w:tc>
        <w:tc>
          <w:tcPr>
            <w:tcW w:w="1240" w:type="dxa"/>
            <w:vAlign w:val="bottom"/>
            <w:gridSpan w:val="2"/>
          </w:tcPr>
          <w:p>
            <w:pPr>
              <w:jc w:val="center"/>
              <w:ind w:right="200"/>
              <w:spacing w:after="0" w:line="148" w:lineRule="exact"/>
              <w:rPr>
                <w:sz w:val="20"/>
                <w:szCs w:val="20"/>
                <w:color w:val="auto"/>
              </w:rPr>
            </w:pPr>
            <w:r>
              <w:rPr>
                <w:rFonts w:ascii="Arial" w:cs="Arial" w:eastAsia="Arial" w:hAnsi="Arial"/>
                <w:sz w:val="13"/>
                <w:szCs w:val="13"/>
                <w:b w:val="1"/>
                <w:bCs w:val="1"/>
                <w:color w:val="auto"/>
              </w:rPr>
              <w:t>Input</w:t>
            </w:r>
          </w:p>
        </w:tc>
        <w:tc>
          <w:tcPr>
            <w:tcW w:w="1320" w:type="dxa"/>
            <w:vAlign w:val="bottom"/>
          </w:tcPr>
          <w:p>
            <w:pPr>
              <w:jc w:val="center"/>
              <w:spacing w:after="0" w:line="148" w:lineRule="exact"/>
              <w:rPr>
                <w:sz w:val="20"/>
                <w:szCs w:val="20"/>
                <w:color w:val="auto"/>
              </w:rPr>
            </w:pPr>
            <w:r>
              <w:rPr>
                <w:rFonts w:ascii="Arial" w:cs="Arial" w:eastAsia="Arial" w:hAnsi="Arial"/>
                <w:sz w:val="13"/>
                <w:szCs w:val="13"/>
                <w:b w:val="1"/>
                <w:bCs w:val="1"/>
                <w:color w:val="auto"/>
                <w:w w:val="91"/>
              </w:rPr>
              <w:t>(Weighted Average)</w:t>
            </w:r>
          </w:p>
        </w:tc>
        <w:tc>
          <w:tcPr>
            <w:tcW w:w="0" w:type="dxa"/>
            <w:vAlign w:val="bottom"/>
          </w:tcPr>
          <w:p>
            <w:pPr>
              <w:spacing w:after="0"/>
              <w:rPr>
                <w:sz w:val="1"/>
                <w:szCs w:val="1"/>
                <w:color w:val="auto"/>
              </w:rPr>
            </w:pPr>
          </w:p>
        </w:tc>
      </w:tr>
      <w:tr>
        <w:trPr>
          <w:trHeight w:val="20"/>
        </w:trPr>
        <w:tc>
          <w:tcPr>
            <w:tcW w:w="82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19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5"/>
        </w:trPr>
        <w:tc>
          <w:tcPr>
            <w:tcW w:w="3720" w:type="dxa"/>
            <w:vAlign w:val="bottom"/>
            <w:gridSpan w:val="2"/>
            <w:shd w:val="clear" w:color="auto" w:fill="CCEEFF"/>
          </w:tcPr>
          <w:p>
            <w:pPr>
              <w:spacing w:after="0" w:line="125" w:lineRule="exact"/>
              <w:rPr>
                <w:sz w:val="20"/>
                <w:szCs w:val="20"/>
                <w:color w:val="auto"/>
              </w:rPr>
            </w:pPr>
            <w:r>
              <w:rPr>
                <w:rFonts w:ascii="Arial" w:cs="Arial" w:eastAsia="Arial" w:hAnsi="Arial"/>
                <w:sz w:val="13"/>
                <w:szCs w:val="13"/>
                <w:color w:val="auto"/>
              </w:rPr>
              <w:t>Debt investments</w:t>
            </w:r>
          </w:p>
        </w:tc>
        <w:tc>
          <w:tcPr>
            <w:tcW w:w="1900" w:type="dxa"/>
            <w:vAlign w:val="bottom"/>
            <w:shd w:val="clear" w:color="auto" w:fill="CCEEFF"/>
          </w:tcPr>
          <w:p>
            <w:pPr>
              <w:spacing w:after="0"/>
              <w:rPr>
                <w:sz w:val="10"/>
                <w:szCs w:val="10"/>
                <w:color w:val="auto"/>
              </w:rPr>
            </w:pPr>
          </w:p>
        </w:tc>
        <w:tc>
          <w:tcPr>
            <w:tcW w:w="140" w:type="dxa"/>
            <w:vAlign w:val="bottom"/>
            <w:shd w:val="clear" w:color="auto" w:fill="CCEEFF"/>
          </w:tcPr>
          <w:p>
            <w:pPr>
              <w:jc w:val="right"/>
              <w:ind w:right="21"/>
              <w:spacing w:after="0"/>
              <w:rPr>
                <w:sz w:val="20"/>
                <w:szCs w:val="20"/>
                <w:color w:val="auto"/>
              </w:rPr>
            </w:pPr>
            <w:r>
              <w:rPr>
                <w:rFonts w:ascii="Arial" w:cs="Arial" w:eastAsia="Arial" w:hAnsi="Arial"/>
                <w:sz w:val="10"/>
                <w:szCs w:val="10"/>
                <w:color w:val="auto"/>
                <w:w w:val="71"/>
              </w:rPr>
              <w:t>$</w:t>
            </w:r>
          </w:p>
        </w:tc>
        <w:tc>
          <w:tcPr>
            <w:tcW w:w="1040" w:type="dxa"/>
            <w:vAlign w:val="bottom"/>
            <w:shd w:val="clear" w:color="auto" w:fill="CCEEFF"/>
          </w:tcPr>
          <w:p>
            <w:pPr>
              <w:jc w:val="right"/>
              <w:spacing w:after="0" w:line="125" w:lineRule="exact"/>
              <w:rPr>
                <w:sz w:val="20"/>
                <w:szCs w:val="20"/>
                <w:color w:val="auto"/>
              </w:rPr>
            </w:pPr>
            <w:r>
              <w:rPr>
                <w:rFonts w:ascii="Arial" w:cs="Arial" w:eastAsia="Arial" w:hAnsi="Arial"/>
                <w:sz w:val="13"/>
                <w:szCs w:val="13"/>
                <w:color w:val="auto"/>
              </w:rPr>
              <w:t>298,655,677</w:t>
            </w:r>
          </w:p>
        </w:tc>
        <w:tc>
          <w:tcPr>
            <w:tcW w:w="280" w:type="dxa"/>
            <w:vAlign w:val="bottom"/>
            <w:shd w:val="clear" w:color="auto" w:fill="CCEEFF"/>
          </w:tcPr>
          <w:p>
            <w:pPr>
              <w:spacing w:after="0"/>
              <w:rPr>
                <w:sz w:val="10"/>
                <w:szCs w:val="10"/>
                <w:color w:val="auto"/>
              </w:rPr>
            </w:pPr>
          </w:p>
        </w:tc>
        <w:tc>
          <w:tcPr>
            <w:tcW w:w="140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w w:val="94"/>
              </w:rPr>
              <w:t>Market Comparable</w:t>
            </w:r>
          </w:p>
        </w:tc>
        <w:tc>
          <w:tcPr>
            <w:tcW w:w="200" w:type="dxa"/>
            <w:vAlign w:val="bottom"/>
            <w:shd w:val="clear" w:color="auto" w:fill="CCEEFF"/>
          </w:tcPr>
          <w:p>
            <w:pPr>
              <w:spacing w:after="0"/>
              <w:rPr>
                <w:sz w:val="10"/>
                <w:szCs w:val="10"/>
                <w:color w:val="auto"/>
              </w:rPr>
            </w:pPr>
          </w:p>
        </w:tc>
        <w:tc>
          <w:tcPr>
            <w:tcW w:w="102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w w:val="97"/>
              </w:rPr>
              <w:t>Broker/Dealer</w:t>
            </w:r>
          </w:p>
        </w:tc>
        <w:tc>
          <w:tcPr>
            <w:tcW w:w="220" w:type="dxa"/>
            <w:vAlign w:val="bottom"/>
            <w:shd w:val="clear" w:color="auto" w:fill="CCEEFF"/>
          </w:tcPr>
          <w:p>
            <w:pPr>
              <w:spacing w:after="0"/>
              <w:rPr>
                <w:sz w:val="10"/>
                <w:szCs w:val="10"/>
                <w:color w:val="auto"/>
              </w:rPr>
            </w:pPr>
          </w:p>
        </w:tc>
        <w:tc>
          <w:tcPr>
            <w:tcW w:w="1320" w:type="dxa"/>
            <w:vAlign w:val="bottom"/>
            <w:shd w:val="clear" w:color="auto" w:fill="CCEEFF"/>
          </w:tcPr>
          <w:p>
            <w:pPr>
              <w:jc w:val="center"/>
              <w:spacing w:after="0" w:line="125" w:lineRule="exact"/>
              <w:rPr>
                <w:sz w:val="20"/>
                <w:szCs w:val="20"/>
                <w:color w:val="auto"/>
              </w:rPr>
            </w:pPr>
            <w:r>
              <w:rPr>
                <w:rFonts w:ascii="Arial" w:cs="Arial" w:eastAsia="Arial" w:hAnsi="Arial"/>
                <w:sz w:val="13"/>
                <w:szCs w:val="13"/>
                <w:color w:val="auto"/>
              </w:rPr>
              <w:t>N/A</w:t>
            </w:r>
          </w:p>
        </w:tc>
        <w:tc>
          <w:tcPr>
            <w:tcW w:w="0" w:type="dxa"/>
            <w:vAlign w:val="bottom"/>
          </w:tcPr>
          <w:p>
            <w:pPr>
              <w:spacing w:after="0"/>
              <w:rPr>
                <w:sz w:val="1"/>
                <w:szCs w:val="1"/>
                <w:color w:val="auto"/>
              </w:rPr>
            </w:pPr>
          </w:p>
        </w:tc>
      </w:tr>
      <w:tr>
        <w:trPr>
          <w:trHeight w:val="159"/>
        </w:trPr>
        <w:tc>
          <w:tcPr>
            <w:tcW w:w="820" w:type="dxa"/>
            <w:vAlign w:val="bottom"/>
            <w:shd w:val="clear" w:color="auto" w:fill="CCEEFF"/>
          </w:tcPr>
          <w:p>
            <w:pPr>
              <w:spacing w:after="0"/>
              <w:rPr>
                <w:sz w:val="13"/>
                <w:szCs w:val="13"/>
                <w:color w:val="auto"/>
              </w:rPr>
            </w:pPr>
          </w:p>
        </w:tc>
        <w:tc>
          <w:tcPr>
            <w:tcW w:w="2900" w:type="dxa"/>
            <w:vAlign w:val="bottom"/>
            <w:shd w:val="clear" w:color="auto" w:fill="CCEEFF"/>
          </w:tcPr>
          <w:p>
            <w:pPr>
              <w:spacing w:after="0"/>
              <w:rPr>
                <w:sz w:val="13"/>
                <w:szCs w:val="13"/>
                <w:color w:val="auto"/>
              </w:rPr>
            </w:pPr>
          </w:p>
        </w:tc>
        <w:tc>
          <w:tcPr>
            <w:tcW w:w="1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3"/>
              </w:rPr>
              <w:t>bid quotes</w:t>
            </w: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20" w:type="dxa"/>
            <w:vAlign w:val="bottom"/>
            <w:gridSpan w:val="2"/>
          </w:tcPr>
          <w:p>
            <w:pPr>
              <w:spacing w:after="0"/>
              <w:rPr>
                <w:sz w:val="20"/>
                <w:szCs w:val="20"/>
                <w:color w:val="auto"/>
              </w:rPr>
            </w:pPr>
            <w:r>
              <w:rPr>
                <w:rFonts w:ascii="Arial" w:cs="Arial" w:eastAsia="Arial" w:hAnsi="Arial"/>
                <w:sz w:val="13"/>
                <w:szCs w:val="13"/>
                <w:color w:val="auto"/>
              </w:rPr>
              <w:t>Debt investments</w:t>
            </w: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14,900,556</w:t>
            </w:r>
          </w:p>
        </w:tc>
        <w:tc>
          <w:tcPr>
            <w:tcW w:w="280" w:type="dxa"/>
            <w:vAlign w:val="bottom"/>
          </w:tcPr>
          <w:p>
            <w:pPr>
              <w:spacing w:after="0"/>
              <w:rPr>
                <w:sz w:val="14"/>
                <w:szCs w:val="14"/>
                <w:color w:val="auto"/>
              </w:rPr>
            </w:pPr>
          </w:p>
        </w:tc>
        <w:tc>
          <w:tcPr>
            <w:tcW w:w="1600" w:type="dxa"/>
            <w:vAlign w:val="bottom"/>
            <w:gridSpan w:val="2"/>
          </w:tcPr>
          <w:p>
            <w:pPr>
              <w:jc w:val="center"/>
              <w:ind w:right="200"/>
              <w:spacing w:after="0"/>
              <w:rPr>
                <w:sz w:val="20"/>
                <w:szCs w:val="20"/>
                <w:color w:val="auto"/>
              </w:rPr>
            </w:pPr>
            <w:r>
              <w:rPr>
                <w:rFonts w:ascii="Arial" w:cs="Arial" w:eastAsia="Arial" w:hAnsi="Arial"/>
                <w:sz w:val="13"/>
                <w:szCs w:val="13"/>
                <w:color w:val="auto"/>
                <w:w w:val="94"/>
              </w:rPr>
              <w:t>Market Comparable</w:t>
            </w: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color w:val="auto"/>
                <w:w w:val="99"/>
              </w:rPr>
              <w:t>Market Yield</w:t>
            </w:r>
          </w:p>
        </w:tc>
        <w:tc>
          <w:tcPr>
            <w:tcW w:w="1320" w:type="dxa"/>
            <w:vAlign w:val="bottom"/>
          </w:tcPr>
          <w:p>
            <w:pPr>
              <w:jc w:val="center"/>
              <w:spacing w:after="0"/>
              <w:rPr>
                <w:sz w:val="20"/>
                <w:szCs w:val="20"/>
                <w:color w:val="auto"/>
              </w:rPr>
            </w:pPr>
            <w:r>
              <w:rPr>
                <w:rFonts w:ascii="Arial" w:cs="Arial" w:eastAsia="Arial" w:hAnsi="Arial"/>
                <w:sz w:val="13"/>
                <w:szCs w:val="13"/>
                <w:color w:val="auto"/>
                <w:w w:val="95"/>
              </w:rPr>
              <w:t>7.3% – 15.2% (11.7%)</w:t>
            </w:r>
          </w:p>
        </w:tc>
        <w:tc>
          <w:tcPr>
            <w:tcW w:w="0" w:type="dxa"/>
            <w:vAlign w:val="bottom"/>
          </w:tcPr>
          <w:p>
            <w:pPr>
              <w:spacing w:after="0"/>
              <w:rPr>
                <w:sz w:val="1"/>
                <w:szCs w:val="1"/>
                <w:color w:val="auto"/>
              </w:rPr>
            </w:pPr>
          </w:p>
        </w:tc>
      </w:tr>
      <w:tr>
        <w:trPr>
          <w:trHeight w:val="162"/>
        </w:trPr>
        <w:tc>
          <w:tcPr>
            <w:tcW w:w="37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Equity investments</w:t>
            </w:r>
          </w:p>
        </w:tc>
        <w:tc>
          <w:tcPr>
            <w:tcW w:w="19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188,235</w:t>
            </w:r>
          </w:p>
        </w:tc>
        <w:tc>
          <w:tcPr>
            <w:tcW w:w="280" w:type="dxa"/>
            <w:vAlign w:val="bottom"/>
            <w:shd w:val="clear" w:color="auto" w:fill="CCEEFF"/>
          </w:tcPr>
          <w:p>
            <w:pPr>
              <w:spacing w:after="0"/>
              <w:rPr>
                <w:sz w:val="14"/>
                <w:szCs w:val="14"/>
                <w:color w:val="auto"/>
              </w:rPr>
            </w:pPr>
          </w:p>
        </w:tc>
        <w:tc>
          <w:tcPr>
            <w:tcW w:w="1600" w:type="dxa"/>
            <w:vAlign w:val="bottom"/>
            <w:gridSpan w:val="2"/>
            <w:shd w:val="clear" w:color="auto" w:fill="CCEEFF"/>
          </w:tcPr>
          <w:p>
            <w:pPr>
              <w:jc w:val="center"/>
              <w:ind w:right="200"/>
              <w:spacing w:after="0"/>
              <w:rPr>
                <w:sz w:val="20"/>
                <w:szCs w:val="20"/>
                <w:color w:val="auto"/>
              </w:rPr>
            </w:pPr>
            <w:r>
              <w:rPr>
                <w:rFonts w:ascii="Arial" w:cs="Arial" w:eastAsia="Arial" w:hAnsi="Arial"/>
                <w:sz w:val="13"/>
                <w:szCs w:val="13"/>
                <w:color w:val="auto"/>
                <w:w w:val="94"/>
              </w:rPr>
              <w:t>Enterprise Market Value</w:t>
            </w:r>
          </w:p>
        </w:tc>
        <w:tc>
          <w:tcPr>
            <w:tcW w:w="1240" w:type="dxa"/>
            <w:vAlign w:val="bottom"/>
            <w:gridSpan w:val="2"/>
            <w:shd w:val="clear" w:color="auto" w:fill="CCEEFF"/>
          </w:tcPr>
          <w:p>
            <w:pPr>
              <w:jc w:val="center"/>
              <w:ind w:right="220"/>
              <w:spacing w:after="0"/>
              <w:rPr>
                <w:sz w:val="20"/>
                <w:szCs w:val="20"/>
                <w:color w:val="auto"/>
              </w:rPr>
            </w:pPr>
            <w:r>
              <w:rPr>
                <w:rFonts w:ascii="Arial" w:cs="Arial" w:eastAsia="Arial" w:hAnsi="Arial"/>
                <w:sz w:val="13"/>
                <w:szCs w:val="13"/>
                <w:color w:val="auto"/>
              </w:rPr>
              <w:t>EBITDA multiple</w:t>
            </w:r>
          </w:p>
        </w:tc>
        <w:tc>
          <w:tcPr>
            <w:tcW w:w="13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7.0x</w:t>
            </w:r>
          </w:p>
        </w:tc>
        <w:tc>
          <w:tcPr>
            <w:tcW w:w="0" w:type="dxa"/>
            <w:vAlign w:val="bottom"/>
          </w:tcPr>
          <w:p>
            <w:pPr>
              <w:spacing w:after="0"/>
              <w:rPr>
                <w:sz w:val="1"/>
                <w:szCs w:val="1"/>
                <w:color w:val="auto"/>
              </w:rPr>
            </w:pPr>
          </w:p>
        </w:tc>
      </w:tr>
      <w:tr>
        <w:trPr>
          <w:trHeight w:val="156"/>
        </w:trPr>
        <w:tc>
          <w:tcPr>
            <w:tcW w:w="3720" w:type="dxa"/>
            <w:vAlign w:val="bottom"/>
            <w:gridSpan w:val="2"/>
          </w:tcPr>
          <w:p>
            <w:pPr>
              <w:ind w:left="440"/>
              <w:spacing w:after="0"/>
              <w:rPr>
                <w:sz w:val="20"/>
                <w:szCs w:val="20"/>
                <w:color w:val="auto"/>
              </w:rPr>
            </w:pPr>
            <w:r>
              <w:rPr>
                <w:rFonts w:ascii="Arial" w:cs="Arial" w:eastAsia="Arial" w:hAnsi="Arial"/>
                <w:sz w:val="13"/>
                <w:szCs w:val="13"/>
                <w:color w:val="auto"/>
              </w:rPr>
              <w:t>Total Level 3 investments</w:t>
            </w:r>
          </w:p>
        </w:tc>
        <w:tc>
          <w:tcPr>
            <w:tcW w:w="19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313,744,468</w:t>
            </w:r>
          </w:p>
        </w:tc>
        <w:tc>
          <w:tcPr>
            <w:tcW w:w="2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20" w:type="dxa"/>
            <w:vAlign w:val="bottom"/>
            <w:gridSpan w:val="2"/>
            <w:shd w:val="clear" w:color="auto" w:fill="CCEEFF"/>
          </w:tcPr>
          <w:p>
            <w:pPr>
              <w:spacing w:after="0" w:line="143" w:lineRule="exact"/>
              <w:rPr>
                <w:sz w:val="20"/>
                <w:szCs w:val="20"/>
                <w:color w:val="auto"/>
              </w:rPr>
            </w:pPr>
            <w:r>
              <w:rPr>
                <w:rFonts w:ascii="Arial" w:cs="Arial" w:eastAsia="Arial" w:hAnsi="Arial"/>
                <w:sz w:val="13"/>
                <w:szCs w:val="13"/>
                <w:color w:val="auto"/>
              </w:rPr>
              <w:t>Long-Term Credit Facility</w:t>
            </w:r>
          </w:p>
        </w:tc>
        <w:tc>
          <w:tcPr>
            <w:tcW w:w="2040" w:type="dxa"/>
            <w:vAlign w:val="bottom"/>
            <w:gridSpan w:val="2"/>
            <w:shd w:val="clear" w:color="auto" w:fill="CCEEFF"/>
          </w:tcPr>
          <w:p>
            <w:pPr>
              <w:jc w:val="right"/>
              <w:ind w:right="21"/>
              <w:spacing w:after="0" w:line="143" w:lineRule="exact"/>
              <w:rPr>
                <w:sz w:val="20"/>
                <w:szCs w:val="20"/>
                <w:color w:val="auto"/>
              </w:rPr>
            </w:pPr>
            <w:r>
              <w:rPr>
                <w:rFonts w:ascii="Arial" w:cs="Arial" w:eastAsia="Arial" w:hAnsi="Arial"/>
                <w:sz w:val="13"/>
                <w:szCs w:val="13"/>
                <w:color w:val="auto"/>
              </w:rPr>
              <w:t>$</w:t>
            </w:r>
          </w:p>
        </w:tc>
        <w:tc>
          <w:tcPr>
            <w:tcW w:w="1040" w:type="dxa"/>
            <w:vAlign w:val="bottom"/>
            <w:shd w:val="clear" w:color="auto" w:fill="CCEEFF"/>
          </w:tcPr>
          <w:p>
            <w:pPr>
              <w:jc w:val="right"/>
              <w:spacing w:after="0" w:line="143" w:lineRule="exact"/>
              <w:rPr>
                <w:sz w:val="20"/>
                <w:szCs w:val="20"/>
                <w:color w:val="auto"/>
              </w:rPr>
            </w:pPr>
            <w:r>
              <w:rPr>
                <w:rFonts w:ascii="Arial" w:cs="Arial" w:eastAsia="Arial" w:hAnsi="Arial"/>
                <w:sz w:val="13"/>
                <w:szCs w:val="13"/>
                <w:color w:val="auto"/>
              </w:rPr>
              <w:t>99,600,000</w:t>
            </w:r>
          </w:p>
        </w:tc>
        <w:tc>
          <w:tcPr>
            <w:tcW w:w="280" w:type="dxa"/>
            <w:vAlign w:val="bottom"/>
            <w:shd w:val="clear" w:color="auto" w:fill="CCEEFF"/>
          </w:tcPr>
          <w:p>
            <w:pPr>
              <w:spacing w:after="0"/>
              <w:rPr>
                <w:sz w:val="12"/>
                <w:szCs w:val="12"/>
                <w:color w:val="auto"/>
              </w:rPr>
            </w:pPr>
          </w:p>
        </w:tc>
        <w:tc>
          <w:tcPr>
            <w:tcW w:w="1600" w:type="dxa"/>
            <w:vAlign w:val="bottom"/>
            <w:gridSpan w:val="2"/>
            <w:shd w:val="clear" w:color="auto" w:fill="CCEEFF"/>
          </w:tcPr>
          <w:p>
            <w:pPr>
              <w:jc w:val="center"/>
              <w:ind w:right="200"/>
              <w:spacing w:after="0" w:line="143" w:lineRule="exact"/>
              <w:rPr>
                <w:sz w:val="20"/>
                <w:szCs w:val="20"/>
                <w:color w:val="auto"/>
              </w:rPr>
            </w:pPr>
            <w:r>
              <w:rPr>
                <w:rFonts w:ascii="Arial" w:cs="Arial" w:eastAsia="Arial" w:hAnsi="Arial"/>
                <w:sz w:val="13"/>
                <w:szCs w:val="13"/>
                <w:color w:val="auto"/>
                <w:w w:val="94"/>
              </w:rPr>
              <w:t>Market Comparable</w:t>
            </w:r>
          </w:p>
        </w:tc>
        <w:tc>
          <w:tcPr>
            <w:tcW w:w="1240" w:type="dxa"/>
            <w:vAlign w:val="bottom"/>
            <w:gridSpan w:val="2"/>
            <w:shd w:val="clear" w:color="auto" w:fill="CCEEFF"/>
          </w:tcPr>
          <w:p>
            <w:pPr>
              <w:jc w:val="center"/>
              <w:ind w:right="200"/>
              <w:spacing w:after="0" w:line="143" w:lineRule="exact"/>
              <w:rPr>
                <w:sz w:val="20"/>
                <w:szCs w:val="20"/>
                <w:color w:val="auto"/>
              </w:rPr>
            </w:pPr>
            <w:r>
              <w:rPr>
                <w:rFonts w:ascii="Arial" w:cs="Arial" w:eastAsia="Arial" w:hAnsi="Arial"/>
                <w:sz w:val="13"/>
                <w:szCs w:val="13"/>
                <w:color w:val="auto"/>
                <w:w w:val="99"/>
              </w:rPr>
              <w:t>Market Yield</w:t>
            </w:r>
          </w:p>
        </w:tc>
        <w:tc>
          <w:tcPr>
            <w:tcW w:w="1320" w:type="dxa"/>
            <w:vAlign w:val="bottom"/>
            <w:shd w:val="clear" w:color="auto" w:fill="CCEEFF"/>
          </w:tcPr>
          <w:p>
            <w:pPr>
              <w:jc w:val="center"/>
              <w:spacing w:after="0" w:line="143" w:lineRule="exact"/>
              <w:rPr>
                <w:sz w:val="20"/>
                <w:szCs w:val="20"/>
                <w:color w:val="auto"/>
              </w:rPr>
            </w:pPr>
            <w:r>
              <w:rPr>
                <w:rFonts w:ascii="Arial" w:cs="Arial" w:eastAsia="Arial" w:hAnsi="Arial"/>
                <w:sz w:val="13"/>
                <w:szCs w:val="13"/>
                <w:color w:val="auto"/>
                <w:w w:val="94"/>
              </w:rPr>
              <w:t>3.6%</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left="800"/>
        <w:spacing w:after="0"/>
        <w:rPr>
          <w:sz w:val="20"/>
          <w:szCs w:val="20"/>
          <w:color w:val="auto"/>
        </w:rPr>
      </w:pPr>
      <w:r>
        <w:rPr>
          <w:rFonts w:ascii="Arial" w:cs="Arial" w:eastAsia="Arial" w:hAnsi="Arial"/>
          <w:sz w:val="13"/>
          <w:szCs w:val="13"/>
          <w:color w:val="auto"/>
        </w:rPr>
        <w:t>Our cash equivalents, investments and our Credit Facility were categorized as follows in the fair value hierarchy for ASC 820 purposes:</w:t>
      </w:r>
    </w:p>
    <w:p>
      <w:pPr>
        <w:sectPr>
          <w:pgSz w:w="11900" w:h="16838" w:orient="portrait"/>
          <w:cols w:equalWidth="0" w:num="1">
            <w:col w:w="11240"/>
          </w:cols>
          <w:pgMar w:left="320" w:top="459" w:right="339" w:bottom="1440" w:gutter="0" w:footer="0" w:header="0"/>
        </w:sectPr>
      </w:pPr>
    </w:p>
    <w:p>
      <w:pPr>
        <w:spacing w:after="0" w:line="348"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Descriptio</w:t>
      </w:r>
      <w:r>
        <w:rPr>
          <w:rFonts w:ascii="Arial" w:cs="Arial" w:eastAsia="Arial" w:hAnsi="Arial"/>
          <w:sz w:val="13"/>
          <w:szCs w:val="13"/>
          <w:b w:val="1"/>
          <w:bCs w:val="1"/>
          <w:color w:val="auto"/>
        </w:rPr>
        <w:t>n</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Debt investments (First lien)</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Debt investments (Second lien)</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Debt investments (Subordinated debt / corporate notes)</w:t>
      </w:r>
    </w:p>
    <w:p>
      <w:pPr>
        <w:spacing w:after="0" w:line="22" w:lineRule="exact"/>
        <w:rPr>
          <w:sz w:val="20"/>
          <w:szCs w:val="20"/>
          <w:color w:val="auto"/>
        </w:rPr>
      </w:pPr>
    </w:p>
    <w:p>
      <w:pPr>
        <w:spacing w:after="0"/>
        <w:rPr>
          <w:sz w:val="20"/>
          <w:szCs w:val="20"/>
          <w:color w:val="auto"/>
        </w:rPr>
      </w:pPr>
      <w:r>
        <w:rPr>
          <w:rFonts w:ascii="Arial" w:cs="Arial" w:eastAsia="Arial" w:hAnsi="Arial"/>
          <w:sz w:val="13"/>
          <w:szCs w:val="13"/>
          <w:color w:val="auto"/>
        </w:rPr>
        <w:t>Equity investments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left="1220"/>
        <w:spacing w:after="0"/>
        <w:rPr>
          <w:sz w:val="20"/>
          <w:szCs w:val="20"/>
          <w:color w:val="auto"/>
        </w:rPr>
      </w:pPr>
      <w:r>
        <w:rPr>
          <w:rFonts w:ascii="Arial" w:cs="Arial" w:eastAsia="Arial" w:hAnsi="Arial"/>
          <w:sz w:val="13"/>
          <w:szCs w:val="13"/>
          <w:b w:val="1"/>
          <w:bCs w:val="1"/>
          <w:color w:val="auto"/>
        </w:rPr>
        <w:t>Fair Value at March 31, 2014</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3"/>
                <w:szCs w:val="13"/>
                <w:b w:val="1"/>
                <w:bCs w:val="1"/>
                <w:color w:val="auto"/>
              </w:rPr>
              <w:t>Fair Value</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Level 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3"/>
                <w:szCs w:val="13"/>
                <w:b w:val="1"/>
                <w:bCs w:val="1"/>
                <w:color w:val="auto"/>
              </w:rPr>
              <w:t>Level 2</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2"/>
                <w:szCs w:val="12"/>
                <w:color w:val="auto"/>
              </w:rPr>
            </w:pPr>
          </w:p>
        </w:tc>
      </w:tr>
      <w:tr>
        <w:trPr>
          <w:trHeight w:val="131"/>
        </w:trPr>
        <w:tc>
          <w:tcPr>
            <w:tcW w:w="20" w:type="dxa"/>
            <w:vAlign w:val="bottom"/>
          </w:tcPr>
          <w:p>
            <w:pPr>
              <w:spacing w:after="0"/>
              <w:rPr>
                <w:sz w:val="11"/>
                <w:szCs w:val="11"/>
                <w:color w:val="auto"/>
              </w:rPr>
            </w:pPr>
          </w:p>
        </w:tc>
        <w:tc>
          <w:tcPr>
            <w:tcW w:w="78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91"/>
              </w:rPr>
              <w:t>$ 342,243,375</w:t>
            </w:r>
          </w:p>
        </w:tc>
        <w:tc>
          <w:tcPr>
            <w:tcW w:w="380" w:type="dxa"/>
            <w:vAlign w:val="bottom"/>
          </w:tcPr>
          <w:p>
            <w:pPr>
              <w:spacing w:after="0"/>
              <w:rPr>
                <w:sz w:val="11"/>
                <w:szCs w:val="11"/>
                <w:color w:val="auto"/>
              </w:rPr>
            </w:pPr>
          </w:p>
        </w:tc>
        <w:tc>
          <w:tcPr>
            <w:tcW w:w="1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ind w:left="340"/>
              <w:spacing w:after="0" w:line="131"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1"/>
                <w:szCs w:val="11"/>
                <w:color w:val="auto"/>
              </w:rPr>
            </w:pPr>
          </w:p>
        </w:tc>
        <w:tc>
          <w:tcPr>
            <w:tcW w:w="10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ind w:left="360"/>
              <w:spacing w:after="0" w:line="131"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Borders>
              <w:top w:val="single" w:sz="8" w:color="auto"/>
            </w:tcBorders>
          </w:tcPr>
          <w:p>
            <w:pPr>
              <w:jc w:val="right"/>
              <w:spacing w:after="0" w:line="131" w:lineRule="exact"/>
              <w:rPr>
                <w:sz w:val="20"/>
                <w:szCs w:val="20"/>
                <w:color w:val="auto"/>
              </w:rPr>
            </w:pPr>
            <w:r>
              <w:rPr>
                <w:rFonts w:ascii="Arial" w:cs="Arial" w:eastAsia="Arial" w:hAnsi="Arial"/>
                <w:sz w:val="13"/>
                <w:szCs w:val="13"/>
                <w:color w:val="auto"/>
                <w:w w:val="96"/>
              </w:rPr>
              <w:t>$ 342,243,375</w:t>
            </w:r>
          </w:p>
        </w:tc>
        <w:tc>
          <w:tcPr>
            <w:tcW w:w="20" w:type="dxa"/>
            <w:vAlign w:val="bottom"/>
          </w:tcPr>
          <w:p>
            <w:pPr>
              <w:spacing w:after="0"/>
              <w:rPr>
                <w:sz w:val="11"/>
                <w:szCs w:val="11"/>
                <w:color w:val="auto"/>
              </w:rPr>
            </w:pPr>
          </w:p>
        </w:tc>
      </w:tr>
      <w:tr>
        <w:trPr>
          <w:trHeight w:val="162"/>
        </w:trPr>
        <w:tc>
          <w:tcPr>
            <w:tcW w:w="800" w:type="dxa"/>
            <w:vAlign w:val="bottom"/>
            <w:gridSpan w:val="2"/>
          </w:tcPr>
          <w:p>
            <w:pPr>
              <w:jc w:val="right"/>
              <w:spacing w:after="0"/>
              <w:rPr>
                <w:sz w:val="20"/>
                <w:szCs w:val="20"/>
                <w:color w:val="auto"/>
              </w:rPr>
            </w:pPr>
            <w:r>
              <w:rPr>
                <w:rFonts w:ascii="Arial" w:cs="Arial" w:eastAsia="Arial" w:hAnsi="Arial"/>
                <w:sz w:val="13"/>
                <w:szCs w:val="13"/>
                <w:color w:val="auto"/>
              </w:rPr>
              <w:t>32,575,086</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ind w:left="360"/>
              <w:spacing w:after="0"/>
              <w:rPr>
                <w:sz w:val="20"/>
                <w:szCs w:val="20"/>
                <w:color w:val="auto"/>
              </w:rPr>
            </w:pPr>
            <w:r>
              <w:rPr>
                <w:rFonts w:ascii="Arial" w:cs="Arial" w:eastAsia="Arial" w:hAnsi="Arial"/>
                <w:sz w:val="13"/>
                <w:szCs w:val="13"/>
                <w:color w:val="auto"/>
              </w:rPr>
              <w:t>—</w:t>
            </w:r>
          </w:p>
        </w:tc>
        <w:tc>
          <w:tcPr>
            <w:tcW w:w="1040" w:type="dxa"/>
            <w:vAlign w:val="bottom"/>
            <w:gridSpan w:val="3"/>
          </w:tcPr>
          <w:p>
            <w:pPr>
              <w:jc w:val="right"/>
              <w:ind w:right="20"/>
              <w:spacing w:after="0"/>
              <w:rPr>
                <w:sz w:val="20"/>
                <w:szCs w:val="20"/>
                <w:color w:val="auto"/>
              </w:rPr>
            </w:pPr>
            <w:r>
              <w:rPr>
                <w:rFonts w:ascii="Arial" w:cs="Arial" w:eastAsia="Arial" w:hAnsi="Arial"/>
                <w:sz w:val="13"/>
                <w:szCs w:val="13"/>
                <w:color w:val="auto"/>
              </w:rPr>
              <w:t>32,575,086</w:t>
            </w:r>
          </w:p>
        </w:tc>
      </w:tr>
      <w:tr>
        <w:trPr>
          <w:trHeight w:val="162"/>
        </w:trPr>
        <w:tc>
          <w:tcPr>
            <w:tcW w:w="800" w:type="dxa"/>
            <w:vAlign w:val="bottom"/>
            <w:gridSpan w:val="2"/>
          </w:tcPr>
          <w:p>
            <w:pPr>
              <w:jc w:val="right"/>
              <w:spacing w:after="0"/>
              <w:rPr>
                <w:sz w:val="20"/>
                <w:szCs w:val="20"/>
                <w:color w:val="auto"/>
              </w:rPr>
            </w:pPr>
            <w:r>
              <w:rPr>
                <w:rFonts w:ascii="Arial" w:cs="Arial" w:eastAsia="Arial" w:hAnsi="Arial"/>
                <w:sz w:val="13"/>
                <w:szCs w:val="13"/>
                <w:color w:val="auto"/>
              </w:rPr>
              <w:t>12,739,529</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w w:val="93"/>
              </w:rPr>
              <w:t>5,879,460</w:t>
            </w:r>
          </w:p>
        </w:tc>
        <w:tc>
          <w:tcPr>
            <w:tcW w:w="1040" w:type="dxa"/>
            <w:vAlign w:val="bottom"/>
            <w:gridSpan w:val="3"/>
          </w:tcPr>
          <w:p>
            <w:pPr>
              <w:jc w:val="right"/>
              <w:ind w:right="20"/>
              <w:spacing w:after="0"/>
              <w:rPr>
                <w:sz w:val="20"/>
                <w:szCs w:val="20"/>
                <w:color w:val="auto"/>
              </w:rPr>
            </w:pPr>
            <w:r>
              <w:rPr>
                <w:rFonts w:ascii="Arial" w:cs="Arial" w:eastAsia="Arial" w:hAnsi="Arial"/>
                <w:sz w:val="13"/>
                <w:szCs w:val="13"/>
                <w:color w:val="auto"/>
              </w:rPr>
              <w:t>6,860,069</w:t>
            </w:r>
          </w:p>
        </w:tc>
      </w:tr>
      <w:tr>
        <w:trPr>
          <w:trHeight w:val="159"/>
        </w:trPr>
        <w:tc>
          <w:tcPr>
            <w:tcW w:w="800" w:type="dxa"/>
            <w:vAlign w:val="bottom"/>
            <w:gridSpan w:val="2"/>
          </w:tcPr>
          <w:p>
            <w:pPr>
              <w:jc w:val="right"/>
              <w:spacing w:after="0"/>
              <w:rPr>
                <w:sz w:val="20"/>
                <w:szCs w:val="20"/>
                <w:color w:val="auto"/>
              </w:rPr>
            </w:pPr>
            <w:r>
              <w:rPr>
                <w:rFonts w:ascii="Arial" w:cs="Arial" w:eastAsia="Arial" w:hAnsi="Arial"/>
                <w:sz w:val="13"/>
                <w:szCs w:val="13"/>
                <w:color w:val="auto"/>
              </w:rPr>
              <w:t>1,650,443</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ind w:left="3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102,658</w:t>
            </w:r>
          </w:p>
        </w:tc>
        <w:tc>
          <w:tcPr>
            <w:tcW w:w="1040" w:type="dxa"/>
            <w:vAlign w:val="bottom"/>
            <w:gridSpan w:val="3"/>
          </w:tcPr>
          <w:p>
            <w:pPr>
              <w:jc w:val="right"/>
              <w:ind w:right="20"/>
              <w:spacing w:after="0"/>
              <w:rPr>
                <w:sz w:val="20"/>
                <w:szCs w:val="20"/>
                <w:color w:val="auto"/>
              </w:rPr>
            </w:pPr>
            <w:r>
              <w:rPr>
                <w:rFonts w:ascii="Arial" w:cs="Arial" w:eastAsia="Arial" w:hAnsi="Arial"/>
                <w:sz w:val="13"/>
                <w:szCs w:val="13"/>
                <w:color w:val="auto"/>
              </w:rPr>
              <w:t>1,547,785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-401955</wp:posOffset>
            </wp:positionV>
            <wp:extent cx="71323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-205105</wp:posOffset>
            </wp:positionV>
            <wp:extent cx="7132320" cy="1028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340" w:space="720"/>
            <w:col w:w="418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7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060" w:type="dxa"/>
            <w:vAlign w:val="bottom"/>
            <w:shd w:val="clear" w:color="auto" w:fill="CCEEFF"/>
          </w:tcPr>
          <w:p>
            <w:pPr>
              <w:ind w:left="440"/>
              <w:spacing w:after="0" w:line="136" w:lineRule="exact"/>
              <w:rPr>
                <w:sz w:val="20"/>
                <w:szCs w:val="20"/>
                <w:color w:val="auto"/>
              </w:rPr>
            </w:pPr>
            <w:r>
              <w:rPr>
                <w:rFonts w:ascii="Arial" w:cs="Arial" w:eastAsia="Arial" w:hAnsi="Arial"/>
                <w:sz w:val="13"/>
                <w:szCs w:val="13"/>
                <w:color w:val="auto"/>
              </w:rPr>
              <w:t>Total investments</w:t>
            </w:r>
          </w:p>
        </w:tc>
        <w:tc>
          <w:tcPr>
            <w:tcW w:w="8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389,208,433</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w w:val="93"/>
              </w:rPr>
              <w:t>5,982,118</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6"/>
              </w:rPr>
              <w:t>383,226,315</w:t>
            </w:r>
          </w:p>
        </w:tc>
        <w:tc>
          <w:tcPr>
            <w:tcW w:w="0" w:type="dxa"/>
            <w:vAlign w:val="bottom"/>
          </w:tcPr>
          <w:p>
            <w:pPr>
              <w:spacing w:after="0"/>
              <w:rPr>
                <w:sz w:val="1"/>
                <w:szCs w:val="1"/>
                <w:color w:val="auto"/>
              </w:rPr>
            </w:pPr>
          </w:p>
        </w:tc>
      </w:tr>
      <w:tr>
        <w:trPr>
          <w:trHeight w:val="163"/>
        </w:trPr>
        <w:tc>
          <w:tcPr>
            <w:tcW w:w="7060" w:type="dxa"/>
            <w:vAlign w:val="bottom"/>
          </w:tcPr>
          <w:p>
            <w:pPr>
              <w:spacing w:after="0"/>
              <w:rPr>
                <w:sz w:val="20"/>
                <w:szCs w:val="20"/>
                <w:color w:val="auto"/>
              </w:rPr>
            </w:pPr>
            <w:r>
              <w:rPr>
                <w:rFonts w:ascii="Arial" w:cs="Arial" w:eastAsia="Arial" w:hAnsi="Arial"/>
                <w:sz w:val="13"/>
                <w:szCs w:val="13"/>
                <w:color w:val="auto"/>
              </w:rPr>
              <w:t>Cash equivalents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5,080,140</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5,080,140</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70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investments and cash equivalents</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$ 394,288,573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5,080,140</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3"/>
              </w:rPr>
              <w:t>5,982,118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383,226,315</w:t>
            </w:r>
          </w:p>
        </w:tc>
        <w:tc>
          <w:tcPr>
            <w:tcW w:w="0" w:type="dxa"/>
            <w:vAlign w:val="bottom"/>
          </w:tcPr>
          <w:p>
            <w:pPr>
              <w:spacing w:after="0"/>
              <w:rPr>
                <w:sz w:val="1"/>
                <w:szCs w:val="1"/>
                <w:color w:val="auto"/>
              </w:rPr>
            </w:pPr>
          </w:p>
        </w:tc>
      </w:tr>
      <w:tr>
        <w:trPr>
          <w:trHeight w:val="20"/>
        </w:trPr>
        <w:tc>
          <w:tcPr>
            <w:tcW w:w="7060" w:type="dxa"/>
            <w:vAlign w:val="bottom"/>
            <w:vMerge w:val="restart"/>
          </w:tcPr>
          <w:p>
            <w:pPr>
              <w:spacing w:after="0"/>
              <w:rPr>
                <w:sz w:val="20"/>
                <w:szCs w:val="20"/>
                <w:color w:val="auto"/>
              </w:rPr>
            </w:pPr>
            <w:r>
              <w:rPr>
                <w:rFonts w:ascii="Arial" w:cs="Arial" w:eastAsia="Arial" w:hAnsi="Arial"/>
                <w:sz w:val="13"/>
                <w:szCs w:val="13"/>
                <w:color w:val="auto"/>
              </w:rPr>
              <w:t>Long-Term Credit Facility</w:t>
            </w: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060" w:type="dxa"/>
            <w:vAlign w:val="bottom"/>
            <w:vMerge w:val="continue"/>
          </w:tcPr>
          <w:p>
            <w:pPr>
              <w:spacing w:after="0"/>
              <w:rPr>
                <w:sz w:val="12"/>
                <w:szCs w:val="12"/>
                <w:color w:val="auto"/>
              </w:rPr>
            </w:pPr>
          </w:p>
        </w:tc>
        <w:tc>
          <w:tcPr>
            <w:tcW w:w="800" w:type="dxa"/>
            <w:vAlign w:val="bottom"/>
          </w:tcPr>
          <w:p>
            <w:pPr>
              <w:jc w:val="right"/>
              <w:spacing w:after="0" w:line="143" w:lineRule="exact"/>
              <w:rPr>
                <w:sz w:val="20"/>
                <w:szCs w:val="20"/>
                <w:color w:val="auto"/>
              </w:rPr>
            </w:pPr>
            <w:r>
              <w:rPr>
                <w:rFonts w:ascii="Arial" w:cs="Arial" w:eastAsia="Arial" w:hAnsi="Arial"/>
                <w:sz w:val="13"/>
                <w:szCs w:val="13"/>
                <w:color w:val="auto"/>
                <w:w w:val="93"/>
              </w:rPr>
              <w:t>$ 173,200,000</w:t>
            </w: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60" w:type="dxa"/>
            <w:vAlign w:val="bottom"/>
            <w:gridSpan w:val="2"/>
          </w:tcPr>
          <w:p>
            <w:pPr>
              <w:ind w:left="360"/>
              <w:spacing w:after="0" w:line="143"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w w:val="96"/>
              </w:rPr>
              <w:t>173,200,000</w:t>
            </w:r>
          </w:p>
        </w:tc>
        <w:tc>
          <w:tcPr>
            <w:tcW w:w="0" w:type="dxa"/>
            <w:vAlign w:val="bottom"/>
          </w:tcPr>
          <w:p>
            <w:pPr>
              <w:spacing w:after="0"/>
              <w:rPr>
                <w:sz w:val="1"/>
                <w:szCs w:val="1"/>
                <w:color w:val="auto"/>
              </w:rPr>
            </w:pPr>
          </w:p>
        </w:tc>
      </w:tr>
      <w:tr>
        <w:trPr>
          <w:trHeight w:val="20"/>
        </w:trPr>
        <w:tc>
          <w:tcPr>
            <w:tcW w:w="70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59" w:right="339"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Descriptio</w:t>
      </w:r>
      <w:r>
        <w:rPr>
          <w:rFonts w:ascii="Arial" w:cs="Arial" w:eastAsia="Arial" w:hAnsi="Arial"/>
          <w:sz w:val="13"/>
          <w:szCs w:val="13"/>
          <w:b w:val="1"/>
          <w:bCs w:val="1"/>
          <w:color w:val="auto"/>
        </w:rPr>
        <w:t>n</w:t>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Debt investments (First lien)</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Debt investments (Second lien)</w:t>
      </w:r>
    </w:p>
    <w:p>
      <w:pPr>
        <w:spacing w:after="0" w:line="13" w:lineRule="exact"/>
        <w:rPr>
          <w:sz w:val="20"/>
          <w:szCs w:val="20"/>
          <w:color w:val="auto"/>
        </w:rPr>
      </w:pPr>
    </w:p>
    <w:p>
      <w:pPr>
        <w:spacing w:after="0"/>
        <w:rPr>
          <w:sz w:val="20"/>
          <w:szCs w:val="20"/>
          <w:color w:val="auto"/>
        </w:rPr>
      </w:pPr>
      <w:r>
        <w:rPr>
          <w:rFonts w:ascii="Arial" w:cs="Arial" w:eastAsia="Arial" w:hAnsi="Arial"/>
          <w:sz w:val="12"/>
          <w:szCs w:val="12"/>
          <w:color w:val="auto"/>
        </w:rPr>
        <w:t>Debt investments (Subordinated debt / corporate notes)</w:t>
      </w:r>
    </w:p>
    <w:p>
      <w:pPr>
        <w:spacing w:after="0" w:line="24" w:lineRule="exact"/>
        <w:rPr>
          <w:sz w:val="20"/>
          <w:szCs w:val="20"/>
          <w:color w:val="auto"/>
        </w:rPr>
      </w:pPr>
    </w:p>
    <w:p>
      <w:pPr>
        <w:spacing w:after="0"/>
        <w:rPr>
          <w:sz w:val="20"/>
          <w:szCs w:val="20"/>
          <w:color w:val="auto"/>
        </w:rPr>
      </w:pPr>
      <w:r>
        <w:rPr>
          <w:rFonts w:ascii="Arial" w:cs="Arial" w:eastAsia="Arial" w:hAnsi="Arial"/>
          <w:sz w:val="13"/>
          <w:szCs w:val="13"/>
          <w:color w:val="auto"/>
        </w:rPr>
        <w:t>Equity investments</w:t>
      </w:r>
    </w:p>
    <w:p>
      <w:pPr>
        <w:spacing w:after="0" w:line="20" w:lineRule="exact"/>
        <w:rPr>
          <w:sz w:val="20"/>
          <w:szCs w:val="20"/>
          <w:color w:val="auto"/>
        </w:rPr>
      </w:pPr>
      <w:r>
        <w:rPr>
          <w:sz w:val="20"/>
          <w:szCs w:val="20"/>
          <w:color w:val="auto"/>
        </w:rPr>
        <w:br w:type="column"/>
      </w:r>
    </w:p>
    <w:p>
      <w:pPr>
        <w:ind w:left="1100"/>
        <w:spacing w:after="0"/>
        <w:rPr>
          <w:sz w:val="20"/>
          <w:szCs w:val="20"/>
          <w:color w:val="auto"/>
        </w:rPr>
      </w:pPr>
      <w:r>
        <w:rPr>
          <w:rFonts w:ascii="Arial" w:cs="Arial" w:eastAsia="Arial" w:hAnsi="Arial"/>
          <w:sz w:val="13"/>
          <w:szCs w:val="13"/>
          <w:b w:val="1"/>
          <w:bCs w:val="1"/>
          <w:color w:val="auto"/>
        </w:rPr>
        <w:t>Fair Value at September 30, 2013</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1160" w:type="dxa"/>
            <w:vAlign w:val="bottom"/>
            <w:tcBorders>
              <w:top w:val="single" w:sz="8" w:color="auto"/>
            </w:tcBorders>
            <w:gridSpan w:val="2"/>
          </w:tcPr>
          <w:p>
            <w:pPr>
              <w:ind w:left="80"/>
              <w:spacing w:after="0" w:line="142" w:lineRule="exact"/>
              <w:rPr>
                <w:sz w:val="20"/>
                <w:szCs w:val="20"/>
                <w:color w:val="auto"/>
              </w:rPr>
            </w:pPr>
            <w:r>
              <w:rPr>
                <w:rFonts w:ascii="Arial" w:cs="Arial" w:eastAsia="Arial" w:hAnsi="Arial"/>
                <w:sz w:val="13"/>
                <w:szCs w:val="13"/>
                <w:b w:val="1"/>
                <w:bCs w:val="1"/>
                <w:color w:val="auto"/>
              </w:rPr>
              <w:t>Fair Value</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3"/>
                <w:szCs w:val="13"/>
                <w:b w:val="1"/>
                <w:bCs w:val="1"/>
                <w:color w:val="auto"/>
              </w:rPr>
              <w:t>Level 1</w:t>
            </w:r>
          </w:p>
        </w:tc>
        <w:tc>
          <w:tcPr>
            <w:tcW w:w="3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3"/>
                <w:szCs w:val="13"/>
                <w:b w:val="1"/>
                <w:bCs w:val="1"/>
                <w:color w:val="auto"/>
                <w:w w:val="95"/>
              </w:rPr>
              <w:t>Level 2</w:t>
            </w: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133"/>
              <w:spacing w:after="0" w:line="142" w:lineRule="exact"/>
              <w:rPr>
                <w:sz w:val="20"/>
                <w:szCs w:val="20"/>
                <w:color w:val="auto"/>
              </w:rPr>
            </w:pPr>
            <w:r>
              <w:rPr>
                <w:rFonts w:ascii="Arial" w:cs="Arial" w:eastAsia="Arial" w:hAnsi="Arial"/>
                <w:sz w:val="13"/>
                <w:szCs w:val="13"/>
                <w:b w:val="1"/>
                <w:bCs w:val="1"/>
                <w:color w:val="auto"/>
              </w:rPr>
              <w:t>Level 3</w:t>
            </w:r>
          </w:p>
        </w:tc>
        <w:tc>
          <w:tcPr>
            <w:tcW w:w="20" w:type="dxa"/>
            <w:vAlign w:val="bottom"/>
          </w:tcPr>
          <w:p>
            <w:pPr>
              <w:spacing w:after="0"/>
              <w:rPr>
                <w:sz w:val="12"/>
                <w:szCs w:val="12"/>
                <w:color w:val="auto"/>
              </w:rPr>
            </w:pPr>
          </w:p>
        </w:tc>
      </w:tr>
      <w:tr>
        <w:trPr>
          <w:trHeight w:val="145"/>
        </w:trPr>
        <w:tc>
          <w:tcPr>
            <w:tcW w:w="20" w:type="dxa"/>
            <w:vAlign w:val="bottom"/>
          </w:tcPr>
          <w:p>
            <w:pPr>
              <w:spacing w:after="0"/>
              <w:rPr>
                <w:sz w:val="12"/>
                <w:szCs w:val="12"/>
                <w:color w:val="auto"/>
              </w:rPr>
            </w:pPr>
          </w:p>
        </w:tc>
        <w:tc>
          <w:tcPr>
            <w:tcW w:w="78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w w:val="91"/>
              </w:rPr>
              <w:t>$ 281,046,248</w:t>
            </w:r>
          </w:p>
        </w:tc>
        <w:tc>
          <w:tcPr>
            <w:tcW w:w="380" w:type="dxa"/>
            <w:vAlign w:val="bottom"/>
          </w:tcPr>
          <w:p>
            <w:pPr>
              <w:spacing w:after="0"/>
              <w:rPr>
                <w:sz w:val="12"/>
                <w:szCs w:val="12"/>
                <w:color w:val="auto"/>
              </w:rPr>
            </w:pPr>
          </w:p>
        </w:tc>
        <w:tc>
          <w:tcPr>
            <w:tcW w:w="1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ind w:left="340"/>
              <w:spacing w:after="0" w:line="145" w:lineRule="exact"/>
              <w:rPr>
                <w:sz w:val="20"/>
                <w:szCs w:val="20"/>
                <w:color w:val="auto"/>
              </w:rPr>
            </w:pPr>
            <w:r>
              <w:rPr>
                <w:rFonts w:ascii="Arial" w:cs="Arial" w:eastAsia="Arial" w:hAnsi="Arial"/>
                <w:sz w:val="13"/>
                <w:szCs w:val="13"/>
                <w:color w:val="auto"/>
              </w:rPr>
              <w:t>—</w:t>
            </w:r>
          </w:p>
        </w:tc>
        <w:tc>
          <w:tcPr>
            <w:tcW w:w="380" w:type="dxa"/>
            <w:vAlign w:val="bottom"/>
          </w:tcPr>
          <w:p>
            <w:pPr>
              <w:spacing w:after="0"/>
              <w:rPr>
                <w:sz w:val="12"/>
                <w:szCs w:val="12"/>
                <w:color w:val="auto"/>
              </w:rPr>
            </w:pPr>
          </w:p>
        </w:tc>
        <w:tc>
          <w:tcPr>
            <w:tcW w:w="10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w w:val="82"/>
              </w:rPr>
              <w:t>$</w:t>
            </w:r>
          </w:p>
        </w:tc>
        <w:tc>
          <w:tcPr>
            <w:tcW w:w="56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Borders>
              <w:top w:val="single" w:sz="8" w:color="auto"/>
            </w:tcBorders>
          </w:tcPr>
          <w:p>
            <w:pPr>
              <w:jc w:val="right"/>
              <w:spacing w:after="0" w:line="145" w:lineRule="exact"/>
              <w:rPr>
                <w:sz w:val="20"/>
                <w:szCs w:val="20"/>
                <w:color w:val="auto"/>
              </w:rPr>
            </w:pPr>
            <w:r>
              <w:rPr>
                <w:rFonts w:ascii="Arial" w:cs="Arial" w:eastAsia="Arial" w:hAnsi="Arial"/>
                <w:sz w:val="13"/>
                <w:szCs w:val="13"/>
                <w:color w:val="auto"/>
                <w:w w:val="96"/>
              </w:rPr>
              <w:t>$ 281,046,248</w:t>
            </w:r>
          </w:p>
        </w:tc>
        <w:tc>
          <w:tcPr>
            <w:tcW w:w="20" w:type="dxa"/>
            <w:vAlign w:val="bottom"/>
          </w:tcPr>
          <w:p>
            <w:pPr>
              <w:spacing w:after="0"/>
              <w:rPr>
                <w:sz w:val="12"/>
                <w:szCs w:val="12"/>
                <w:color w:val="auto"/>
              </w:rPr>
            </w:pPr>
          </w:p>
        </w:tc>
      </w:tr>
      <w:tr>
        <w:trPr>
          <w:trHeight w:val="162"/>
        </w:trPr>
        <w:tc>
          <w:tcPr>
            <w:tcW w:w="800" w:type="dxa"/>
            <w:vAlign w:val="bottom"/>
            <w:gridSpan w:val="2"/>
          </w:tcPr>
          <w:p>
            <w:pPr>
              <w:jc w:val="right"/>
              <w:spacing w:after="0"/>
              <w:rPr>
                <w:sz w:val="20"/>
                <w:szCs w:val="20"/>
                <w:color w:val="auto"/>
              </w:rPr>
            </w:pPr>
            <w:r>
              <w:rPr>
                <w:rFonts w:ascii="Arial" w:cs="Arial" w:eastAsia="Arial" w:hAnsi="Arial"/>
                <w:sz w:val="13"/>
                <w:szCs w:val="13"/>
                <w:color w:val="auto"/>
              </w:rPr>
              <w:t>27,499,315</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w w:val="93"/>
              </w:rPr>
              <w:t>1,635,000</w:t>
            </w:r>
          </w:p>
        </w:tc>
        <w:tc>
          <w:tcPr>
            <w:tcW w:w="1040" w:type="dxa"/>
            <w:vAlign w:val="bottom"/>
            <w:gridSpan w:val="3"/>
          </w:tcPr>
          <w:p>
            <w:pPr>
              <w:jc w:val="right"/>
              <w:ind w:right="20"/>
              <w:spacing w:after="0"/>
              <w:rPr>
                <w:sz w:val="20"/>
                <w:szCs w:val="20"/>
                <w:color w:val="auto"/>
              </w:rPr>
            </w:pPr>
            <w:r>
              <w:rPr>
                <w:rFonts w:ascii="Arial" w:cs="Arial" w:eastAsia="Arial" w:hAnsi="Arial"/>
                <w:sz w:val="13"/>
                <w:szCs w:val="13"/>
                <w:color w:val="auto"/>
              </w:rPr>
              <w:t>25,864,315</w:t>
            </w:r>
          </w:p>
        </w:tc>
      </w:tr>
      <w:tr>
        <w:trPr>
          <w:trHeight w:val="162"/>
        </w:trPr>
        <w:tc>
          <w:tcPr>
            <w:tcW w:w="800" w:type="dxa"/>
            <w:vAlign w:val="bottom"/>
            <w:gridSpan w:val="2"/>
          </w:tcPr>
          <w:p>
            <w:pPr>
              <w:jc w:val="right"/>
              <w:spacing w:after="0"/>
              <w:rPr>
                <w:sz w:val="20"/>
                <w:szCs w:val="20"/>
                <w:color w:val="auto"/>
              </w:rPr>
            </w:pPr>
            <w:r>
              <w:rPr>
                <w:rFonts w:ascii="Arial" w:cs="Arial" w:eastAsia="Arial" w:hAnsi="Arial"/>
                <w:sz w:val="13"/>
                <w:szCs w:val="13"/>
                <w:color w:val="auto"/>
              </w:rPr>
              <w:t>9,003,170</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ind w:left="3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w w:val="93"/>
              </w:rPr>
              <w:t>2,357,500</w:t>
            </w:r>
          </w:p>
        </w:tc>
        <w:tc>
          <w:tcPr>
            <w:tcW w:w="1040" w:type="dxa"/>
            <w:vAlign w:val="bottom"/>
            <w:gridSpan w:val="3"/>
          </w:tcPr>
          <w:p>
            <w:pPr>
              <w:jc w:val="right"/>
              <w:ind w:right="20"/>
              <w:spacing w:after="0"/>
              <w:rPr>
                <w:sz w:val="20"/>
                <w:szCs w:val="20"/>
                <w:color w:val="auto"/>
              </w:rPr>
            </w:pPr>
            <w:r>
              <w:rPr>
                <w:rFonts w:ascii="Arial" w:cs="Arial" w:eastAsia="Arial" w:hAnsi="Arial"/>
                <w:sz w:val="13"/>
                <w:szCs w:val="13"/>
                <w:color w:val="auto"/>
              </w:rPr>
              <w:t>6,645,670</w:t>
            </w:r>
          </w:p>
        </w:tc>
      </w:tr>
      <w:tr>
        <w:trPr>
          <w:trHeight w:val="159"/>
        </w:trPr>
        <w:tc>
          <w:tcPr>
            <w:tcW w:w="800" w:type="dxa"/>
            <w:vAlign w:val="bottom"/>
            <w:gridSpan w:val="2"/>
          </w:tcPr>
          <w:p>
            <w:pPr>
              <w:jc w:val="right"/>
              <w:spacing w:after="0"/>
              <w:rPr>
                <w:sz w:val="20"/>
                <w:szCs w:val="20"/>
                <w:color w:val="auto"/>
              </w:rPr>
            </w:pPr>
            <w:r>
              <w:rPr>
                <w:rFonts w:ascii="Arial" w:cs="Arial" w:eastAsia="Arial" w:hAnsi="Arial"/>
                <w:sz w:val="13"/>
                <w:szCs w:val="13"/>
                <w:color w:val="auto"/>
              </w:rPr>
              <w:t>255,161</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ind w:left="3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66,926</w:t>
            </w:r>
          </w:p>
        </w:tc>
        <w:tc>
          <w:tcPr>
            <w:tcW w:w="1040" w:type="dxa"/>
            <w:vAlign w:val="bottom"/>
            <w:gridSpan w:val="3"/>
          </w:tcPr>
          <w:p>
            <w:pPr>
              <w:jc w:val="right"/>
              <w:ind w:right="20"/>
              <w:spacing w:after="0"/>
              <w:rPr>
                <w:sz w:val="20"/>
                <w:szCs w:val="20"/>
                <w:color w:val="auto"/>
              </w:rPr>
            </w:pPr>
            <w:r>
              <w:rPr>
                <w:rFonts w:ascii="Arial" w:cs="Arial" w:eastAsia="Arial" w:hAnsi="Arial"/>
                <w:sz w:val="13"/>
                <w:szCs w:val="13"/>
                <w:color w:val="auto"/>
              </w:rPr>
              <w:t>188,235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-4477385</wp:posOffset>
            </wp:positionH>
            <wp:positionV relativeFrom="paragraph">
              <wp:posOffset>-410845</wp:posOffset>
            </wp:positionV>
            <wp:extent cx="7132320" cy="1028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drawing>
          <wp:anchor simplePos="0" relativeHeight="251657728" behindDoc="1" locked="0" layoutInCell="0" allowOverlap="1">
            <wp:simplePos x="0" y="0"/>
            <wp:positionH relativeFrom="column">
              <wp:posOffset>-4477385</wp:posOffset>
            </wp:positionH>
            <wp:positionV relativeFrom="paragraph">
              <wp:posOffset>-205105</wp:posOffset>
            </wp:positionV>
            <wp:extent cx="7132320" cy="1028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6340" w:space="720"/>
            <w:col w:w="4180"/>
          </w:cols>
          <w:pgMar w:left="320" w:top="45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060" w:type="dxa"/>
            <w:vAlign w:val="bottom"/>
            <w:shd w:val="clear" w:color="auto" w:fill="CCEEFF"/>
          </w:tcPr>
          <w:p>
            <w:pPr>
              <w:ind w:left="440"/>
              <w:spacing w:after="0" w:line="136" w:lineRule="exact"/>
              <w:rPr>
                <w:sz w:val="20"/>
                <w:szCs w:val="20"/>
                <w:color w:val="auto"/>
              </w:rPr>
            </w:pPr>
            <w:r>
              <w:rPr>
                <w:rFonts w:ascii="Arial" w:cs="Arial" w:eastAsia="Arial" w:hAnsi="Arial"/>
                <w:sz w:val="13"/>
                <w:szCs w:val="13"/>
                <w:color w:val="auto"/>
              </w:rPr>
              <w:t>Total investments</w:t>
            </w:r>
          </w:p>
        </w:tc>
        <w:tc>
          <w:tcPr>
            <w:tcW w:w="30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4"/>
              </w:rPr>
              <w:t>317,803,894</w:t>
            </w: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jc w:val="right"/>
              <w:ind w:right="13"/>
              <w:spacing w:after="0" w:line="136"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3"/>
                <w:szCs w:val="13"/>
                <w:color w:val="auto"/>
                <w:w w:val="93"/>
              </w:rPr>
              <w:t>4,059,426</w:t>
            </w: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80"/>
              <w:spacing w:after="0" w:line="136" w:lineRule="exact"/>
              <w:rPr>
                <w:sz w:val="20"/>
                <w:szCs w:val="20"/>
                <w:color w:val="auto"/>
              </w:rPr>
            </w:pPr>
            <w:r>
              <w:rPr>
                <w:rFonts w:ascii="Arial" w:cs="Arial" w:eastAsia="Arial" w:hAnsi="Arial"/>
                <w:sz w:val="13"/>
                <w:szCs w:val="13"/>
                <w:color w:val="auto"/>
                <w:w w:val="96"/>
              </w:rPr>
              <w:t>313,744,468</w:t>
            </w:r>
          </w:p>
        </w:tc>
        <w:tc>
          <w:tcPr>
            <w:tcW w:w="0" w:type="dxa"/>
            <w:vAlign w:val="bottom"/>
          </w:tcPr>
          <w:p>
            <w:pPr>
              <w:spacing w:after="0"/>
              <w:rPr>
                <w:sz w:val="1"/>
                <w:szCs w:val="1"/>
                <w:color w:val="auto"/>
              </w:rPr>
            </w:pPr>
          </w:p>
        </w:tc>
      </w:tr>
      <w:tr>
        <w:trPr>
          <w:trHeight w:val="163"/>
        </w:trPr>
        <w:tc>
          <w:tcPr>
            <w:tcW w:w="4060" w:type="dxa"/>
            <w:vAlign w:val="bottom"/>
          </w:tcPr>
          <w:p>
            <w:pPr>
              <w:spacing w:after="0"/>
              <w:rPr>
                <w:sz w:val="20"/>
                <w:szCs w:val="20"/>
                <w:color w:val="auto"/>
              </w:rPr>
            </w:pPr>
            <w:r>
              <w:rPr>
                <w:rFonts w:ascii="Arial" w:cs="Arial" w:eastAsia="Arial" w:hAnsi="Arial"/>
                <w:sz w:val="13"/>
                <w:szCs w:val="13"/>
                <w:color w:val="auto"/>
              </w:rPr>
              <w:t>Cash equivalents</w:t>
            </w:r>
          </w:p>
        </w:tc>
        <w:tc>
          <w:tcPr>
            <w:tcW w:w="30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4,578,249</w:t>
            </w:r>
          </w:p>
        </w:tc>
        <w:tc>
          <w:tcPr>
            <w:tcW w:w="38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93"/>
              </w:rPr>
              <w:t>4,578,249</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56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bottom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60" w:type="dxa"/>
            <w:vAlign w:val="bottom"/>
            <w:shd w:val="clear" w:color="auto" w:fill="CCEEFF"/>
          </w:tcPr>
          <w:p>
            <w:pPr>
              <w:ind w:left="440"/>
              <w:spacing w:after="0"/>
              <w:rPr>
                <w:sz w:val="20"/>
                <w:szCs w:val="20"/>
                <w:color w:val="auto"/>
              </w:rPr>
            </w:pPr>
            <w:r>
              <w:rPr>
                <w:rFonts w:ascii="Arial" w:cs="Arial" w:eastAsia="Arial" w:hAnsi="Arial"/>
                <w:sz w:val="13"/>
                <w:szCs w:val="13"/>
                <w:color w:val="auto"/>
              </w:rPr>
              <w:t>Total investments and cash equivalents</w:t>
            </w:r>
          </w:p>
        </w:tc>
        <w:tc>
          <w:tcPr>
            <w:tcW w:w="30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322,382,143</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4,578,249</w:t>
            </w: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w w:val="93"/>
              </w:rPr>
              <w:t>4,059,426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w w:val="96"/>
              </w:rPr>
              <w:t>313,744,468</w:t>
            </w:r>
          </w:p>
        </w:tc>
        <w:tc>
          <w:tcPr>
            <w:tcW w:w="0" w:type="dxa"/>
            <w:vAlign w:val="bottom"/>
          </w:tcPr>
          <w:p>
            <w:pPr>
              <w:spacing w:after="0"/>
              <w:rPr>
                <w:sz w:val="1"/>
                <w:szCs w:val="1"/>
                <w:color w:val="auto"/>
              </w:rPr>
            </w:pPr>
          </w:p>
        </w:tc>
      </w:tr>
      <w:tr>
        <w:trPr>
          <w:trHeight w:val="20"/>
        </w:trPr>
        <w:tc>
          <w:tcPr>
            <w:tcW w:w="4060" w:type="dxa"/>
            <w:vAlign w:val="bottom"/>
            <w:vMerge w:val="restart"/>
          </w:tcPr>
          <w:p>
            <w:pPr>
              <w:spacing w:after="0"/>
              <w:rPr>
                <w:sz w:val="20"/>
                <w:szCs w:val="20"/>
                <w:color w:val="auto"/>
              </w:rPr>
            </w:pPr>
            <w:r>
              <w:rPr>
                <w:rFonts w:ascii="Arial" w:cs="Arial" w:eastAsia="Arial" w:hAnsi="Arial"/>
                <w:sz w:val="13"/>
                <w:szCs w:val="13"/>
                <w:color w:val="auto"/>
              </w:rPr>
              <w:t>Long-Term Credit Facility</w:t>
            </w:r>
          </w:p>
        </w:tc>
        <w:tc>
          <w:tcPr>
            <w:tcW w:w="3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060" w:type="dxa"/>
            <w:vAlign w:val="bottom"/>
            <w:vMerge w:val="continue"/>
          </w:tcPr>
          <w:p>
            <w:pPr>
              <w:spacing w:after="0"/>
              <w:rPr>
                <w:sz w:val="12"/>
                <w:szCs w:val="12"/>
                <w:color w:val="auto"/>
              </w:rPr>
            </w:pPr>
          </w:p>
        </w:tc>
        <w:tc>
          <w:tcPr>
            <w:tcW w:w="31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00" w:type="dxa"/>
            <w:vAlign w:val="bottom"/>
          </w:tcPr>
          <w:p>
            <w:pPr>
              <w:jc w:val="right"/>
              <w:spacing w:after="0" w:line="143" w:lineRule="exact"/>
              <w:rPr>
                <w:sz w:val="20"/>
                <w:szCs w:val="20"/>
                <w:color w:val="auto"/>
              </w:rPr>
            </w:pPr>
            <w:r>
              <w:rPr>
                <w:rFonts w:ascii="Arial" w:cs="Arial" w:eastAsia="Arial" w:hAnsi="Arial"/>
                <w:sz w:val="13"/>
                <w:szCs w:val="13"/>
                <w:color w:val="auto"/>
              </w:rPr>
              <w:t>99,600,000</w:t>
            </w:r>
          </w:p>
        </w:tc>
        <w:tc>
          <w:tcPr>
            <w:tcW w:w="48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40" w:type="dxa"/>
            <w:vAlign w:val="bottom"/>
            <w:gridSpan w:val="2"/>
          </w:tcPr>
          <w:p>
            <w:pPr>
              <w:jc w:val="right"/>
              <w:ind w:right="260"/>
              <w:spacing w:after="0" w:line="143"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line="143" w:lineRule="exact"/>
              <w:rPr>
                <w:sz w:val="20"/>
                <w:szCs w:val="20"/>
                <w:color w:val="auto"/>
              </w:rPr>
            </w:pPr>
            <w:r>
              <w:rPr>
                <w:rFonts w:ascii="Arial" w:cs="Arial" w:eastAsia="Arial" w:hAnsi="Arial"/>
                <w:sz w:val="13"/>
                <w:szCs w:val="13"/>
                <w:color w:val="auto"/>
              </w:rPr>
              <w:t>$</w:t>
            </w:r>
          </w:p>
        </w:tc>
        <w:tc>
          <w:tcPr>
            <w:tcW w:w="760" w:type="dxa"/>
            <w:vAlign w:val="bottom"/>
            <w:gridSpan w:val="2"/>
          </w:tcPr>
          <w:p>
            <w:pPr>
              <w:ind w:left="360"/>
              <w:spacing w:after="0" w:line="143" w:lineRule="exact"/>
              <w:rPr>
                <w:sz w:val="20"/>
                <w:szCs w:val="20"/>
                <w:color w:val="auto"/>
              </w:rPr>
            </w:pPr>
            <w:r>
              <w:rPr>
                <w:rFonts w:ascii="Arial" w:cs="Arial" w:eastAsia="Arial" w:hAnsi="Arial"/>
                <w:sz w:val="13"/>
                <w:szCs w:val="13"/>
                <w:color w:val="auto"/>
              </w:rPr>
              <w:t>—</w:t>
            </w:r>
          </w:p>
        </w:tc>
        <w:tc>
          <w:tcPr>
            <w:tcW w:w="300" w:type="dxa"/>
            <w:vAlign w:val="bottom"/>
            <w:gridSpan w:val="2"/>
          </w:tcPr>
          <w:p>
            <w:pPr>
              <w:jc w:val="right"/>
              <w:ind w:right="40"/>
              <w:spacing w:after="0" w:line="143" w:lineRule="exact"/>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80"/>
              <w:spacing w:after="0" w:line="143" w:lineRule="exact"/>
              <w:rPr>
                <w:sz w:val="20"/>
                <w:szCs w:val="20"/>
                <w:color w:val="auto"/>
              </w:rPr>
            </w:pPr>
            <w:r>
              <w:rPr>
                <w:rFonts w:ascii="Arial" w:cs="Arial" w:eastAsia="Arial" w:hAnsi="Arial"/>
                <w:sz w:val="13"/>
                <w:szCs w:val="13"/>
                <w:color w:val="auto"/>
              </w:rPr>
              <w:t>99,600,000</w:t>
            </w: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3000" w:type="dxa"/>
            <w:vAlign w:val="bottom"/>
            <w:vMerge w:val="restart"/>
          </w:tcPr>
          <w:p>
            <w:pPr>
              <w:jc w:val="right"/>
              <w:ind w:right="1293"/>
              <w:spacing w:after="0"/>
              <w:rPr>
                <w:sz w:val="20"/>
                <w:szCs w:val="20"/>
                <w:color w:val="auto"/>
              </w:rPr>
            </w:pPr>
            <w:r>
              <w:rPr>
                <w:rFonts w:ascii="Arial" w:cs="Arial" w:eastAsia="Arial" w:hAnsi="Arial"/>
                <w:sz w:val="13"/>
                <w:szCs w:val="13"/>
                <w:color w:val="auto"/>
              </w:rPr>
              <w:t>16</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060" w:type="dxa"/>
            <w:vAlign w:val="bottom"/>
          </w:tcPr>
          <w:p>
            <w:pPr>
              <w:spacing w:after="0"/>
              <w:rPr>
                <w:sz w:val="24"/>
                <w:szCs w:val="24"/>
                <w:color w:val="auto"/>
              </w:rPr>
            </w:pPr>
          </w:p>
        </w:tc>
        <w:tc>
          <w:tcPr>
            <w:tcW w:w="30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spacing w:after="0"/>
        <w:rPr>
          <w:sz w:val="20"/>
          <w:szCs w:val="20"/>
          <w:color w:val="auto"/>
        </w:rPr>
      </w:pPr>
      <w:r>
        <w:rPr>
          <w:rFonts w:ascii="Arial" w:cs="Arial" w:eastAsia="Arial" w:hAnsi="Arial"/>
          <w:sz w:val="13"/>
          <w:szCs w:val="13"/>
          <w:b w:val="1"/>
          <w:bCs w:val="1"/>
          <w:color w:val="auto"/>
        </w:rPr>
        <w:t>MARCH 31, 2014</w:t>
      </w:r>
    </w:p>
    <w:p>
      <w:pPr>
        <w:jc w:val="center"/>
        <w:spacing w:after="0"/>
        <w:rPr>
          <w:sz w:val="20"/>
          <w:szCs w:val="20"/>
          <w:color w:val="auto"/>
        </w:rPr>
      </w:pPr>
      <w:r>
        <w:rPr>
          <w:rFonts w:ascii="Arial" w:cs="Arial" w:eastAsia="Arial" w:hAnsi="Arial"/>
          <w:sz w:val="13"/>
          <w:szCs w:val="13"/>
          <w:b w:val="1"/>
          <w:bCs w:val="1"/>
          <w:color w:val="auto"/>
        </w:rPr>
        <w:t>(Unaudited)</w:t>
      </w:r>
    </w:p>
    <w:p>
      <w:pPr>
        <w:spacing w:after="0" w:line="136"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following tables show a reconciliation of the beginning and ending balances for fair valued investments measured using significant unobservable inputs (Level 3):</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68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6"/>
          </w:tcPr>
          <w:p>
            <w:pPr>
              <w:jc w:val="center"/>
              <w:spacing w:after="0"/>
              <w:rPr>
                <w:sz w:val="20"/>
                <w:szCs w:val="20"/>
                <w:color w:val="auto"/>
              </w:rPr>
            </w:pPr>
            <w:r>
              <w:rPr>
                <w:rFonts w:ascii="Arial" w:cs="Arial" w:eastAsia="Arial" w:hAnsi="Arial"/>
                <w:sz w:val="13"/>
                <w:szCs w:val="13"/>
                <w:b w:val="1"/>
                <w:bCs w:val="1"/>
                <w:color w:val="auto"/>
                <w:w w:val="95"/>
              </w:rPr>
              <w:t>Six Months Ended March 31, 2014</w:t>
            </w: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center"/>
              <w:ind w:right="460"/>
              <w:spacing w:after="0" w:line="129" w:lineRule="exact"/>
              <w:rPr>
                <w:sz w:val="20"/>
                <w:szCs w:val="20"/>
                <w:color w:val="auto"/>
              </w:rPr>
            </w:pPr>
            <w:r>
              <w:rPr>
                <w:rFonts w:ascii="Arial" w:cs="Arial" w:eastAsia="Arial" w:hAnsi="Arial"/>
                <w:sz w:val="13"/>
                <w:szCs w:val="13"/>
                <w:b w:val="1"/>
                <w:bCs w:val="1"/>
                <w:color w:val="auto"/>
                <w:w w:val="88"/>
              </w:rPr>
              <w:t>Second lien,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center"/>
              <w:ind w:right="480"/>
              <w:spacing w:after="0"/>
              <w:rPr>
                <w:sz w:val="20"/>
                <w:szCs w:val="20"/>
                <w:color w:val="auto"/>
              </w:rPr>
            </w:pPr>
            <w:r>
              <w:rPr>
                <w:rFonts w:ascii="Arial" w:cs="Arial" w:eastAsia="Arial" w:hAnsi="Arial"/>
                <w:sz w:val="13"/>
                <w:szCs w:val="13"/>
                <w:b w:val="1"/>
                <w:bCs w:val="1"/>
                <w:color w:val="auto"/>
                <w:w w:val="93"/>
              </w:rPr>
              <w:t>subordinated debt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93"/>
              <w:spacing w:after="0" w:line="148" w:lineRule="exact"/>
              <w:rPr>
                <w:sz w:val="20"/>
                <w:szCs w:val="20"/>
                <w:color w:val="auto"/>
              </w:rPr>
            </w:pPr>
            <w:r>
              <w:rPr>
                <w:rFonts w:ascii="Arial" w:cs="Arial" w:eastAsia="Arial" w:hAnsi="Arial"/>
                <w:sz w:val="13"/>
                <w:szCs w:val="13"/>
                <w:b w:val="1"/>
                <w:bCs w:val="1"/>
                <w:color w:val="auto"/>
                <w:w w:val="99"/>
              </w:rPr>
              <w:t>First Lien</w:t>
            </w:r>
          </w:p>
        </w:tc>
        <w:tc>
          <w:tcPr>
            <w:tcW w:w="320" w:type="dxa"/>
            <w:vAlign w:val="bottom"/>
          </w:tcPr>
          <w:p>
            <w:pPr>
              <w:spacing w:after="0"/>
              <w:rPr>
                <w:sz w:val="12"/>
                <w:szCs w:val="12"/>
                <w:color w:val="auto"/>
              </w:rPr>
            </w:pPr>
          </w:p>
        </w:tc>
        <w:tc>
          <w:tcPr>
            <w:tcW w:w="1700" w:type="dxa"/>
            <w:vAlign w:val="bottom"/>
            <w:gridSpan w:val="4"/>
          </w:tcPr>
          <w:p>
            <w:pPr>
              <w:jc w:val="center"/>
              <w:ind w:right="340"/>
              <w:spacing w:after="0" w:line="148" w:lineRule="exact"/>
              <w:rPr>
                <w:sz w:val="20"/>
                <w:szCs w:val="20"/>
                <w:color w:val="auto"/>
              </w:rPr>
            </w:pPr>
            <w:r>
              <w:rPr>
                <w:rFonts w:ascii="Arial" w:cs="Arial" w:eastAsia="Arial" w:hAnsi="Arial"/>
                <w:sz w:val="13"/>
                <w:szCs w:val="13"/>
                <w:b w:val="1"/>
                <w:bCs w:val="1"/>
                <w:color w:val="auto"/>
                <w:w w:val="91"/>
              </w:rPr>
              <w:t>and equity investments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74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Beginning Balance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4"/>
              </w:rPr>
              <w:t>281,046,248</w:t>
            </w:r>
          </w:p>
        </w:tc>
        <w:tc>
          <w:tcPr>
            <w:tcW w:w="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126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32,698,220</w:t>
            </w:r>
          </w:p>
        </w:tc>
        <w:tc>
          <w:tcPr>
            <w:tcW w:w="3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gridSpan w:val="2"/>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4"/>
              </w:rPr>
              <w:t>313,744,468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60" w:type="dxa"/>
            <w:vAlign w:val="bottom"/>
            <w:gridSpan w:val="2"/>
          </w:tcPr>
          <w:p>
            <w:pPr>
              <w:ind w:left="440"/>
              <w:spacing w:after="0"/>
              <w:rPr>
                <w:sz w:val="20"/>
                <w:szCs w:val="20"/>
                <w:color w:val="auto"/>
              </w:rPr>
            </w:pPr>
            <w:r>
              <w:rPr>
                <w:rFonts w:ascii="Arial" w:cs="Arial" w:eastAsia="Arial" w:hAnsi="Arial"/>
                <w:sz w:val="13"/>
                <w:szCs w:val="13"/>
                <w:color w:val="auto"/>
              </w:rPr>
              <w:t>Realized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955,594</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159,004</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1,114,598</w:t>
            </w:r>
          </w:p>
        </w:tc>
        <w:tc>
          <w:tcPr>
            <w:tcW w:w="0" w:type="dxa"/>
            <w:vAlign w:val="bottom"/>
          </w:tcPr>
          <w:p>
            <w:pPr>
              <w:spacing w:after="0"/>
              <w:rPr>
                <w:sz w:val="1"/>
                <w:szCs w:val="1"/>
                <w:color w:val="auto"/>
              </w:rPr>
            </w:pPr>
          </w:p>
        </w:tc>
      </w:tr>
      <w:tr>
        <w:trPr>
          <w:trHeight w:val="148"/>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Unrealized appreciation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2,340,694</w:t>
            </w:r>
          </w:p>
        </w:tc>
        <w:tc>
          <w:tcPr>
            <w:tcW w:w="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1,340,332</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3,681,026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gridSpan w:val="2"/>
          </w:tcPr>
          <w:p>
            <w:pPr>
              <w:ind w:left="440"/>
              <w:spacing w:after="0"/>
              <w:rPr>
                <w:sz w:val="20"/>
                <w:szCs w:val="20"/>
                <w:color w:val="auto"/>
              </w:rPr>
            </w:pPr>
            <w:r>
              <w:rPr>
                <w:rFonts w:ascii="Arial" w:cs="Arial" w:eastAsia="Arial" w:hAnsi="Arial"/>
                <w:sz w:val="13"/>
                <w:szCs w:val="13"/>
                <w:color w:val="auto"/>
              </w:rPr>
              <w:t>Purchases, PIK, net discount accretion and non-cash exchanges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w w:val="96"/>
              </w:rPr>
              <w:t>140,115,484</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14,085,741</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w w:val="94"/>
              </w:rPr>
              <w:t>154,201,225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(82,214,645)</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(7,300,357)</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7"/>
              </w:rPr>
              <w:t>(89,515,002)</w:t>
            </w:r>
          </w:p>
        </w:tc>
        <w:tc>
          <w:tcPr>
            <w:tcW w:w="0" w:type="dxa"/>
            <w:vAlign w:val="bottom"/>
          </w:tcPr>
          <w:p>
            <w:pPr>
              <w:spacing w:after="0"/>
              <w:rPr>
                <w:sz w:val="1"/>
                <w:szCs w:val="1"/>
                <w:color w:val="auto"/>
              </w:rPr>
            </w:pPr>
          </w:p>
        </w:tc>
      </w:tr>
      <w:tr>
        <w:trPr>
          <w:trHeight w:val="156"/>
        </w:trPr>
        <w:tc>
          <w:tcPr>
            <w:tcW w:w="7460" w:type="dxa"/>
            <w:vAlign w:val="bottom"/>
            <w:gridSpan w:val="2"/>
          </w:tcPr>
          <w:p>
            <w:pPr>
              <w:ind w:left="440"/>
              <w:spacing w:after="0"/>
              <w:rPr>
                <w:sz w:val="20"/>
                <w:szCs w:val="20"/>
                <w:color w:val="auto"/>
              </w:rPr>
            </w:pPr>
            <w:r>
              <w:rPr>
                <w:rFonts w:ascii="Arial" w:cs="Arial" w:eastAsia="Arial" w:hAnsi="Arial"/>
                <w:sz w:val="13"/>
                <w:szCs w:val="13"/>
                <w:color w:val="auto"/>
              </w:rPr>
              <w:t>Transfers in and/or out of Level 3</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33"/>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color w:val="auto"/>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7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342,243,375</w:t>
            </w:r>
          </w:p>
        </w:tc>
        <w:tc>
          <w:tcPr>
            <w:tcW w:w="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40,982,940</w:t>
            </w:r>
          </w:p>
        </w:tc>
        <w:tc>
          <w:tcPr>
            <w:tcW w:w="320" w:type="dxa"/>
            <w:vAlign w:val="bottom"/>
            <w:shd w:val="clear" w:color="auto" w:fill="CCEEFF"/>
          </w:tcPr>
          <w:p>
            <w:pPr>
              <w:spacing w:after="0"/>
              <w:rPr>
                <w:sz w:val="12"/>
                <w:szCs w:val="12"/>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383,226,315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3"/>
                <w:szCs w:val="13"/>
                <w:color w:val="auto"/>
              </w:rPr>
              <w:t>Net change in unrealized appreciation reported within the net change in unrealized appreciation (depreciation) on investments in</w:t>
            </w: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4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460" w:type="dxa"/>
            <w:vAlign w:val="bottom"/>
            <w:gridSpan w:val="2"/>
          </w:tcPr>
          <w:p>
            <w:pPr>
              <w:ind w:left="220"/>
              <w:spacing w:after="0"/>
              <w:rPr>
                <w:sz w:val="20"/>
                <w:szCs w:val="20"/>
                <w:color w:val="auto"/>
              </w:rPr>
            </w:pPr>
            <w:r>
              <w:rPr>
                <w:rFonts w:ascii="Arial" w:cs="Arial" w:eastAsia="Arial" w:hAnsi="Arial"/>
                <w:sz w:val="13"/>
                <w:szCs w:val="13"/>
                <w:color w:val="auto"/>
              </w:rPr>
              <w:t>our Consolidated Statement of Operations attributable to our Level 3 assets still held at the reporting date.</w:t>
            </w:r>
          </w:p>
        </w:tc>
        <w:tc>
          <w:tcPr>
            <w:tcW w:w="100" w:type="dxa"/>
            <w:vAlign w:val="bottom"/>
            <w:gridSpan w:val="2"/>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1,458,545</w:t>
            </w:r>
          </w:p>
        </w:tc>
        <w:tc>
          <w:tcPr>
            <w:tcW w:w="40" w:type="dxa"/>
            <w:vAlign w:val="bottom"/>
          </w:tcPr>
          <w:p>
            <w:pPr>
              <w:spacing w:after="0"/>
              <w:rPr>
                <w:sz w:val="13"/>
                <w:szCs w:val="13"/>
                <w:color w:val="auto"/>
              </w:rPr>
            </w:pPr>
          </w:p>
        </w:tc>
        <w:tc>
          <w:tcPr>
            <w:tcW w:w="4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1,315,131</w:t>
            </w:r>
          </w:p>
        </w:tc>
        <w:tc>
          <w:tcPr>
            <w:tcW w:w="320" w:type="dxa"/>
            <w:vAlign w:val="bottom"/>
          </w:tcPr>
          <w:p>
            <w:pPr>
              <w:spacing w:after="0"/>
              <w:rPr>
                <w:sz w:val="13"/>
                <w:szCs w:val="13"/>
                <w:color w:val="auto"/>
              </w:rPr>
            </w:pP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2,773,676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3"/>
                <w:szCs w:val="13"/>
                <w:b w:val="1"/>
                <w:bCs w:val="1"/>
                <w:color w:val="auto"/>
                <w:w w:val="95"/>
              </w:rPr>
              <w:t>Six Months Ended March 31, 2013</w:t>
            </w: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620" w:type="dxa"/>
            <w:vAlign w:val="bottom"/>
          </w:tcPr>
          <w:p>
            <w:pPr>
              <w:spacing w:after="0"/>
              <w:rPr>
                <w:sz w:val="11"/>
                <w:szCs w:val="11"/>
                <w:color w:val="auto"/>
              </w:rPr>
            </w:pPr>
          </w:p>
        </w:tc>
        <w:tc>
          <w:tcPr>
            <w:tcW w:w="6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80" w:type="dxa"/>
            <w:vAlign w:val="bottom"/>
            <w:gridSpan w:val="2"/>
          </w:tcPr>
          <w:p>
            <w:pPr>
              <w:jc w:val="right"/>
              <w:ind w:right="660"/>
              <w:spacing w:after="0" w:line="129" w:lineRule="exact"/>
              <w:rPr>
                <w:sz w:val="20"/>
                <w:szCs w:val="20"/>
                <w:color w:val="auto"/>
              </w:rPr>
            </w:pPr>
            <w:r>
              <w:rPr>
                <w:rFonts w:ascii="Arial" w:cs="Arial" w:eastAsia="Arial" w:hAnsi="Arial"/>
                <w:sz w:val="13"/>
                <w:szCs w:val="13"/>
                <w:b w:val="1"/>
                <w:bCs w:val="1"/>
                <w:color w:val="auto"/>
              </w:rPr>
              <w:t>Second lien,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4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Description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w w:val="96"/>
              </w:rPr>
              <w:t>subordinated debt</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93"/>
              <w:spacing w:after="0" w:line="148" w:lineRule="exact"/>
              <w:rPr>
                <w:sz w:val="20"/>
                <w:szCs w:val="20"/>
                <w:color w:val="auto"/>
              </w:rPr>
            </w:pPr>
            <w:r>
              <w:rPr>
                <w:rFonts w:ascii="Arial" w:cs="Arial" w:eastAsia="Arial" w:hAnsi="Arial"/>
                <w:sz w:val="13"/>
                <w:szCs w:val="13"/>
                <w:b w:val="1"/>
                <w:bCs w:val="1"/>
                <w:color w:val="auto"/>
                <w:w w:val="99"/>
              </w:rPr>
              <w:t>First Lien</w:t>
            </w: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60" w:type="dxa"/>
            <w:vAlign w:val="bottom"/>
            <w:gridSpan w:val="3"/>
          </w:tcPr>
          <w:p>
            <w:pPr>
              <w:spacing w:after="0" w:line="148" w:lineRule="exact"/>
              <w:rPr>
                <w:sz w:val="20"/>
                <w:szCs w:val="20"/>
                <w:color w:val="auto"/>
              </w:rPr>
            </w:pPr>
            <w:r>
              <w:rPr>
                <w:rFonts w:ascii="Arial" w:cs="Arial" w:eastAsia="Arial" w:hAnsi="Arial"/>
                <w:sz w:val="13"/>
                <w:szCs w:val="13"/>
                <w:b w:val="1"/>
                <w:bCs w:val="1"/>
                <w:color w:val="auto"/>
              </w:rPr>
              <w:t>and equity investments</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80"/>
              <w:spacing w:after="0" w:line="148" w:lineRule="exact"/>
              <w:rPr>
                <w:sz w:val="20"/>
                <w:szCs w:val="20"/>
                <w:color w:val="auto"/>
              </w:rPr>
            </w:pPr>
            <w:r>
              <w:rPr>
                <w:rFonts w:ascii="Arial" w:cs="Arial" w:eastAsia="Arial" w:hAnsi="Arial"/>
                <w:sz w:val="13"/>
                <w:szCs w:val="13"/>
                <w:b w:val="1"/>
                <w:bCs w:val="1"/>
                <w:color w:val="auto"/>
              </w:rPr>
              <w:t>Totals</w:t>
            </w: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shd w:val="clear" w:color="auto" w:fill="000000"/>
          </w:tcPr>
          <w:p>
            <w:pPr>
              <w:spacing w:after="0" w:line="20" w:lineRule="exact"/>
              <w:rPr>
                <w:sz w:val="1"/>
                <w:szCs w:val="1"/>
                <w:color w:val="auto"/>
              </w:rPr>
            </w:pPr>
          </w:p>
        </w:tc>
        <w:tc>
          <w:tcPr>
            <w:tcW w:w="68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46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Beginning Balance</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w w:val="96"/>
              </w:rPr>
              <w:t>150,209,747</w:t>
            </w:r>
          </w:p>
        </w:tc>
        <w:tc>
          <w:tcPr>
            <w:tcW w:w="40" w:type="dxa"/>
            <w:vAlign w:val="bottom"/>
            <w:shd w:val="clear" w:color="auto" w:fill="CCEEFF"/>
          </w:tcPr>
          <w:p>
            <w:pPr>
              <w:spacing w:after="0"/>
              <w:rPr>
                <w:sz w:val="11"/>
                <w:szCs w:val="11"/>
                <w:color w:val="auto"/>
              </w:rPr>
            </w:pPr>
          </w:p>
        </w:tc>
        <w:tc>
          <w:tcPr>
            <w:tcW w:w="360" w:type="dxa"/>
            <w:vAlign w:val="bottom"/>
            <w:gridSpan w:val="2"/>
            <w:shd w:val="clear" w:color="auto" w:fill="CCEEFF"/>
          </w:tcPr>
          <w:p>
            <w:pPr>
              <w:spacing w:after="0"/>
              <w:rPr>
                <w:sz w:val="11"/>
                <w:szCs w:val="11"/>
                <w:color w:val="auto"/>
              </w:rPr>
            </w:pPr>
          </w:p>
        </w:tc>
        <w:tc>
          <w:tcPr>
            <w:tcW w:w="8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w w:val="82"/>
              </w:rPr>
              <w:t>$</w:t>
            </w:r>
          </w:p>
        </w:tc>
        <w:tc>
          <w:tcPr>
            <w:tcW w:w="1260" w:type="dxa"/>
            <w:vAlign w:val="bottom"/>
            <w:tcBorders>
              <w:right w:val="single" w:sz="8" w:color="CCEEFF"/>
            </w:tcBorders>
            <w:shd w:val="clear" w:color="auto" w:fill="CCEEFF"/>
          </w:tcPr>
          <w:p>
            <w:pPr>
              <w:jc w:val="right"/>
              <w:spacing w:after="0" w:line="136" w:lineRule="exact"/>
              <w:rPr>
                <w:sz w:val="20"/>
                <w:szCs w:val="20"/>
                <w:color w:val="auto"/>
              </w:rPr>
            </w:pPr>
            <w:r>
              <w:rPr>
                <w:rFonts w:ascii="Arial" w:cs="Arial" w:eastAsia="Arial" w:hAnsi="Arial"/>
                <w:sz w:val="13"/>
                <w:szCs w:val="13"/>
                <w:color w:val="auto"/>
              </w:rPr>
              <w:t>18,836,653</w:t>
            </w:r>
          </w:p>
        </w:tc>
        <w:tc>
          <w:tcPr>
            <w:tcW w:w="320" w:type="dxa"/>
            <w:vAlign w:val="bottom"/>
            <w:shd w:val="clear" w:color="auto" w:fill="CCEEFF"/>
          </w:tcPr>
          <w:p>
            <w:pPr>
              <w:spacing w:after="0"/>
              <w:rPr>
                <w:sz w:val="11"/>
                <w:szCs w:val="11"/>
                <w:color w:val="auto"/>
              </w:rPr>
            </w:pPr>
          </w:p>
        </w:tc>
        <w:tc>
          <w:tcPr>
            <w:tcW w:w="40" w:type="dxa"/>
            <w:vAlign w:val="bottom"/>
            <w:gridSpan w:val="2"/>
            <w:shd w:val="clear" w:color="auto" w:fill="CCEEFF"/>
          </w:tcPr>
          <w:p>
            <w:pPr>
              <w:spacing w:after="0"/>
              <w:rPr>
                <w:sz w:val="11"/>
                <w:szCs w:val="11"/>
                <w:color w:val="auto"/>
              </w:rPr>
            </w:pPr>
          </w:p>
        </w:tc>
        <w:tc>
          <w:tcPr>
            <w:tcW w:w="1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4"/>
              </w:rPr>
              <w:t>169,046,400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60" w:type="dxa"/>
            <w:vAlign w:val="bottom"/>
            <w:gridSpan w:val="2"/>
          </w:tcPr>
          <w:p>
            <w:pPr>
              <w:ind w:left="440"/>
              <w:spacing w:after="0"/>
              <w:rPr>
                <w:sz w:val="20"/>
                <w:szCs w:val="20"/>
                <w:color w:val="auto"/>
              </w:rPr>
            </w:pPr>
            <w:r>
              <w:rPr>
                <w:rFonts w:ascii="Arial" w:cs="Arial" w:eastAsia="Arial" w:hAnsi="Arial"/>
                <w:sz w:val="13"/>
                <w:szCs w:val="13"/>
                <w:color w:val="auto"/>
              </w:rPr>
              <w:t>Realized gains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1,132,985</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414,485</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1,547,470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Unrealized (depreciation) appreciation</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(266,886)</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539,275</w:t>
            </w:r>
          </w:p>
        </w:tc>
        <w:tc>
          <w:tcPr>
            <w:tcW w:w="3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272,389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gridSpan w:val="2"/>
          </w:tcPr>
          <w:p>
            <w:pPr>
              <w:ind w:left="440"/>
              <w:spacing w:after="0"/>
              <w:rPr>
                <w:sz w:val="20"/>
                <w:szCs w:val="20"/>
                <w:color w:val="auto"/>
              </w:rPr>
            </w:pPr>
            <w:r>
              <w:rPr>
                <w:rFonts w:ascii="Arial" w:cs="Arial" w:eastAsia="Arial" w:hAnsi="Arial"/>
                <w:sz w:val="13"/>
                <w:szCs w:val="13"/>
                <w:color w:val="auto"/>
              </w:rPr>
              <w:t>Purchases, PIK and net discount accretion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75,103,378</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9,486,250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84,589,628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Sales, repayments and non-cash exchanges</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(66,496,961)</w:t>
            </w:r>
          </w:p>
        </w:tc>
        <w:tc>
          <w:tcPr>
            <w:tcW w:w="3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58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(7,730,164)</w:t>
            </w: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w w:val="97"/>
              </w:rPr>
              <w:t>(74,227,125)</w:t>
            </w:r>
          </w:p>
        </w:tc>
        <w:tc>
          <w:tcPr>
            <w:tcW w:w="0" w:type="dxa"/>
            <w:vAlign w:val="bottom"/>
          </w:tcPr>
          <w:p>
            <w:pPr>
              <w:spacing w:after="0"/>
              <w:rPr>
                <w:sz w:val="1"/>
                <w:szCs w:val="1"/>
                <w:color w:val="auto"/>
              </w:rPr>
            </w:pPr>
          </w:p>
        </w:tc>
      </w:tr>
      <w:tr>
        <w:trPr>
          <w:trHeight w:val="148"/>
        </w:trPr>
        <w:tc>
          <w:tcPr>
            <w:tcW w:w="7460" w:type="dxa"/>
            <w:vAlign w:val="bottom"/>
            <w:gridSpan w:val="2"/>
          </w:tcPr>
          <w:p>
            <w:pPr>
              <w:ind w:left="440"/>
              <w:spacing w:after="0"/>
              <w:rPr>
                <w:sz w:val="20"/>
                <w:szCs w:val="20"/>
                <w:color w:val="auto"/>
              </w:rPr>
            </w:pPr>
            <w:r>
              <w:rPr>
                <w:rFonts w:ascii="Arial" w:cs="Arial" w:eastAsia="Arial" w:hAnsi="Arial"/>
                <w:sz w:val="13"/>
                <w:szCs w:val="13"/>
                <w:color w:val="auto"/>
              </w:rPr>
              <w:t>Transfers in and/or out of Level 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2"/>
          </w:tcPr>
          <w:p>
            <w:pPr>
              <w:jc w:val="right"/>
              <w:ind w:right="280"/>
              <w:spacing w:after="0"/>
              <w:rPr>
                <w:sz w:val="20"/>
                <w:szCs w:val="20"/>
                <w:color w:val="auto"/>
              </w:rPr>
            </w:pPr>
            <w:r>
              <w:rPr>
                <w:rFonts w:ascii="Arial" w:cs="Arial" w:eastAsia="Arial" w:hAnsi="Arial"/>
                <w:sz w:val="13"/>
                <w:szCs w:val="13"/>
                <w:color w:val="auto"/>
              </w:rPr>
              <w:t>(1,586,250)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(1,586,250)</w:t>
            </w:r>
          </w:p>
        </w:tc>
        <w:tc>
          <w:tcPr>
            <w:tcW w:w="0" w:type="dxa"/>
            <w:vAlign w:val="bottom"/>
          </w:tcPr>
          <w:p>
            <w:pPr>
              <w:spacing w:after="0"/>
              <w:rPr>
                <w:sz w:val="1"/>
                <w:szCs w:val="1"/>
                <w:color w:val="auto"/>
              </w:rPr>
            </w:pPr>
          </w:p>
        </w:tc>
      </w:tr>
      <w:tr>
        <w:trPr>
          <w:trHeight w:val="27"/>
        </w:trPr>
        <w:tc>
          <w:tcPr>
            <w:tcW w:w="620" w:type="dxa"/>
            <w:vAlign w:val="bottom"/>
          </w:tcPr>
          <w:p>
            <w:pPr>
              <w:spacing w:after="0"/>
              <w:rPr>
                <w:sz w:val="2"/>
                <w:szCs w:val="2"/>
                <w:color w:val="auto"/>
              </w:rPr>
            </w:pPr>
          </w:p>
        </w:tc>
        <w:tc>
          <w:tcPr>
            <w:tcW w:w="68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6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746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Ending Balance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w w:val="96"/>
              </w:rPr>
              <w:t>159,682,263</w:t>
            </w:r>
          </w:p>
        </w:tc>
        <w:tc>
          <w:tcPr>
            <w:tcW w:w="40" w:type="dxa"/>
            <w:vAlign w:val="bottom"/>
            <w:shd w:val="clear" w:color="auto" w:fill="CCEEFF"/>
          </w:tcPr>
          <w:p>
            <w:pPr>
              <w:spacing w:after="0"/>
              <w:rPr>
                <w:sz w:val="12"/>
                <w:szCs w:val="12"/>
                <w:color w:val="auto"/>
              </w:rPr>
            </w:pPr>
          </w:p>
        </w:tc>
        <w:tc>
          <w:tcPr>
            <w:tcW w:w="440" w:type="dxa"/>
            <w:vAlign w:val="bottom"/>
            <w:gridSpan w:val="3"/>
            <w:shd w:val="clear" w:color="auto" w:fill="CCEEFF"/>
          </w:tcPr>
          <w:p>
            <w:pPr>
              <w:ind w:left="360"/>
              <w:spacing w:after="0"/>
              <w:rPr>
                <w:sz w:val="20"/>
                <w:szCs w:val="20"/>
                <w:color w:val="auto"/>
              </w:rPr>
            </w:pPr>
            <w:r>
              <w:rPr>
                <w:rFonts w:ascii="Arial" w:cs="Arial" w:eastAsia="Arial" w:hAnsi="Arial"/>
                <w:sz w:val="13"/>
                <w:szCs w:val="13"/>
                <w:color w:val="auto"/>
                <w:w w:val="82"/>
              </w:rPr>
              <w:t>$</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19,960,249</w:t>
            </w:r>
          </w:p>
        </w:tc>
        <w:tc>
          <w:tcPr>
            <w:tcW w:w="320" w:type="dxa"/>
            <w:vAlign w:val="bottom"/>
            <w:shd w:val="clear" w:color="auto" w:fill="CCEEFF"/>
          </w:tcPr>
          <w:p>
            <w:pPr>
              <w:spacing w:after="0"/>
              <w:rPr>
                <w:sz w:val="12"/>
                <w:szCs w:val="12"/>
                <w:color w:val="auto"/>
              </w:rPr>
            </w:pPr>
          </w:p>
        </w:tc>
        <w:tc>
          <w:tcPr>
            <w:tcW w:w="1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179,642,512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3"/>
                <w:szCs w:val="13"/>
                <w:color w:val="auto"/>
                <w:w w:val="98"/>
              </w:rPr>
              <w:t>Net change in unrealized appreciation (depreciation) reported within the net change in unrealized appreciation on investments in our</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746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460" w:type="dxa"/>
            <w:vAlign w:val="bottom"/>
            <w:gridSpan w:val="2"/>
          </w:tcPr>
          <w:p>
            <w:pPr>
              <w:ind w:left="220"/>
              <w:spacing w:after="0"/>
              <w:rPr>
                <w:sz w:val="20"/>
                <w:szCs w:val="20"/>
                <w:color w:val="auto"/>
              </w:rPr>
            </w:pPr>
            <w:r>
              <w:rPr>
                <w:rFonts w:ascii="Arial" w:cs="Arial" w:eastAsia="Arial" w:hAnsi="Arial"/>
                <w:sz w:val="13"/>
                <w:szCs w:val="13"/>
                <w:color w:val="auto"/>
              </w:rPr>
              <w:t>Consolidated Statement of Operations attributable to our Level 3 assets still held at the reporting date.</w:t>
            </w:r>
          </w:p>
        </w:tc>
        <w:tc>
          <w:tcPr>
            <w:tcW w:w="100" w:type="dxa"/>
            <w:vAlign w:val="bottom"/>
            <w:gridSpan w:val="2"/>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580,762</w:t>
            </w:r>
          </w:p>
        </w:tc>
        <w:tc>
          <w:tcPr>
            <w:tcW w:w="40" w:type="dxa"/>
            <w:vAlign w:val="bottom"/>
          </w:tcPr>
          <w:p>
            <w:pPr>
              <w:spacing w:after="0"/>
              <w:rPr>
                <w:sz w:val="13"/>
                <w:szCs w:val="13"/>
                <w:color w:val="auto"/>
              </w:rPr>
            </w:pPr>
          </w:p>
        </w:tc>
        <w:tc>
          <w:tcPr>
            <w:tcW w:w="440" w:type="dxa"/>
            <w:vAlign w:val="bottom"/>
            <w:gridSpan w:val="3"/>
          </w:tcPr>
          <w:p>
            <w:pPr>
              <w:ind w:left="360"/>
              <w:spacing w:after="0"/>
              <w:rPr>
                <w:sz w:val="20"/>
                <w:szCs w:val="20"/>
                <w:color w:val="auto"/>
              </w:rPr>
            </w:pPr>
            <w:r>
              <w:rPr>
                <w:rFonts w:ascii="Arial" w:cs="Arial" w:eastAsia="Arial" w:hAnsi="Arial"/>
                <w:sz w:val="13"/>
                <w:szCs w:val="13"/>
                <w:color w:val="auto"/>
                <w:w w:val="82"/>
              </w:rPr>
              <w:t>$</w:t>
            </w:r>
          </w:p>
        </w:tc>
        <w:tc>
          <w:tcPr>
            <w:tcW w:w="1580" w:type="dxa"/>
            <w:vAlign w:val="bottom"/>
            <w:gridSpan w:val="2"/>
          </w:tcPr>
          <w:p>
            <w:pPr>
              <w:jc w:val="right"/>
              <w:ind w:right="280"/>
              <w:spacing w:after="0"/>
              <w:rPr>
                <w:sz w:val="20"/>
                <w:szCs w:val="20"/>
                <w:color w:val="auto"/>
              </w:rPr>
            </w:pPr>
            <w:r>
              <w:rPr>
                <w:rFonts w:ascii="Arial" w:cs="Arial" w:eastAsia="Arial" w:hAnsi="Arial"/>
                <w:sz w:val="13"/>
                <w:szCs w:val="13"/>
                <w:color w:val="auto"/>
              </w:rPr>
              <w:t>(1,973,070)</w:t>
            </w:r>
          </w:p>
        </w:tc>
        <w:tc>
          <w:tcPr>
            <w:tcW w:w="14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(1,392,308)</w:t>
            </w:r>
          </w:p>
        </w:tc>
        <w:tc>
          <w:tcPr>
            <w:tcW w:w="0" w:type="dxa"/>
            <w:vAlign w:val="bottom"/>
          </w:tcPr>
          <w:p>
            <w:pPr>
              <w:spacing w:after="0"/>
              <w:rPr>
                <w:sz w:val="1"/>
                <w:szCs w:val="1"/>
                <w:color w:val="auto"/>
              </w:rPr>
            </w:pPr>
          </w:p>
        </w:tc>
      </w:tr>
      <w:tr>
        <w:trPr>
          <w:trHeight w:val="20"/>
        </w:trPr>
        <w:tc>
          <w:tcPr>
            <w:tcW w:w="7460" w:type="dxa"/>
            <w:vAlign w:val="bottom"/>
            <w:gridSpan w:val="2"/>
            <w:vMerge w:val="restart"/>
          </w:tcPr>
          <w:p>
            <w:pPr>
              <w:ind w:left="5560"/>
              <w:spacing w:after="0"/>
              <w:rPr>
                <w:sz w:val="20"/>
                <w:szCs w:val="20"/>
                <w:color w:val="auto"/>
              </w:rPr>
            </w:pPr>
            <w:r>
              <w:rPr>
                <w:rFonts w:ascii="Arial" w:cs="Arial" w:eastAsia="Arial" w:hAnsi="Arial"/>
                <w:sz w:val="13"/>
                <w:szCs w:val="13"/>
                <w:color w:val="auto"/>
              </w:rPr>
              <w:t>17</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6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ind w:right="-79"/>
        <w:spacing w:after="0"/>
        <w:rPr>
          <w:sz w:val="20"/>
          <w:szCs w:val="20"/>
          <w:color w:val="auto"/>
        </w:rPr>
      </w:pPr>
      <w:r>
        <w:rPr>
          <w:rFonts w:ascii="Arial" w:cs="Arial" w:eastAsia="Arial" w:hAnsi="Arial"/>
          <w:sz w:val="13"/>
          <w:szCs w:val="13"/>
          <w:b w:val="1"/>
          <w:bCs w:val="1"/>
          <w:color w:val="auto"/>
        </w:rPr>
        <w:t>MARCH 31, 2014</w:t>
      </w:r>
    </w:p>
    <w:p>
      <w:pPr>
        <w:jc w:val="center"/>
        <w:ind w:right="-79"/>
        <w:spacing w:after="0"/>
        <w:rPr>
          <w:sz w:val="20"/>
          <w:szCs w:val="20"/>
          <w:color w:val="auto"/>
        </w:rPr>
      </w:pPr>
      <w:r>
        <w:rPr>
          <w:rFonts w:ascii="Arial" w:cs="Arial" w:eastAsia="Arial" w:hAnsi="Arial"/>
          <w:sz w:val="13"/>
          <w:szCs w:val="13"/>
          <w:b w:val="1"/>
          <w:bCs w:val="1"/>
          <w:color w:val="auto"/>
        </w:rPr>
        <w:t>(Unaudited)</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3"/>
          <w:szCs w:val="13"/>
          <w:color w:val="auto"/>
        </w:rPr>
        <w:t>The following table shows a reconciliation of the beginning and ending balances for fair valued liabilities measured using significant unobservable inputs (Level 3):</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46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40" w:type="dxa"/>
            <w:vAlign w:val="bottom"/>
            <w:gridSpan w:val="4"/>
          </w:tcPr>
          <w:p>
            <w:pPr>
              <w:jc w:val="right"/>
              <w:ind w:right="460"/>
              <w:spacing w:after="0"/>
              <w:rPr>
                <w:sz w:val="20"/>
                <w:szCs w:val="20"/>
                <w:color w:val="auto"/>
              </w:rPr>
            </w:pPr>
            <w:r>
              <w:rPr>
                <w:rFonts w:ascii="Arial" w:cs="Arial" w:eastAsia="Arial" w:hAnsi="Arial"/>
                <w:sz w:val="13"/>
                <w:szCs w:val="13"/>
                <w:b w:val="1"/>
                <w:bCs w:val="1"/>
                <w:color w:val="auto"/>
              </w:rPr>
              <w:t>Carrying/Fair Value</w:t>
            </w:r>
          </w:p>
        </w:tc>
        <w:tc>
          <w:tcPr>
            <w:tcW w:w="0" w:type="dxa"/>
            <w:vAlign w:val="bottom"/>
          </w:tcPr>
          <w:p>
            <w:pPr>
              <w:spacing w:after="0"/>
              <w:rPr>
                <w:sz w:val="1"/>
                <w:szCs w:val="1"/>
                <w:color w:val="auto"/>
              </w:rPr>
            </w:pPr>
          </w:p>
        </w:tc>
      </w:tr>
      <w:tr>
        <w:trPr>
          <w:trHeight w:val="161"/>
        </w:trPr>
        <w:tc>
          <w:tcPr>
            <w:tcW w:w="744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Long-Term Credit Facility</w:t>
            </w:r>
          </w:p>
        </w:tc>
        <w:tc>
          <w:tcPr>
            <w:tcW w:w="60" w:type="dxa"/>
            <w:vAlign w:val="bottom"/>
          </w:tcPr>
          <w:p>
            <w:pPr>
              <w:spacing w:after="0"/>
              <w:rPr>
                <w:sz w:val="14"/>
                <w:szCs w:val="14"/>
                <w:color w:val="auto"/>
              </w:rPr>
            </w:pPr>
          </w:p>
        </w:tc>
        <w:tc>
          <w:tcPr>
            <w:tcW w:w="194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w w:val="97"/>
              </w:rPr>
              <w:t>Six Months Ended March 31,</w:t>
            </w:r>
          </w:p>
        </w:tc>
        <w:tc>
          <w:tcPr>
            <w:tcW w:w="0" w:type="dxa"/>
            <w:vAlign w:val="bottom"/>
          </w:tcPr>
          <w:p>
            <w:pPr>
              <w:spacing w:after="0"/>
              <w:rPr>
                <w:sz w:val="1"/>
                <w:szCs w:val="1"/>
                <w:color w:val="auto"/>
              </w:rPr>
            </w:pPr>
          </w:p>
        </w:tc>
      </w:tr>
      <w:tr>
        <w:trPr>
          <w:trHeight w:val="128"/>
        </w:trPr>
        <w:tc>
          <w:tcPr>
            <w:tcW w:w="7440" w:type="dxa"/>
            <w:vAlign w:val="bottom"/>
            <w:gridSpan w:val="2"/>
            <w:vMerge w:val="continue"/>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ind w:right="173"/>
              <w:spacing w:after="0" w:line="129" w:lineRule="exact"/>
              <w:rPr>
                <w:sz w:val="20"/>
                <w:szCs w:val="20"/>
                <w:color w:val="auto"/>
              </w:rPr>
            </w:pPr>
            <w:r>
              <w:rPr>
                <w:rFonts w:ascii="Arial" w:cs="Arial" w:eastAsia="Arial" w:hAnsi="Arial"/>
                <w:sz w:val="13"/>
                <w:szCs w:val="13"/>
                <w:b w:val="1"/>
                <w:bCs w:val="1"/>
                <w:color w:val="auto"/>
              </w:rPr>
              <w:t>2014</w:t>
            </w:r>
          </w:p>
        </w:tc>
        <w:tc>
          <w:tcPr>
            <w:tcW w:w="44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153"/>
              <w:spacing w:after="0" w:line="129" w:lineRule="exact"/>
              <w:rPr>
                <w:sz w:val="20"/>
                <w:szCs w:val="20"/>
                <w:color w:val="auto"/>
              </w:rPr>
            </w:pPr>
            <w:r>
              <w:rPr>
                <w:rFonts w:ascii="Arial" w:cs="Arial" w:eastAsia="Arial" w:hAnsi="Arial"/>
                <w:sz w:val="13"/>
                <w:szCs w:val="13"/>
                <w:b w:val="1"/>
                <w:bCs w:val="1"/>
                <w:color w:val="auto"/>
              </w:rPr>
              <w:t>2013</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460" w:type="dxa"/>
            <w:vAlign w:val="bottom"/>
            <w:tcBorders>
              <w:bottom w:val="single" w:sz="8" w:color="CCEEFF"/>
            </w:tcBorders>
            <w:shd w:val="clear" w:color="auto" w:fill="000000"/>
          </w:tcPr>
          <w:p>
            <w:pPr>
              <w:spacing w:after="0" w:line="20" w:lineRule="exact"/>
              <w:rPr>
                <w:sz w:val="1"/>
                <w:szCs w:val="1"/>
                <w:color w:val="auto"/>
              </w:rPr>
            </w:pPr>
          </w:p>
        </w:tc>
        <w:tc>
          <w:tcPr>
            <w:tcW w:w="59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7440" w:type="dxa"/>
            <w:vAlign w:val="bottom"/>
            <w:gridSpan w:val="2"/>
            <w:shd w:val="clear" w:color="auto" w:fill="CCEEFF"/>
          </w:tcPr>
          <w:p>
            <w:pPr>
              <w:spacing w:after="0" w:line="136" w:lineRule="exact"/>
              <w:rPr>
                <w:sz w:val="20"/>
                <w:szCs w:val="20"/>
                <w:color w:val="auto"/>
              </w:rPr>
            </w:pPr>
            <w:r>
              <w:rPr>
                <w:rFonts w:ascii="Arial" w:cs="Arial" w:eastAsia="Arial" w:hAnsi="Arial"/>
                <w:sz w:val="13"/>
                <w:szCs w:val="13"/>
                <w:color w:val="auto"/>
              </w:rPr>
              <w:t>Beginning Balance (cost – $99,600,000 and $75,500,000, respectively)</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99,600,000</w:t>
            </w:r>
          </w:p>
        </w:tc>
        <w:tc>
          <w:tcPr>
            <w:tcW w:w="4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w w:val="92"/>
              </w:rPr>
              <w:t>$ 75,122,500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440" w:type="dxa"/>
            <w:vAlign w:val="bottom"/>
            <w:gridSpan w:val="2"/>
          </w:tcPr>
          <w:p>
            <w:pPr>
              <w:ind w:left="440"/>
              <w:spacing w:after="0"/>
              <w:rPr>
                <w:sz w:val="20"/>
                <w:szCs w:val="20"/>
                <w:color w:val="auto"/>
              </w:rPr>
            </w:pPr>
            <w:r>
              <w:rPr>
                <w:rFonts w:ascii="Arial" w:cs="Arial" w:eastAsia="Arial" w:hAnsi="Arial"/>
                <w:sz w:val="13"/>
                <w:szCs w:val="13"/>
                <w:color w:val="auto"/>
              </w:rPr>
              <w:t>Total unrealized appreciation included in earnings</w:t>
            </w:r>
          </w:p>
        </w:tc>
        <w:tc>
          <w:tcPr>
            <w:tcW w:w="60" w:type="dxa"/>
            <w:vAlign w:val="bottom"/>
          </w:tcPr>
          <w:p>
            <w:pPr>
              <w:spacing w:after="0"/>
              <w:rPr>
                <w:sz w:val="12"/>
                <w:szCs w:val="12"/>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377,500</w:t>
            </w:r>
          </w:p>
        </w:tc>
        <w:tc>
          <w:tcPr>
            <w:tcW w:w="0" w:type="dxa"/>
            <w:vAlign w:val="bottom"/>
          </w:tcPr>
          <w:p>
            <w:pPr>
              <w:spacing w:after="0"/>
              <w:rPr>
                <w:sz w:val="1"/>
                <w:szCs w:val="1"/>
                <w:color w:val="auto"/>
              </w:rPr>
            </w:pPr>
          </w:p>
        </w:tc>
      </w:tr>
      <w:tr>
        <w:trPr>
          <w:trHeight w:val="148"/>
        </w:trPr>
        <w:tc>
          <w:tcPr>
            <w:tcW w:w="74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Borrowings</w:t>
            </w:r>
          </w:p>
        </w:tc>
        <w:tc>
          <w:tcPr>
            <w:tcW w:w="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3"/>
                <w:szCs w:val="13"/>
                <w:color w:val="auto"/>
                <w:w w:val="91"/>
              </w:rPr>
              <w:t>112,500,000</w:t>
            </w: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45,250,000</w:t>
            </w:r>
          </w:p>
        </w:tc>
        <w:tc>
          <w:tcPr>
            <w:tcW w:w="0" w:type="dxa"/>
            <w:vAlign w:val="bottom"/>
          </w:tcPr>
          <w:p>
            <w:pPr>
              <w:spacing w:after="0"/>
              <w:rPr>
                <w:sz w:val="1"/>
                <w:szCs w:val="1"/>
                <w:color w:val="auto"/>
              </w:rPr>
            </w:pPr>
          </w:p>
        </w:tc>
      </w:tr>
      <w:tr>
        <w:trPr>
          <w:trHeight w:val="148"/>
        </w:trPr>
        <w:tc>
          <w:tcPr>
            <w:tcW w:w="7440" w:type="dxa"/>
            <w:vAlign w:val="bottom"/>
            <w:gridSpan w:val="2"/>
          </w:tcPr>
          <w:p>
            <w:pPr>
              <w:ind w:left="440"/>
              <w:spacing w:after="0"/>
              <w:rPr>
                <w:sz w:val="20"/>
                <w:szCs w:val="20"/>
                <w:color w:val="auto"/>
              </w:rPr>
            </w:pPr>
            <w:r>
              <w:rPr>
                <w:rFonts w:ascii="Arial" w:cs="Arial" w:eastAsia="Arial" w:hAnsi="Arial"/>
                <w:sz w:val="13"/>
                <w:szCs w:val="13"/>
                <w:color w:val="auto"/>
              </w:rPr>
              <w:t>Repayments</w:t>
            </w:r>
          </w:p>
        </w:tc>
        <w:tc>
          <w:tcPr>
            <w:tcW w:w="60" w:type="dxa"/>
            <w:vAlign w:val="bottom"/>
          </w:tcPr>
          <w:p>
            <w:pPr>
              <w:spacing w:after="0"/>
              <w:rPr>
                <w:sz w:val="12"/>
                <w:szCs w:val="12"/>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w w:val="94"/>
              </w:rPr>
              <w:t>(38,900,000)</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(86,550,000)</w:t>
            </w:r>
          </w:p>
        </w:tc>
        <w:tc>
          <w:tcPr>
            <w:tcW w:w="0" w:type="dxa"/>
            <w:vAlign w:val="bottom"/>
          </w:tcPr>
          <w:p>
            <w:pPr>
              <w:spacing w:after="0"/>
              <w:rPr>
                <w:sz w:val="1"/>
                <w:szCs w:val="1"/>
                <w:color w:val="auto"/>
              </w:rPr>
            </w:pPr>
          </w:p>
        </w:tc>
      </w:tr>
      <w:tr>
        <w:trPr>
          <w:trHeight w:val="148"/>
        </w:trPr>
        <w:tc>
          <w:tcPr>
            <w:tcW w:w="7440" w:type="dxa"/>
            <w:vAlign w:val="bottom"/>
            <w:gridSpan w:val="2"/>
            <w:shd w:val="clear" w:color="auto" w:fill="CCEEFF"/>
          </w:tcPr>
          <w:p>
            <w:pPr>
              <w:ind w:left="440"/>
              <w:spacing w:after="0"/>
              <w:rPr>
                <w:sz w:val="20"/>
                <w:szCs w:val="20"/>
                <w:color w:val="auto"/>
              </w:rPr>
            </w:pPr>
            <w:r>
              <w:rPr>
                <w:rFonts w:ascii="Arial" w:cs="Arial" w:eastAsia="Arial" w:hAnsi="Arial"/>
                <w:sz w:val="13"/>
                <w:szCs w:val="13"/>
                <w:color w:val="auto"/>
              </w:rPr>
              <w:t>Transfers in and/or out of Level 3</w:t>
            </w:r>
          </w:p>
        </w:tc>
        <w:tc>
          <w:tcPr>
            <w:tcW w:w="6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3"/>
                <w:szCs w:val="13"/>
                <w:color w:val="auto"/>
              </w:rPr>
              <w:t>—</w:t>
            </w:r>
          </w:p>
        </w:tc>
        <w:tc>
          <w:tcPr>
            <w:tcW w:w="440" w:type="dxa"/>
            <w:vAlign w:val="bottom"/>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440" w:type="dxa"/>
            <w:vAlign w:val="bottom"/>
            <w:gridSpan w:val="2"/>
          </w:tcPr>
          <w:p>
            <w:pPr>
              <w:spacing w:after="0"/>
              <w:rPr>
                <w:sz w:val="20"/>
                <w:szCs w:val="20"/>
                <w:color w:val="auto"/>
              </w:rPr>
            </w:pPr>
            <w:r>
              <w:rPr>
                <w:rFonts w:ascii="Arial" w:cs="Arial" w:eastAsia="Arial" w:hAnsi="Arial"/>
                <w:sz w:val="13"/>
                <w:szCs w:val="13"/>
                <w:color w:val="auto"/>
              </w:rPr>
              <w:t>Ending Balance (cost – $173,200,000 and $34,200,000, respectively)</w:t>
            </w:r>
          </w:p>
        </w:tc>
        <w:tc>
          <w:tcPr>
            <w:tcW w:w="60" w:type="dxa"/>
            <w:vAlign w:val="bottom"/>
          </w:tcPr>
          <w:p>
            <w:pPr>
              <w:jc w:val="right"/>
              <w:spacing w:after="0"/>
              <w:rPr>
                <w:sz w:val="20"/>
                <w:szCs w:val="20"/>
                <w:color w:val="auto"/>
              </w:rPr>
            </w:pPr>
            <w:r>
              <w:rPr>
                <w:rFonts w:ascii="Arial" w:cs="Arial" w:eastAsia="Arial" w:hAnsi="Arial"/>
                <w:sz w:val="10"/>
                <w:szCs w:val="10"/>
                <w:u w:val="single" w:color="auto"/>
                <w:color w:val="auto"/>
                <w:w w:val="71"/>
              </w:rPr>
              <w:t>$</w:t>
            </w:r>
          </w:p>
        </w:tc>
        <w:tc>
          <w:tcPr>
            <w:tcW w:w="680" w:type="dxa"/>
            <w:vAlign w:val="bottom"/>
          </w:tcPr>
          <w:p>
            <w:pPr>
              <w:jc w:val="right"/>
              <w:spacing w:after="0"/>
              <w:rPr>
                <w:sz w:val="20"/>
                <w:szCs w:val="20"/>
                <w:color w:val="auto"/>
              </w:rPr>
            </w:pPr>
            <w:r>
              <w:rPr>
                <w:rFonts w:ascii="Arial" w:cs="Arial" w:eastAsia="Arial" w:hAnsi="Arial"/>
                <w:sz w:val="13"/>
                <w:szCs w:val="13"/>
                <w:color w:val="auto"/>
                <w:w w:val="91"/>
              </w:rPr>
              <w:t>173,200,000</w:t>
            </w:r>
          </w:p>
        </w:tc>
        <w:tc>
          <w:tcPr>
            <w:tcW w:w="440" w:type="dxa"/>
            <w:vAlign w:val="bottom"/>
          </w:tcPr>
          <w:p>
            <w:pPr>
              <w:spacing w:after="0"/>
              <w:rPr>
                <w:sz w:val="13"/>
                <w:szCs w:val="13"/>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w w:val="94"/>
              </w:rPr>
              <w:t>$ 34,200,000</w:t>
            </w: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5" w:lineRule="exact"/>
        <w:rPr>
          <w:sz w:val="20"/>
          <w:szCs w:val="20"/>
          <w:color w:val="auto"/>
        </w:rPr>
      </w:pPr>
    </w:p>
    <w:p>
      <w:pPr>
        <w:ind w:firstLine="786"/>
        <w:spacing w:after="0" w:line="264" w:lineRule="auto"/>
        <w:rPr>
          <w:sz w:val="20"/>
          <w:szCs w:val="20"/>
          <w:color w:val="auto"/>
        </w:rPr>
      </w:pPr>
      <w:r>
        <w:rPr>
          <w:rFonts w:ascii="Arial" w:cs="Arial" w:eastAsia="Arial" w:hAnsi="Arial"/>
          <w:sz w:val="12"/>
          <w:szCs w:val="12"/>
          <w:color w:val="auto"/>
        </w:rPr>
        <w:t>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zero and $0.7 million, respectively, relating to amendment fees on the Credit Facility during the three and six months ended March 31, 2014. For the same periods in the prior year, we incurred expenses of $0.5 million and $0.5 million,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each of the three and six months ended March 31, 2014, our Credit Facility had a net change in unrealized appreciation of zero. For the three and six months ended March 31, 2013, our Credit Facility had a net change in unrealized appreciation of zero and $0.4 million, respectively. As of March 31, 2014 and September 30, 2013, the Credit Facility had unrealized appreciation of zero. We use a nationally recognized independent valuation service to measure the fair value of the Credit Facility in a manner consistent with the valuation process that the board of directors uses to value our investments.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6. CHANGE IN NET ASSETS FROM OPERATIONS PER COMMON SHARE</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The following information sets forth the computation of basic and diluted per share net increase in net assets resulting from operations: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4"/>
                <w:szCs w:val="14"/>
                <w:color w:val="auto"/>
              </w:rPr>
            </w:pPr>
          </w:p>
        </w:tc>
        <w:tc>
          <w:tcPr>
            <w:tcW w:w="2100" w:type="dxa"/>
            <w:vAlign w:val="bottom"/>
            <w:gridSpan w:val="6"/>
          </w:tcPr>
          <w:p>
            <w:pPr>
              <w:ind w:left="60"/>
              <w:spacing w:after="0"/>
              <w:rPr>
                <w:sz w:val="20"/>
                <w:szCs w:val="20"/>
                <w:color w:val="auto"/>
              </w:rPr>
            </w:pPr>
            <w:r>
              <w:rPr>
                <w:rFonts w:ascii="Arial" w:cs="Arial" w:eastAsia="Arial" w:hAnsi="Arial"/>
                <w:sz w:val="13"/>
                <w:szCs w:val="13"/>
                <w:b w:val="1"/>
                <w:bCs w:val="1"/>
                <w:color w:val="auto"/>
              </w:rPr>
              <w:t>Three Months Ended March 31,</w:t>
            </w:r>
          </w:p>
        </w:tc>
        <w:tc>
          <w:tcPr>
            <w:tcW w:w="120" w:type="dxa"/>
            <w:vAlign w:val="bottom"/>
          </w:tcPr>
          <w:p>
            <w:pPr>
              <w:spacing w:after="0"/>
              <w:rPr>
                <w:sz w:val="14"/>
                <w:szCs w:val="14"/>
                <w:color w:val="auto"/>
              </w:rPr>
            </w:pPr>
          </w:p>
        </w:tc>
        <w:tc>
          <w:tcPr>
            <w:tcW w:w="1880" w:type="dxa"/>
            <w:vAlign w:val="bottom"/>
            <w:gridSpan w:val="6"/>
          </w:tcPr>
          <w:p>
            <w:pPr>
              <w:ind w:left="60"/>
              <w:spacing w:after="0"/>
              <w:rPr>
                <w:sz w:val="20"/>
                <w:szCs w:val="20"/>
                <w:color w:val="auto"/>
              </w:rPr>
            </w:pPr>
            <w:r>
              <w:rPr>
                <w:rFonts w:ascii="Arial" w:cs="Arial" w:eastAsia="Arial" w:hAnsi="Arial"/>
                <w:sz w:val="13"/>
                <w:szCs w:val="13"/>
                <w:b w:val="1"/>
                <w:bCs w:val="1"/>
                <w:color w:val="auto"/>
              </w:rPr>
              <w:t>Six Months Ended March 31,</w:t>
            </w:r>
          </w:p>
        </w:tc>
      </w:tr>
      <w:tr>
        <w:trPr>
          <w:trHeight w:val="142"/>
        </w:trPr>
        <w:tc>
          <w:tcPr>
            <w:tcW w:w="64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3"/>
                <w:szCs w:val="13"/>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3"/>
                <w:szCs w:val="13"/>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2013</w:t>
            </w:r>
          </w:p>
        </w:tc>
        <w:tc>
          <w:tcPr>
            <w:tcW w:w="60" w:type="dxa"/>
            <w:vAlign w:val="bottom"/>
            <w:tcBorders>
              <w:bottom w:val="single" w:sz="8" w:color="CCEEFF"/>
            </w:tcBorders>
          </w:tcPr>
          <w:p>
            <w:pPr>
              <w:spacing w:after="0"/>
              <w:rPr>
                <w:sz w:val="12"/>
                <w:szCs w:val="12"/>
                <w:color w:val="auto"/>
              </w:rPr>
            </w:pPr>
          </w:p>
        </w:tc>
      </w:tr>
      <w:tr>
        <w:trPr>
          <w:trHeight w:val="142"/>
        </w:trPr>
        <w:tc>
          <w:tcPr>
            <w:tcW w:w="646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Numerator for net increase in net assets resulting from operations</w:t>
            </w:r>
          </w:p>
        </w:tc>
        <w:tc>
          <w:tcPr>
            <w:tcW w:w="160" w:type="dxa"/>
            <w:vAlign w:val="bottom"/>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7,237,297</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3,205,735</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13,294,078</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600" w:type="dxa"/>
            <w:vAlign w:val="bottom"/>
            <w:shd w:val="clear" w:color="auto" w:fill="CCEEFF"/>
          </w:tcPr>
          <w:p>
            <w:pPr>
              <w:jc w:val="right"/>
              <w:spacing w:after="0" w:line="142" w:lineRule="exact"/>
              <w:rPr>
                <w:sz w:val="20"/>
                <w:szCs w:val="20"/>
                <w:color w:val="auto"/>
              </w:rPr>
            </w:pPr>
            <w:r>
              <w:rPr>
                <w:rFonts w:ascii="Arial" w:cs="Arial" w:eastAsia="Arial" w:hAnsi="Arial"/>
                <w:sz w:val="13"/>
                <w:szCs w:val="13"/>
                <w:color w:val="auto"/>
              </w:rPr>
              <w:t>4,971,166</w:t>
            </w:r>
          </w:p>
        </w:tc>
        <w:tc>
          <w:tcPr>
            <w:tcW w:w="60" w:type="dxa"/>
            <w:vAlign w:val="bottom"/>
            <w:shd w:val="clear" w:color="auto" w:fill="CCEEFF"/>
          </w:tcPr>
          <w:p>
            <w:pPr>
              <w:spacing w:after="0"/>
              <w:rPr>
                <w:sz w:val="12"/>
                <w:szCs w:val="12"/>
                <w:color w:val="auto"/>
              </w:rPr>
            </w:pPr>
          </w:p>
        </w:tc>
      </w:tr>
      <w:tr>
        <w:trPr>
          <w:trHeight w:val="148"/>
        </w:trPr>
        <w:tc>
          <w:tcPr>
            <w:tcW w:w="6460" w:type="dxa"/>
            <w:vAlign w:val="bottom"/>
          </w:tcPr>
          <w:p>
            <w:pPr>
              <w:spacing w:after="0"/>
              <w:rPr>
                <w:sz w:val="20"/>
                <w:szCs w:val="20"/>
                <w:color w:val="auto"/>
              </w:rPr>
            </w:pPr>
            <w:r>
              <w:rPr>
                <w:rFonts w:ascii="Arial" w:cs="Arial" w:eastAsia="Arial" w:hAnsi="Arial"/>
                <w:sz w:val="13"/>
                <w:szCs w:val="13"/>
                <w:color w:val="auto"/>
              </w:rPr>
              <w:t>Denominator for basic weighted average shares</w:t>
            </w:r>
          </w:p>
        </w:tc>
        <w:tc>
          <w:tcPr>
            <w:tcW w:w="1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14,898,056</w:t>
            </w: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7,050,833</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14,898,056</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6,949,650</w:t>
            </w:r>
          </w:p>
        </w:tc>
        <w:tc>
          <w:tcPr>
            <w:tcW w:w="60" w:type="dxa"/>
            <w:vAlign w:val="bottom"/>
          </w:tcPr>
          <w:p>
            <w:pPr>
              <w:spacing w:after="0"/>
              <w:rPr>
                <w:sz w:val="12"/>
                <w:szCs w:val="12"/>
                <w:color w:val="auto"/>
              </w:rPr>
            </w:pPr>
          </w:p>
        </w:tc>
      </w:tr>
      <w:tr>
        <w:trPr>
          <w:trHeight w:val="149"/>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Denominator for diluted weighted average shares *</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14,898,056</w:t>
            </w:r>
          </w:p>
        </w:tc>
        <w:tc>
          <w:tcPr>
            <w:tcW w:w="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7,080,833</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14,898,056</w:t>
            </w:r>
          </w:p>
        </w:tc>
        <w:tc>
          <w:tcPr>
            <w:tcW w:w="2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6,964,485</w:t>
            </w:r>
          </w:p>
        </w:tc>
        <w:tc>
          <w:tcPr>
            <w:tcW w:w="60" w:type="dxa"/>
            <w:vAlign w:val="bottom"/>
            <w:shd w:val="clear" w:color="auto" w:fill="CCEEFF"/>
          </w:tcPr>
          <w:p>
            <w:pPr>
              <w:spacing w:after="0"/>
              <w:rPr>
                <w:sz w:val="12"/>
                <w:szCs w:val="12"/>
                <w:color w:val="auto"/>
              </w:rPr>
            </w:pPr>
          </w:p>
        </w:tc>
      </w:tr>
      <w:tr>
        <w:trPr>
          <w:trHeight w:val="148"/>
        </w:trPr>
        <w:tc>
          <w:tcPr>
            <w:tcW w:w="6460" w:type="dxa"/>
            <w:vAlign w:val="bottom"/>
          </w:tcPr>
          <w:p>
            <w:pPr>
              <w:spacing w:after="0"/>
              <w:rPr>
                <w:sz w:val="20"/>
                <w:szCs w:val="20"/>
                <w:color w:val="auto"/>
              </w:rPr>
            </w:pPr>
            <w:r>
              <w:rPr>
                <w:rFonts w:ascii="Arial" w:cs="Arial" w:eastAsia="Arial" w:hAnsi="Arial"/>
                <w:sz w:val="13"/>
                <w:szCs w:val="13"/>
                <w:color w:val="auto"/>
              </w:rPr>
              <w:t>Basic net increase in net assets per share resulting from operations</w:t>
            </w:r>
          </w:p>
        </w:tc>
        <w:tc>
          <w:tcPr>
            <w:tcW w:w="160" w:type="dxa"/>
            <w:vAlign w:val="bottom"/>
          </w:tcPr>
          <w:p>
            <w:pPr>
              <w:jc w:val="right"/>
              <w:ind w:right="45"/>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0.49</w:t>
            </w:r>
          </w:p>
        </w:tc>
        <w:tc>
          <w:tcPr>
            <w:tcW w:w="44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20"/>
              <w:spacing w:after="0"/>
              <w:rPr>
                <w:sz w:val="20"/>
                <w:szCs w:val="20"/>
                <w:color w:val="auto"/>
              </w:rPr>
            </w:pPr>
            <w:r>
              <w:rPr>
                <w:rFonts w:ascii="Arial" w:cs="Arial" w:eastAsia="Arial" w:hAnsi="Arial"/>
                <w:sz w:val="13"/>
                <w:szCs w:val="13"/>
                <w:color w:val="auto"/>
              </w:rPr>
              <w:t>0.45</w:t>
            </w:r>
          </w:p>
        </w:tc>
        <w:tc>
          <w:tcPr>
            <w:tcW w:w="2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0.89</w:t>
            </w:r>
          </w:p>
        </w:tc>
        <w:tc>
          <w:tcPr>
            <w:tcW w:w="40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0.72</w:t>
            </w:r>
          </w:p>
        </w:tc>
        <w:tc>
          <w:tcPr>
            <w:tcW w:w="60" w:type="dxa"/>
            <w:vAlign w:val="bottom"/>
          </w:tcPr>
          <w:p>
            <w:pPr>
              <w:spacing w:after="0"/>
              <w:rPr>
                <w:sz w:val="12"/>
                <w:szCs w:val="12"/>
                <w:color w:val="auto"/>
              </w:rPr>
            </w:pPr>
          </w:p>
        </w:tc>
      </w:tr>
      <w:tr>
        <w:trPr>
          <w:trHeight w:val="148"/>
        </w:trPr>
        <w:tc>
          <w:tcPr>
            <w:tcW w:w="6460" w:type="dxa"/>
            <w:vAlign w:val="bottom"/>
            <w:shd w:val="clear" w:color="auto" w:fill="CCEEFF"/>
          </w:tcPr>
          <w:p>
            <w:pPr>
              <w:spacing w:after="0"/>
              <w:rPr>
                <w:sz w:val="20"/>
                <w:szCs w:val="20"/>
                <w:color w:val="auto"/>
              </w:rPr>
            </w:pPr>
            <w:r>
              <w:rPr>
                <w:rFonts w:ascii="Arial" w:cs="Arial" w:eastAsia="Arial" w:hAnsi="Arial"/>
                <w:sz w:val="13"/>
                <w:szCs w:val="13"/>
                <w:color w:val="auto"/>
              </w:rPr>
              <w:t>Diluted net increase in net assets per share resulting from operations *</w:t>
            </w:r>
          </w:p>
        </w:tc>
        <w:tc>
          <w:tcPr>
            <w:tcW w:w="160" w:type="dxa"/>
            <w:vAlign w:val="bottom"/>
            <w:shd w:val="clear" w:color="auto" w:fill="CCEEFF"/>
          </w:tcPr>
          <w:p>
            <w:pPr>
              <w:jc w:val="right"/>
              <w:ind w:right="45"/>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0.49</w:t>
            </w:r>
          </w:p>
        </w:tc>
        <w:tc>
          <w:tcPr>
            <w:tcW w:w="440" w:type="dxa"/>
            <w:vAlign w:val="bottom"/>
            <w:gridSpan w:val="2"/>
            <w:shd w:val="clear" w:color="auto" w:fill="CCEEFF"/>
          </w:tcPr>
          <w:p>
            <w:pPr>
              <w:jc w:val="right"/>
              <w:ind w:right="33"/>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0.45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0.89</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0.71</w:t>
            </w:r>
          </w:p>
        </w:tc>
        <w:tc>
          <w:tcPr>
            <w:tcW w:w="60" w:type="dxa"/>
            <w:vAlign w:val="bottom"/>
            <w:shd w:val="clear" w:color="auto" w:fill="CCEEFF"/>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112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shares issued in connection with the underwriters’ overallotment option.</w:t>
      </w:r>
    </w:p>
    <w:p>
      <w:pPr>
        <w:spacing w:after="0" w:line="2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7. CASH EQUIVALENTS</w:t>
      </w:r>
    </w:p>
    <w:p>
      <w:pPr>
        <w:spacing w:after="0" w:line="82" w:lineRule="exact"/>
        <w:rPr>
          <w:sz w:val="20"/>
          <w:szCs w:val="20"/>
          <w:color w:val="auto"/>
        </w:rPr>
      </w:pPr>
    </w:p>
    <w:p>
      <w:pPr>
        <w:ind w:right="40" w:firstLine="786"/>
        <w:spacing w:after="0" w:line="268" w:lineRule="auto"/>
        <w:rPr>
          <w:sz w:val="20"/>
          <w:szCs w:val="20"/>
          <w:color w:val="auto"/>
        </w:rPr>
      </w:pPr>
      <w:r>
        <w:rPr>
          <w:rFonts w:ascii="Arial" w:cs="Arial" w:eastAsia="Arial" w:hAnsi="Arial"/>
          <w:sz w:val="12"/>
          <w:szCs w:val="12"/>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2014 and September 30, 2013, cash equivalents consisted of money market funds in the amounts of $5.1 million and $4.6 million, respectively.</w:t>
      </w:r>
    </w:p>
    <w:p>
      <w:pPr>
        <w:spacing w:after="0" w:line="109"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18</w:t>
      </w:r>
    </w:p>
    <w:p>
      <w:pPr>
        <w:sectPr>
          <w:pgSz w:w="11900" w:h="16838" w:orient="portrait"/>
          <w:cols w:equalWidth="0" w:num="1">
            <w:col w:w="11180"/>
          </w:cols>
          <w:pgMar w:left="320" w:top="459" w:right="39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ind w:right="-59"/>
        <w:spacing w:after="0"/>
        <w:rPr>
          <w:sz w:val="20"/>
          <w:szCs w:val="20"/>
          <w:color w:val="auto"/>
        </w:rPr>
      </w:pPr>
      <w:r>
        <w:rPr>
          <w:rFonts w:ascii="Arial" w:cs="Arial" w:eastAsia="Arial" w:hAnsi="Arial"/>
          <w:sz w:val="13"/>
          <w:szCs w:val="13"/>
          <w:b w:val="1"/>
          <w:bCs w:val="1"/>
          <w:color w:val="auto"/>
        </w:rPr>
        <w:t>MARCH 31, 2014</w:t>
      </w:r>
    </w:p>
    <w:p>
      <w:pPr>
        <w:jc w:val="center"/>
        <w:ind w:right="-59"/>
        <w:spacing w:after="0"/>
        <w:rPr>
          <w:sz w:val="20"/>
          <w:szCs w:val="20"/>
          <w:color w:val="auto"/>
        </w:rPr>
      </w:pPr>
      <w:r>
        <w:rPr>
          <w:rFonts w:ascii="Arial" w:cs="Arial" w:eastAsia="Arial" w:hAnsi="Arial"/>
          <w:sz w:val="13"/>
          <w:szCs w:val="13"/>
          <w:b w:val="1"/>
          <w:bCs w:val="1"/>
          <w:color w:val="auto"/>
        </w:rPr>
        <w:t>(Unaudited)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8. FINANCIAL HIGHLIGHTS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6320" w:type="dxa"/>
            <w:vAlign w:val="bottom"/>
          </w:tcPr>
          <w:p>
            <w:pPr>
              <w:ind w:left="800"/>
              <w:spacing w:after="0"/>
              <w:rPr>
                <w:sz w:val="20"/>
                <w:szCs w:val="20"/>
                <w:color w:val="auto"/>
              </w:rPr>
            </w:pPr>
            <w:r>
              <w:rPr>
                <w:rFonts w:ascii="Arial" w:cs="Arial" w:eastAsia="Arial" w:hAnsi="Arial"/>
                <w:sz w:val="13"/>
                <w:szCs w:val="13"/>
                <w:color w:val="auto"/>
              </w:rPr>
              <w:t>Below are the financial highlights:</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8"/>
        </w:trPr>
        <w:tc>
          <w:tcPr>
            <w:tcW w:w="6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20" w:type="dxa"/>
            <w:vAlign w:val="bottom"/>
            <w:gridSpan w:val="6"/>
          </w:tcPr>
          <w:p>
            <w:pPr>
              <w:jc w:val="right"/>
              <w:ind w:right="320"/>
              <w:spacing w:after="0"/>
              <w:rPr>
                <w:sz w:val="20"/>
                <w:szCs w:val="20"/>
                <w:color w:val="auto"/>
              </w:rPr>
            </w:pPr>
            <w:r>
              <w:rPr>
                <w:rFonts w:ascii="Arial" w:cs="Arial" w:eastAsia="Arial" w:hAnsi="Arial"/>
                <w:sz w:val="13"/>
                <w:szCs w:val="13"/>
                <w:b w:val="1"/>
                <w:bCs w:val="1"/>
                <w:color w:val="auto"/>
              </w:rPr>
              <w:t>Six Months Ended March 31,</w:t>
            </w:r>
          </w:p>
        </w:tc>
        <w:tc>
          <w:tcPr>
            <w:tcW w:w="0" w:type="dxa"/>
            <w:vAlign w:val="bottom"/>
          </w:tcPr>
          <w:p>
            <w:pPr>
              <w:spacing w:after="0"/>
              <w:rPr>
                <w:sz w:val="1"/>
                <w:szCs w:val="1"/>
                <w:color w:val="auto"/>
              </w:rPr>
            </w:pPr>
          </w:p>
        </w:tc>
      </w:tr>
      <w:tr>
        <w:trPr>
          <w:trHeight w:val="142"/>
        </w:trPr>
        <w:tc>
          <w:tcPr>
            <w:tcW w:w="63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3"/>
                <w:szCs w:val="13"/>
                <w:b w:val="1"/>
                <w:bCs w:val="1"/>
                <w:color w:val="auto"/>
              </w:rPr>
              <w:t>2014</w:t>
            </w:r>
          </w:p>
        </w:tc>
        <w:tc>
          <w:tcPr>
            <w:tcW w:w="3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3"/>
                <w:szCs w:val="13"/>
                <w:b w:val="1"/>
                <w:bCs w:val="1"/>
                <w:color w:val="auto"/>
              </w:rPr>
              <w:t>2013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6320" w:type="dxa"/>
            <w:vAlign w:val="bottom"/>
            <w:shd w:val="clear" w:color="auto" w:fill="CCEEFF"/>
          </w:tcPr>
          <w:p>
            <w:pPr>
              <w:spacing w:after="0" w:line="129" w:lineRule="exact"/>
              <w:rPr>
                <w:sz w:val="20"/>
                <w:szCs w:val="20"/>
                <w:color w:val="auto"/>
              </w:rPr>
            </w:pPr>
            <w:r>
              <w:rPr>
                <w:rFonts w:ascii="Arial" w:cs="Arial" w:eastAsia="Arial" w:hAnsi="Arial"/>
                <w:sz w:val="13"/>
                <w:szCs w:val="13"/>
                <w:b w:val="1"/>
                <w:bCs w:val="1"/>
                <w:color w:val="auto"/>
              </w:rPr>
              <w:t>Per Share Data:</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320" w:type="dxa"/>
            <w:vAlign w:val="bottom"/>
          </w:tcPr>
          <w:p>
            <w:pPr>
              <w:spacing w:after="0"/>
              <w:rPr>
                <w:sz w:val="20"/>
                <w:szCs w:val="20"/>
                <w:color w:val="auto"/>
              </w:rPr>
            </w:pPr>
            <w:r>
              <w:rPr>
                <w:rFonts w:ascii="Arial" w:cs="Arial" w:eastAsia="Arial" w:hAnsi="Arial"/>
                <w:sz w:val="13"/>
                <w:szCs w:val="13"/>
                <w:color w:val="auto"/>
              </w:rPr>
              <w:t>Net asset value, beginning of period</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14.10</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13.98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investment income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0.47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1"/>
                <w:szCs w:val="11"/>
                <w:color w:val="auto"/>
              </w:rPr>
              <w:t xml:space="preserve">Net realized and unrealized gain </w:t>
            </w:r>
            <w:r>
              <w:rPr>
                <w:rFonts w:ascii="Arial" w:cs="Arial" w:eastAsia="Arial" w:hAnsi="Arial"/>
                <w:sz w:val="17"/>
                <w:szCs w:val="17"/>
                <w:color w:val="auto"/>
                <w:vertAlign w:val="superscript"/>
              </w:rPr>
              <w:t>(1)</w:t>
            </w:r>
          </w:p>
        </w:tc>
        <w:tc>
          <w:tcPr>
            <w:tcW w:w="100" w:type="dxa"/>
            <w:vAlign w:val="bottom"/>
          </w:tcPr>
          <w:p>
            <w:pPr>
              <w:spacing w:after="0"/>
              <w:rPr>
                <w:sz w:val="12"/>
                <w:szCs w:val="12"/>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0.42</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Net increase in net assets resulting from operations </w:t>
            </w:r>
            <w:r>
              <w:rPr>
                <w:rFonts w:ascii="Arial" w:cs="Arial" w:eastAsia="Arial" w:hAnsi="Arial"/>
                <w:sz w:val="17"/>
                <w:szCs w:val="17"/>
                <w:color w:val="auto"/>
                <w:vertAlign w:val="superscript"/>
              </w:rPr>
              <w:t>(1)</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0.89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0.72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1"/>
                <w:szCs w:val="11"/>
                <w:color w:val="auto"/>
              </w:rPr>
              <w:t xml:space="preserve">Distributions to stockholders </w:t>
            </w:r>
            <w:r>
              <w:rPr>
                <w:rFonts w:ascii="Arial" w:cs="Arial" w:eastAsia="Arial" w:hAnsi="Arial"/>
                <w:sz w:val="17"/>
                <w:szCs w:val="17"/>
                <w:color w:val="auto"/>
                <w:vertAlign w:val="superscript"/>
              </w:rPr>
              <w:t>(1), (2)</w:t>
            </w:r>
          </w:p>
        </w:tc>
        <w:tc>
          <w:tcPr>
            <w:tcW w:w="100" w:type="dxa"/>
            <w:vAlign w:val="bottom"/>
          </w:tcPr>
          <w:p>
            <w:pPr>
              <w:spacing w:after="0"/>
              <w:rPr>
                <w:sz w:val="12"/>
                <w:szCs w:val="12"/>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3"/>
                <w:szCs w:val="13"/>
                <w:color w:val="auto"/>
              </w:rPr>
              <w:t>(0.53)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(0.50)</w:t>
            </w: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Effect of common stock issuance and offering costs</w:t>
            </w: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(0.10)</w:t>
            </w: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3"/>
                <w:szCs w:val="13"/>
                <w:color w:val="auto"/>
              </w:rPr>
              <w:t>Net asset value, end of period</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14.46</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14.10</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Per share market value,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13.82</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13.96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line="176" w:lineRule="exact"/>
              <w:rPr>
                <w:sz w:val="20"/>
                <w:szCs w:val="20"/>
                <w:color w:val="auto"/>
              </w:rPr>
            </w:pPr>
            <w:r>
              <w:rPr>
                <w:rFonts w:ascii="Arial" w:cs="Arial" w:eastAsia="Arial" w:hAnsi="Arial"/>
                <w:sz w:val="12"/>
                <w:szCs w:val="12"/>
                <w:color w:val="auto"/>
              </w:rPr>
              <w:t xml:space="preserve">Total return* </w:t>
            </w:r>
            <w:r>
              <w:rPr>
                <w:rFonts w:ascii="Arial" w:cs="Arial" w:eastAsia="Arial" w:hAnsi="Arial"/>
                <w:sz w:val="20"/>
                <w:szCs w:val="20"/>
                <w:color w:val="auto"/>
                <w:vertAlign w:val="superscript"/>
              </w:rPr>
              <w:t>(3)</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4.27%</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14.34%</w:t>
            </w: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Shares outstanding at end of period</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14,898,056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9,851,151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320" w:type="dxa"/>
            <w:vAlign w:val="bottom"/>
          </w:tcPr>
          <w:p>
            <w:pPr>
              <w:spacing w:after="0"/>
              <w:rPr>
                <w:sz w:val="20"/>
                <w:szCs w:val="20"/>
                <w:color w:val="auto"/>
              </w:rPr>
            </w:pPr>
            <w:r>
              <w:rPr>
                <w:rFonts w:ascii="Arial" w:cs="Arial" w:eastAsia="Arial" w:hAnsi="Arial"/>
                <w:sz w:val="13"/>
                <w:szCs w:val="13"/>
                <w:b w:val="1"/>
                <w:bCs w:val="1"/>
                <w:color w:val="auto"/>
              </w:rPr>
              <w:t>Ratios** / Supplemental Data:</w:t>
            </w: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3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Ratio of operating expenses to average net assets </w:t>
            </w:r>
            <w:r>
              <w:rPr>
                <w:rFonts w:ascii="Arial" w:cs="Arial" w:eastAsia="Arial" w:hAnsi="Arial"/>
                <w:sz w:val="17"/>
                <w:szCs w:val="17"/>
                <w:color w:val="auto"/>
                <w:vertAlign w:val="superscript"/>
              </w:rPr>
              <w:t>(4)</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4.80%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5.68%</w:t>
            </w: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1"/>
                <w:szCs w:val="11"/>
                <w:color w:val="auto"/>
              </w:rPr>
              <w:t xml:space="preserve">Ratio of Credit Facility related expenses to average net assets </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1.94%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2.37%</w:t>
            </w: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Ratio of total expenses to average net assets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6.74%</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8.05%</w:t>
            </w:r>
          </w:p>
        </w:tc>
        <w:tc>
          <w:tcPr>
            <w:tcW w:w="0" w:type="dxa"/>
            <w:vAlign w:val="bottom"/>
          </w:tcPr>
          <w:p>
            <w:pPr>
              <w:spacing w:after="0"/>
              <w:rPr>
                <w:sz w:val="1"/>
                <w:szCs w:val="1"/>
                <w:color w:val="auto"/>
              </w:rPr>
            </w:pPr>
          </w:p>
        </w:tc>
      </w:tr>
      <w:tr>
        <w:trPr>
          <w:trHeight w:val="149"/>
        </w:trPr>
        <w:tc>
          <w:tcPr>
            <w:tcW w:w="6320" w:type="dxa"/>
            <w:vAlign w:val="bottom"/>
          </w:tcPr>
          <w:p>
            <w:pPr>
              <w:spacing w:after="0" w:line="149" w:lineRule="exact"/>
              <w:rPr>
                <w:sz w:val="20"/>
                <w:szCs w:val="20"/>
                <w:color w:val="auto"/>
              </w:rPr>
            </w:pPr>
            <w:r>
              <w:rPr>
                <w:rFonts w:ascii="Arial" w:cs="Arial" w:eastAsia="Arial" w:hAnsi="Arial"/>
                <w:sz w:val="11"/>
                <w:szCs w:val="11"/>
                <w:color w:val="auto"/>
              </w:rPr>
              <w:t xml:space="preserve">Ratio of net investment income to average net assets </w:t>
            </w:r>
            <w:r>
              <w:rPr>
                <w:rFonts w:ascii="Arial" w:cs="Arial" w:eastAsia="Arial" w:hAnsi="Arial"/>
                <w:sz w:val="17"/>
                <w:szCs w:val="17"/>
                <w:color w:val="auto"/>
                <w:vertAlign w:val="superscript"/>
              </w:rPr>
              <w:t>(5)</w:t>
            </w:r>
          </w:p>
        </w:tc>
        <w:tc>
          <w:tcPr>
            <w:tcW w:w="100" w:type="dxa"/>
            <w:vAlign w:val="bottom"/>
          </w:tcPr>
          <w:p>
            <w:pPr>
              <w:spacing w:after="0"/>
              <w:rPr>
                <w:sz w:val="12"/>
                <w:szCs w:val="12"/>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3"/>
                <w:szCs w:val="13"/>
                <w:color w:val="auto"/>
              </w:rPr>
              <w:t>6.88%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Net assets at end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w w:val="91"/>
              </w:rPr>
              <w:t>215,352,767</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4"/>
              </w:rPr>
              <w:t>138,879,485</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spacing w:after="0"/>
              <w:rPr>
                <w:sz w:val="20"/>
                <w:szCs w:val="20"/>
                <w:color w:val="auto"/>
              </w:rPr>
            </w:pPr>
            <w:r>
              <w:rPr>
                <w:rFonts w:ascii="Arial" w:cs="Arial" w:eastAsia="Arial" w:hAnsi="Arial"/>
                <w:sz w:val="13"/>
                <w:szCs w:val="13"/>
                <w:color w:val="auto"/>
              </w:rPr>
              <w:t>Average debt outstanding</w:t>
            </w: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3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w w:val="91"/>
              </w:rPr>
              <w:t>142,153,846</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73,503,159</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6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320" w:type="dxa"/>
            <w:vAlign w:val="bottom"/>
            <w:shd w:val="clear" w:color="auto" w:fill="CCEEFF"/>
          </w:tcPr>
          <w:p>
            <w:pPr>
              <w:spacing w:after="0" w:line="149" w:lineRule="exact"/>
              <w:rPr>
                <w:sz w:val="20"/>
                <w:szCs w:val="20"/>
                <w:color w:val="auto"/>
              </w:rPr>
            </w:pPr>
            <w:r>
              <w:rPr>
                <w:rFonts w:ascii="Arial" w:cs="Arial" w:eastAsia="Arial" w:hAnsi="Arial"/>
                <w:sz w:val="11"/>
                <w:szCs w:val="11"/>
                <w:color w:val="auto"/>
              </w:rPr>
              <w:t xml:space="preserve">Average debt per share </w:t>
            </w:r>
            <w:r>
              <w:rPr>
                <w:rFonts w:ascii="Arial" w:cs="Arial" w:eastAsia="Arial" w:hAnsi="Arial"/>
                <w:sz w:val="17"/>
                <w:szCs w:val="17"/>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9.54</w:t>
            </w:r>
          </w:p>
        </w:tc>
        <w:tc>
          <w:tcPr>
            <w:tcW w:w="30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tcPr>
          <w:p>
            <w:pPr>
              <w:spacing w:after="0" w:line="149" w:lineRule="exact"/>
              <w:rPr>
                <w:sz w:val="20"/>
                <w:szCs w:val="20"/>
                <w:color w:val="auto"/>
              </w:rPr>
            </w:pPr>
            <w:r>
              <w:rPr>
                <w:rFonts w:ascii="Arial" w:cs="Arial" w:eastAsia="Arial" w:hAnsi="Arial"/>
                <w:sz w:val="11"/>
                <w:szCs w:val="11"/>
                <w:color w:val="auto"/>
              </w:rPr>
              <w:t xml:space="preserve">Asset coverage per unit </w:t>
            </w:r>
            <w:r>
              <w:rPr>
                <w:rFonts w:ascii="Arial" w:cs="Arial" w:eastAsia="Arial" w:hAnsi="Arial"/>
                <w:sz w:val="17"/>
                <w:szCs w:val="17"/>
                <w:color w:val="auto"/>
                <w:vertAlign w:val="superscript"/>
              </w:rPr>
              <w:t>(6)</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00" w:type="dxa"/>
            <w:vAlign w:val="bottom"/>
            <w:gridSpan w:val="2"/>
          </w:tcPr>
          <w:p>
            <w:pPr>
              <w:jc w:val="right"/>
              <w:ind w:right="320"/>
              <w:spacing w:after="0"/>
              <w:rPr>
                <w:sz w:val="20"/>
                <w:szCs w:val="20"/>
                <w:color w:val="auto"/>
              </w:rPr>
            </w:pPr>
            <w:r>
              <w:rPr>
                <w:rFonts w:ascii="Arial" w:cs="Arial" w:eastAsia="Arial" w:hAnsi="Arial"/>
                <w:sz w:val="13"/>
                <w:szCs w:val="13"/>
                <w:color w:val="auto"/>
              </w:rPr>
              <w:t>2,243</w:t>
            </w:r>
          </w:p>
        </w:tc>
        <w:tc>
          <w:tcPr>
            <w:tcW w:w="30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5,061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320" w:type="dxa"/>
            <w:vAlign w:val="bottom"/>
            <w:shd w:val="clear" w:color="auto" w:fill="CCEEFF"/>
          </w:tcPr>
          <w:p>
            <w:pPr>
              <w:spacing w:after="0"/>
              <w:rPr>
                <w:sz w:val="20"/>
                <w:szCs w:val="20"/>
                <w:color w:val="auto"/>
              </w:rPr>
            </w:pPr>
            <w:r>
              <w:rPr>
                <w:rFonts w:ascii="Arial" w:cs="Arial" w:eastAsia="Arial" w:hAnsi="Arial"/>
                <w:sz w:val="13"/>
                <w:szCs w:val="13"/>
                <w:color w:val="auto"/>
              </w:rPr>
              <w:t>Portfolio turnover ratio</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51.03%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85.12%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12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66" w:lineRule="exact"/>
        <w:rPr>
          <w:sz w:val="20"/>
          <w:szCs w:val="20"/>
          <w:color w:val="auto"/>
        </w:rPr>
      </w:pPr>
    </w:p>
    <w:p>
      <w:pPr>
        <w:ind w:right="8380" w:firstLine="8"/>
        <w:spacing w:after="0" w:line="250" w:lineRule="auto"/>
        <w:tabs>
          <w:tab w:leader="none" w:pos="324" w:val="left"/>
        </w:tabs>
        <w:numPr>
          <w:ilvl w:val="0"/>
          <w:numId w:val="8"/>
        </w:numPr>
        <w:rPr>
          <w:rFonts w:ascii="Arial" w:cs="Arial" w:eastAsia="Arial" w:hAnsi="Arial"/>
          <w:sz w:val="12"/>
          <w:szCs w:val="12"/>
          <w:color w:val="auto"/>
        </w:rPr>
      </w:pPr>
      <w:r>
        <w:rPr>
          <w:rFonts w:ascii="Arial" w:cs="Arial" w:eastAsia="Arial" w:hAnsi="Arial"/>
          <w:sz w:val="12"/>
          <w:szCs w:val="12"/>
          <w:color w:val="auto"/>
        </w:rPr>
        <w:t>Not annualized for periods less than one year. ** Annualized for periods less than one year.</w:t>
      </w:r>
    </w:p>
    <w:p>
      <w:pPr>
        <w:ind w:left="340" w:hanging="332"/>
        <w:spacing w:after="0" w:line="186" w:lineRule="auto"/>
        <w:tabs>
          <w:tab w:leader="none" w:pos="340" w:val="left"/>
        </w:tabs>
        <w:numPr>
          <w:ilvl w:val="0"/>
          <w:numId w:val="9"/>
        </w:numPr>
        <w:rPr>
          <w:rFonts w:ascii="Arial" w:cs="Arial" w:eastAsia="Arial" w:hAnsi="Arial"/>
          <w:sz w:val="19"/>
          <w:szCs w:val="19"/>
          <w:color w:val="auto"/>
          <w:vertAlign w:val="superscript"/>
        </w:rPr>
      </w:pPr>
      <w:r>
        <w:rPr>
          <w:rFonts w:ascii="Arial" w:cs="Arial" w:eastAsia="Arial" w:hAnsi="Arial"/>
          <w:sz w:val="12"/>
          <w:szCs w:val="12"/>
          <w:color w:val="auto"/>
        </w:rPr>
        <w:t>Based on the weighted average shares outstanding for the respective periods.</w:t>
      </w:r>
    </w:p>
    <w:p>
      <w:pPr>
        <w:ind w:left="340" w:hanging="332"/>
        <w:spacing w:after="0" w:line="182" w:lineRule="auto"/>
        <w:tabs>
          <w:tab w:leader="none" w:pos="340" w:val="left"/>
        </w:tabs>
        <w:numPr>
          <w:ilvl w:val="0"/>
          <w:numId w:val="9"/>
        </w:numPr>
        <w:rPr>
          <w:rFonts w:ascii="Arial" w:cs="Arial" w:eastAsia="Arial" w:hAnsi="Arial"/>
          <w:sz w:val="17"/>
          <w:szCs w:val="17"/>
          <w:color w:val="auto"/>
          <w:vertAlign w:val="superscript"/>
        </w:rPr>
      </w:pPr>
      <w:r>
        <w:rPr>
          <w:rFonts w:ascii="Arial" w:cs="Arial" w:eastAsia="Arial" w:hAnsi="Arial"/>
          <w:sz w:val="11"/>
          <w:szCs w:val="11"/>
          <w:color w:val="auto"/>
        </w:rPr>
        <w:t>The tax status of distributions is calculated in accordance with income tax regulations, which may differ from amounts determined under GAAP, and reported on Form 1099-DIV each calendar year.</w:t>
      </w:r>
    </w:p>
    <w:p>
      <w:pPr>
        <w:ind w:left="340" w:hanging="332"/>
        <w:spacing w:after="0" w:line="182" w:lineRule="auto"/>
        <w:tabs>
          <w:tab w:leader="none" w:pos="340" w:val="left"/>
        </w:tabs>
        <w:numPr>
          <w:ilvl w:val="0"/>
          <w:numId w:val="9"/>
        </w:numPr>
        <w:rPr>
          <w:rFonts w:ascii="Arial" w:cs="Arial" w:eastAsia="Arial" w:hAnsi="Arial"/>
          <w:sz w:val="17"/>
          <w:szCs w:val="17"/>
          <w:color w:val="auto"/>
          <w:vertAlign w:val="superscript"/>
        </w:rPr>
      </w:pPr>
      <w:r>
        <w:rPr>
          <w:rFonts w:ascii="Arial" w:cs="Arial" w:eastAsia="Arial" w:hAnsi="Arial"/>
          <w:sz w:val="11"/>
          <w:szCs w:val="11"/>
          <w:color w:val="auto"/>
        </w:rPr>
        <w:t>Based on the change in market price per share during the period and takes into account distributions, if any, reinvested in accordance with our dividend reinvestment plan.</w:t>
      </w:r>
    </w:p>
    <w:p>
      <w:pPr>
        <w:ind w:left="340" w:hanging="332"/>
        <w:spacing w:after="0" w:line="182" w:lineRule="auto"/>
        <w:tabs>
          <w:tab w:leader="none" w:pos="340" w:val="left"/>
        </w:tabs>
        <w:numPr>
          <w:ilvl w:val="0"/>
          <w:numId w:val="9"/>
        </w:numPr>
        <w:rPr>
          <w:rFonts w:ascii="Arial" w:cs="Arial" w:eastAsia="Arial" w:hAnsi="Arial"/>
          <w:sz w:val="17"/>
          <w:szCs w:val="17"/>
          <w:color w:val="auto"/>
          <w:vertAlign w:val="superscript"/>
        </w:rPr>
      </w:pPr>
      <w:r>
        <w:rPr>
          <w:rFonts w:ascii="Arial" w:cs="Arial" w:eastAsia="Arial" w:hAnsi="Arial"/>
          <w:sz w:val="11"/>
          <w:szCs w:val="11"/>
          <w:color w:val="auto"/>
        </w:rPr>
        <w:t>Operating expenses exclude Credit Facility related costs.</w:t>
      </w:r>
    </w:p>
    <w:p>
      <w:pPr>
        <w:ind w:left="340" w:hanging="332"/>
        <w:spacing w:after="0" w:line="182" w:lineRule="auto"/>
        <w:tabs>
          <w:tab w:leader="none" w:pos="340" w:val="left"/>
        </w:tabs>
        <w:numPr>
          <w:ilvl w:val="0"/>
          <w:numId w:val="9"/>
        </w:numPr>
        <w:rPr>
          <w:rFonts w:ascii="Arial" w:cs="Arial" w:eastAsia="Arial" w:hAnsi="Arial"/>
          <w:sz w:val="17"/>
          <w:szCs w:val="17"/>
          <w:color w:val="auto"/>
          <w:vertAlign w:val="superscript"/>
        </w:rPr>
      </w:pPr>
      <w:r>
        <w:rPr>
          <w:rFonts w:ascii="Arial" w:cs="Arial" w:eastAsia="Arial" w:hAnsi="Arial"/>
          <w:sz w:val="11"/>
          <w:szCs w:val="11"/>
          <w:color w:val="auto"/>
        </w:rPr>
        <w:t>Credit Facility amendment costs are not annualized.</w:t>
      </w:r>
    </w:p>
    <w:p>
      <w:pPr>
        <w:ind w:left="340" w:right="140" w:hanging="332"/>
        <w:spacing w:after="0" w:line="184" w:lineRule="auto"/>
        <w:tabs>
          <w:tab w:leader="none" w:pos="340" w:val="left"/>
        </w:tabs>
        <w:numPr>
          <w:ilvl w:val="0"/>
          <w:numId w:val="9"/>
        </w:numPr>
        <w:rPr>
          <w:rFonts w:ascii="Arial" w:cs="Arial" w:eastAsia="Arial" w:hAnsi="Arial"/>
          <w:sz w:val="22"/>
          <w:szCs w:val="22"/>
          <w:color w:val="auto"/>
          <w:vertAlign w:val="superscript"/>
        </w:rPr>
      </w:pPr>
      <w:r>
        <w:rPr>
          <w:rFonts w:ascii="Arial" w:cs="Arial" w:eastAsia="Arial" w:hAnsi="Arial"/>
          <w:sz w:val="13"/>
          <w:szCs w:val="13"/>
          <w:color w:val="auto"/>
        </w:rPr>
        <w:t>The asset coverage ratio for a class of senior securities representing indebtedness is calculated on our consolidated total assets, less all liabilities and indebtedness not represented by senior securities, divided by the senior securities representing indebtedness. This asset coverage ratio is multiplied by $1,000 to determine the asset coverage per unit.</w:t>
      </w:r>
    </w:p>
    <w:p>
      <w:pPr>
        <w:spacing w:after="0" w:line="21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9. CREDIT FACILITY</w:t>
      </w:r>
    </w:p>
    <w:p>
      <w:pPr>
        <w:spacing w:after="0" w:line="82" w:lineRule="exact"/>
        <w:rPr>
          <w:sz w:val="20"/>
          <w:szCs w:val="20"/>
          <w:color w:val="auto"/>
        </w:rPr>
      </w:pPr>
    </w:p>
    <w:p>
      <w:pPr>
        <w:ind w:right="60" w:firstLine="786"/>
        <w:spacing w:after="0" w:line="245" w:lineRule="auto"/>
        <w:rPr>
          <w:sz w:val="20"/>
          <w:szCs w:val="20"/>
          <w:color w:val="auto"/>
        </w:rPr>
      </w:pPr>
      <w:r>
        <w:rPr>
          <w:rFonts w:ascii="Arial" w:cs="Arial" w:eastAsia="Arial" w:hAnsi="Arial"/>
          <w:sz w:val="13"/>
          <w:szCs w:val="13"/>
          <w:color w:val="auto"/>
        </w:rPr>
        <w:t>Funding I’s Credit Facility with affiliates of SunTrust Bank, or the Lender, is $200 million, has an interest rate spread above LIBOR of 200 basis points, matures in May 2018 and its reinvestment period ends in May 2016. In November 2013, we expanded the Credit Facility to allow Funding I to borrow up to $200 million, up from $125 million. The Credit Facility is subject to satisfaction of certain conditions and the regulatory restrictions that the 1940 Act imposes on us as a BDC. As of March 31, 2014 and September 30, 2013, Funding I had $173.2 million and $99.6 million of outstanding borrowings under the Credit Facility, respectively, and carried an interest rate of 2.16% and 2.18%, respectively, excluding the 0.375% undrawn commitment fee. The annualized weighted average cost of debt for the six months ended March 31, 2014 and 2013, inclusive of the fee on the undrawn commitment on the Credit Facility but excluding amendment costs, was 2.39% and 2.63%, respectively.</w:t>
      </w:r>
    </w:p>
    <w:p>
      <w:pPr>
        <w:spacing w:after="0" w:line="137" w:lineRule="exact"/>
        <w:rPr>
          <w:sz w:val="20"/>
          <w:szCs w:val="20"/>
          <w:color w:val="auto"/>
        </w:rPr>
      </w:pPr>
    </w:p>
    <w:p>
      <w:pPr>
        <w:ind w:right="40" w:firstLine="786"/>
        <w:spacing w:after="0" w:line="256" w:lineRule="auto"/>
        <w:rPr>
          <w:sz w:val="20"/>
          <w:szCs w:val="20"/>
          <w:color w:val="auto"/>
        </w:rPr>
      </w:pPr>
      <w:r>
        <w:rPr>
          <w:rFonts w:ascii="Arial" w:cs="Arial" w:eastAsia="Arial" w:hAnsi="Arial"/>
          <w:sz w:val="13"/>
          <w:szCs w:val="13"/>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29" w:lineRule="exact"/>
        <w:rPr>
          <w:sz w:val="20"/>
          <w:szCs w:val="20"/>
          <w:color w:val="auto"/>
        </w:rPr>
      </w:pPr>
    </w:p>
    <w:p>
      <w:pPr>
        <w:ind w:right="40" w:firstLine="786"/>
        <w:spacing w:after="0" w:line="250"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33" w:lineRule="exact"/>
        <w:rPr>
          <w:sz w:val="20"/>
          <w:szCs w:val="20"/>
          <w:color w:val="auto"/>
        </w:rPr>
      </w:pPr>
    </w:p>
    <w:p>
      <w:pPr>
        <w:jc w:val="both"/>
        <w:ind w:right="240" w:firstLine="786"/>
        <w:spacing w:after="0" w:line="317" w:lineRule="auto"/>
        <w:rPr>
          <w:sz w:val="20"/>
          <w:szCs w:val="20"/>
          <w:color w:val="auto"/>
        </w:rPr>
      </w:pPr>
      <w:r>
        <w:rPr>
          <w:rFonts w:ascii="Arial" w:cs="Arial" w:eastAsia="Arial" w:hAnsi="Arial"/>
          <w:sz w:val="12"/>
          <w:szCs w:val="12"/>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94"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19</w:t>
      </w:r>
    </w:p>
    <w:p>
      <w:pPr>
        <w:sectPr>
          <w:pgSz w:w="11900" w:h="16838" w:orient="portrait"/>
          <w:cols w:equalWidth="0" w:num="1">
            <w:col w:w="11180"/>
          </w:cols>
          <w:pgMar w:left="320" w:top="459" w:right="39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ind w:left="3460"/>
        <w:spacing w:after="0"/>
        <w:rPr>
          <w:sz w:val="20"/>
          <w:szCs w:val="20"/>
          <w:color w:val="auto"/>
        </w:rPr>
      </w:pPr>
      <w:r>
        <w:rPr>
          <w:rFonts w:ascii="Arial" w:cs="Arial" w:eastAsia="Arial" w:hAnsi="Arial"/>
          <w:sz w:val="13"/>
          <w:szCs w:val="13"/>
          <w:b w:val="1"/>
          <w:bCs w:val="1"/>
          <w:color w:val="auto"/>
        </w:rPr>
        <w:t>PENNANTPARK FLOATING RATE CAPITAL LTD. AND SUBSIDIARY</w:t>
      </w:r>
    </w:p>
    <w:p>
      <w:pPr>
        <w:spacing w:after="0" w:line="12"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NOTES TO CONSOLIDATED FINANCIAL STATEMENTS—(Continued)</w:t>
      </w:r>
    </w:p>
    <w:p>
      <w:pPr>
        <w:jc w:val="center"/>
        <w:ind w:right="-79"/>
        <w:spacing w:after="0"/>
        <w:rPr>
          <w:sz w:val="20"/>
          <w:szCs w:val="20"/>
          <w:color w:val="auto"/>
        </w:rPr>
      </w:pPr>
      <w:r>
        <w:rPr>
          <w:rFonts w:ascii="Arial" w:cs="Arial" w:eastAsia="Arial" w:hAnsi="Arial"/>
          <w:sz w:val="13"/>
          <w:szCs w:val="13"/>
          <w:b w:val="1"/>
          <w:bCs w:val="1"/>
          <w:color w:val="auto"/>
        </w:rPr>
        <w:t>MARCH 31, 2014</w:t>
      </w:r>
    </w:p>
    <w:p>
      <w:pPr>
        <w:jc w:val="center"/>
        <w:ind w:right="-79"/>
        <w:spacing w:after="0"/>
        <w:rPr>
          <w:sz w:val="20"/>
          <w:szCs w:val="20"/>
          <w:color w:val="auto"/>
        </w:rPr>
      </w:pPr>
      <w:r>
        <w:rPr>
          <w:rFonts w:ascii="Arial" w:cs="Arial" w:eastAsia="Arial" w:hAnsi="Arial"/>
          <w:sz w:val="13"/>
          <w:szCs w:val="13"/>
          <w:b w:val="1"/>
          <w:bCs w:val="1"/>
          <w:color w:val="auto"/>
        </w:rPr>
        <w:t>(Unaudited)</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10. COMMITMENTS AND CONTINGENCIES</w:t>
      </w:r>
    </w:p>
    <w:p>
      <w:pPr>
        <w:spacing w:after="0" w:line="82" w:lineRule="exact"/>
        <w:rPr>
          <w:sz w:val="20"/>
          <w:szCs w:val="20"/>
          <w:color w:val="auto"/>
        </w:rPr>
      </w:pPr>
    </w:p>
    <w:p>
      <w:pPr>
        <w:ind w:firstLine="786"/>
        <w:spacing w:after="0" w:line="288" w:lineRule="auto"/>
        <w:rPr>
          <w:sz w:val="20"/>
          <w:szCs w:val="20"/>
          <w:color w:val="auto"/>
        </w:rPr>
      </w:pPr>
      <w:r>
        <w:rPr>
          <w:rFonts w:ascii="Arial" w:cs="Arial" w:eastAsia="Arial" w:hAnsi="Arial"/>
          <w:sz w:val="12"/>
          <w:szCs w:val="12"/>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investments described in the Consolidated Statement of Assets and Liabilities represent unfunded delayed draws on investments, if any.</w:t>
      </w:r>
    </w:p>
    <w:p>
      <w:pPr>
        <w:spacing w:after="0" w:line="97"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20</w:t>
      </w:r>
    </w:p>
    <w:p>
      <w:pPr>
        <w:sectPr>
          <w:pgSz w:w="11900" w:h="16838" w:orient="portrait"/>
          <w:cols w:equalWidth="0" w:num="1">
            <w:col w:w="11160"/>
          </w:cols>
          <w:pgMar w:left="320" w:top="459" w:right="4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The Board of Directors and Stockholders</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PennantPark Floating Rate Capital Ltd. and its Subsidiary:</w:t>
      </w:r>
    </w:p>
    <w:p>
      <w:pPr>
        <w:spacing w:after="0" w:line="149" w:lineRule="exact"/>
        <w:rPr>
          <w:sz w:val="20"/>
          <w:szCs w:val="20"/>
          <w:color w:val="auto"/>
        </w:rPr>
      </w:pPr>
    </w:p>
    <w:p>
      <w:pPr>
        <w:jc w:val="both"/>
        <w:ind w:right="40" w:firstLine="786"/>
        <w:spacing w:after="0" w:line="256" w:lineRule="auto"/>
        <w:rPr>
          <w:sz w:val="20"/>
          <w:szCs w:val="20"/>
          <w:color w:val="auto"/>
        </w:rPr>
      </w:pPr>
      <w:r>
        <w:rPr>
          <w:rFonts w:ascii="Arial" w:cs="Arial" w:eastAsia="Arial" w:hAnsi="Arial"/>
          <w:sz w:val="13"/>
          <w:szCs w:val="13"/>
          <w:color w:val="auto"/>
        </w:rPr>
        <w:t>We have reviewed the accompanying consolidated statements of assets and liabilities of PennantPark Floating Rate Capital Ltd. and its Subsidiary (the “Company”), including the consolidated schedule of investments, as of March 31, 2014, the consolidated statements of operations for the three and six months ended March 31, 2014 and the consolidated statements of changes in net assets, and cash flows for the six months ended March 31, 2014. These consolidated financial statements are the responsibility of the Company’s management.</w:t>
      </w:r>
    </w:p>
    <w:p>
      <w:pPr>
        <w:spacing w:after="0" w:line="129"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We conducted our review in accordance with the standards of the Public Company Accounting Oversight Board (United States). A review of interim financial information consists principally of applying analytical procedures to financial data and making inquiries of persons responsible for financial and accounting matters. It is substantially less in scope than an audit conducted in accordance with the standards of the Public Company Accounting Oversight Board, the objective of which is the expression of an opinion regarding the financial statements taken as a whole. Accordingly, we do not express such an opinion.</w:t>
      </w:r>
    </w:p>
    <w:p>
      <w:pPr>
        <w:spacing w:after="0" w:line="133" w:lineRule="exact"/>
        <w:rPr>
          <w:sz w:val="20"/>
          <w:szCs w:val="20"/>
          <w:color w:val="auto"/>
        </w:rPr>
      </w:pPr>
    </w:p>
    <w:p>
      <w:pPr>
        <w:ind w:left="800"/>
        <w:spacing w:after="0"/>
        <w:rPr>
          <w:sz w:val="20"/>
          <w:szCs w:val="20"/>
          <w:color w:val="auto"/>
        </w:rPr>
      </w:pPr>
      <w:r>
        <w:rPr>
          <w:rFonts w:ascii="Arial" w:cs="Arial" w:eastAsia="Arial" w:hAnsi="Arial"/>
          <w:sz w:val="12"/>
          <w:szCs w:val="12"/>
          <w:color w:val="auto"/>
        </w:rPr>
        <w:t>Based on our review, we are not aware of any material modifications that should be made to the consolidated financial statements referred to above for them to be in conformity with U.S.</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generally accepted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178435</wp:posOffset>
            </wp:positionV>
            <wp:extent cx="1285875" cy="299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5875" cy="299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3"/>
          <w:szCs w:val="13"/>
          <w:color w:val="auto"/>
        </w:rPr>
        <w:t>New York, New York</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May 8, 2014</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21</w:t>
      </w:r>
    </w:p>
    <w:p>
      <w:pPr>
        <w:sectPr>
          <w:pgSz w:w="11900" w:h="16838" w:orient="portrait"/>
          <w:cols w:equalWidth="0" w:num="1">
            <w:col w:w="11240"/>
          </w:cols>
          <w:pgMar w:left="320" w:top="459"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3"/>
          <w:szCs w:val="13"/>
          <w:b w:val="1"/>
          <w:bCs w:val="1"/>
          <w:color w:val="auto"/>
        </w:rPr>
        <w:t>MANAGEMENT’S DISCUSSION AND ANALYSIS OF FINANCIAL CONDITION AND RESULTS OF OPERATIONS</w:t>
      </w:r>
    </w:p>
    <w:p>
      <w:pPr>
        <w:spacing w:after="0" w:line="8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FORWARD-LOOKING STATEMENTS</w:t>
      </w:r>
    </w:p>
    <w:p>
      <w:pPr>
        <w:spacing w:after="0" w:line="82" w:lineRule="exact"/>
        <w:rPr>
          <w:sz w:val="20"/>
          <w:szCs w:val="20"/>
          <w:color w:val="auto"/>
        </w:rPr>
      </w:pPr>
    </w:p>
    <w:p>
      <w:pPr>
        <w:ind w:right="40" w:firstLine="786"/>
        <w:spacing w:after="0" w:line="250" w:lineRule="auto"/>
        <w:rPr>
          <w:sz w:val="20"/>
          <w:szCs w:val="20"/>
          <w:color w:val="auto"/>
        </w:rPr>
      </w:pPr>
      <w:r>
        <w:rPr>
          <w:rFonts w:ascii="Arial" w:cs="Arial" w:eastAsia="Arial" w:hAnsi="Arial"/>
          <w:sz w:val="13"/>
          <w:szCs w:val="13"/>
          <w:color w:val="auto"/>
        </w:rPr>
        <w:t>This Report, including Management’s Discussion and Analysis of Financial Condition and Results of Operations,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52" w:lineRule="exact"/>
        <w:rPr>
          <w:sz w:val="20"/>
          <w:szCs w:val="20"/>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future operating results;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business prospects and the prospects of our prospective portfolio companies;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dependence of our future success on the general economy and its impact on the industries in which we invest;</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impact of a protracted decline in the liquidity of credit markets on our business;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impact of investments that we expect to make;</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impact of fluctuations in interest rates on our business and our portfolio companies;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contractual arrangements and relationships with third parties;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valuation of our investments in portfolio companies, particularly those having no liquid trading market;</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ability of our prospective portfolio companies to achieve their objectives;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our expected financings and investments;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adequacy of our cash resources and working capital;</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timing of cash flows, if any, from the operations of our prospective portfolio companies;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ability of the Investment Adviser to locate suitable investments for us and to monitor and administer our investments; and</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0"/>
        </w:numPr>
        <w:rPr>
          <w:rFonts w:ascii="Arial" w:cs="Arial" w:eastAsia="Arial" w:hAnsi="Arial"/>
          <w:sz w:val="13"/>
          <w:szCs w:val="13"/>
          <w:color w:val="auto"/>
        </w:rPr>
      </w:pPr>
      <w:r>
        <w:rPr>
          <w:rFonts w:ascii="Arial" w:cs="Arial" w:eastAsia="Arial" w:hAnsi="Arial"/>
          <w:sz w:val="13"/>
          <w:szCs w:val="13"/>
          <w:color w:val="auto"/>
        </w:rPr>
        <w:t>the impact of future legislation and regulation on our business and our portfolio companies.</w:t>
      </w:r>
    </w:p>
    <w:p>
      <w:pPr>
        <w:spacing w:after="0" w:line="161" w:lineRule="exact"/>
        <w:rPr>
          <w:sz w:val="20"/>
          <w:szCs w:val="20"/>
          <w:color w:val="auto"/>
        </w:rPr>
      </w:pPr>
    </w:p>
    <w:p>
      <w:pPr>
        <w:ind w:right="100" w:firstLine="786"/>
        <w:spacing w:after="0" w:line="256" w:lineRule="auto"/>
        <w:rPr>
          <w:sz w:val="20"/>
          <w:szCs w:val="20"/>
          <w:color w:val="auto"/>
        </w:rPr>
      </w:pPr>
      <w:r>
        <w:rPr>
          <w:rFonts w:ascii="Arial" w:cs="Arial" w:eastAsia="Arial" w:hAnsi="Arial"/>
          <w:sz w:val="13"/>
          <w:szCs w:val="13"/>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 including the factors in “Risk Factors” and elsewhere in this Report.</w:t>
      </w:r>
    </w:p>
    <w:p>
      <w:pPr>
        <w:spacing w:after="0" w:line="129" w:lineRule="exact"/>
        <w:rPr>
          <w:sz w:val="20"/>
          <w:szCs w:val="20"/>
          <w:color w:val="auto"/>
        </w:rPr>
      </w:pPr>
    </w:p>
    <w:p>
      <w:pPr>
        <w:ind w:right="60" w:firstLine="786"/>
        <w:spacing w:after="0" w:line="250" w:lineRule="auto"/>
        <w:rPr>
          <w:sz w:val="20"/>
          <w:szCs w:val="20"/>
          <w:color w:val="auto"/>
        </w:rPr>
      </w:pPr>
      <w:r>
        <w:rPr>
          <w:rFonts w:ascii="Arial" w:cs="Arial" w:eastAsia="Arial" w:hAnsi="Arial"/>
          <w:sz w:val="13"/>
          <w:szCs w:val="13"/>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33" w:lineRule="exact"/>
        <w:rPr>
          <w:sz w:val="20"/>
          <w:szCs w:val="20"/>
          <w:color w:val="auto"/>
        </w:rPr>
      </w:pPr>
    </w:p>
    <w:p>
      <w:pPr>
        <w:ind w:firstLine="786"/>
        <w:spacing w:after="0" w:line="288" w:lineRule="auto"/>
        <w:rPr>
          <w:sz w:val="20"/>
          <w:szCs w:val="20"/>
          <w:color w:val="auto"/>
        </w:rPr>
      </w:pPr>
      <w:r>
        <w:rPr>
          <w:rFonts w:ascii="Arial" w:cs="Arial" w:eastAsia="Arial" w:hAnsi="Arial"/>
          <w:sz w:val="12"/>
          <w:szCs w:val="12"/>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1" w:lineRule="exact"/>
        <w:rPr>
          <w:sz w:val="20"/>
          <w:szCs w:val="20"/>
          <w:color w:val="auto"/>
        </w:rPr>
      </w:pPr>
    </w:p>
    <w:p>
      <w:pPr>
        <w:ind w:right="300" w:firstLine="786"/>
        <w:spacing w:after="0" w:line="274" w:lineRule="auto"/>
        <w:rPr>
          <w:sz w:val="20"/>
          <w:szCs w:val="20"/>
          <w:color w:val="auto"/>
        </w:rPr>
      </w:pPr>
      <w:r>
        <w:rPr>
          <w:rFonts w:ascii="Arial" w:cs="Arial" w:eastAsia="Arial" w:hAnsi="Arial"/>
          <w:sz w:val="13"/>
          <w:szCs w:val="13"/>
          <w:color w:val="auto"/>
        </w:rPr>
        <w:t>You should understand that under Section 27A(b)(2)(B) of the Securities Act and Section 21E(b)(2)(B) of the Securities Exchange Act of 1934, as amended, or the Exchange Act, the “safe harbor” provisions of the Private Securities Litigation Reform Act of 1995 do not apply to statements made in periodic reports we file under the Exchange Act.</w:t>
      </w:r>
    </w:p>
    <w:p>
      <w:pPr>
        <w:spacing w:after="0" w:line="118" w:lineRule="exact"/>
        <w:rPr>
          <w:sz w:val="20"/>
          <w:szCs w:val="20"/>
          <w:color w:val="auto"/>
        </w:rPr>
      </w:pPr>
    </w:p>
    <w:p>
      <w:pPr>
        <w:ind w:right="300" w:firstLine="786"/>
        <w:spacing w:after="0" w:line="274" w:lineRule="auto"/>
        <w:rPr>
          <w:sz w:val="20"/>
          <w:szCs w:val="20"/>
          <w:color w:val="auto"/>
        </w:rPr>
      </w:pPr>
      <w:r>
        <w:rPr>
          <w:rFonts w:ascii="Arial" w:cs="Arial" w:eastAsia="Arial" w:hAnsi="Arial"/>
          <w:sz w:val="13"/>
          <w:szCs w:val="13"/>
          <w:color w:val="auto"/>
        </w:rPr>
        <w:t>The following analysis of our financial condition and results of operations should be read in conjunction with our Consolidated Financial Statements and the related notes thereto contained elsewhere in this Report.</w:t>
      </w:r>
    </w:p>
    <w:p>
      <w:pPr>
        <w:spacing w:after="0" w:line="19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Overview</w:t>
      </w:r>
    </w:p>
    <w:p>
      <w:pPr>
        <w:spacing w:after="0" w:line="80" w:lineRule="exact"/>
        <w:rPr>
          <w:sz w:val="20"/>
          <w:szCs w:val="20"/>
          <w:color w:val="auto"/>
        </w:rPr>
      </w:pPr>
    </w:p>
    <w:p>
      <w:pPr>
        <w:ind w:right="120" w:firstLine="786"/>
        <w:spacing w:after="0" w:line="274" w:lineRule="auto"/>
        <w:rPr>
          <w:sz w:val="20"/>
          <w:szCs w:val="20"/>
          <w:color w:val="auto"/>
        </w:rPr>
      </w:pPr>
      <w:r>
        <w:rPr>
          <w:rFonts w:ascii="Arial" w:cs="Arial" w:eastAsia="Arial" w:hAnsi="Arial"/>
          <w:sz w:val="13"/>
          <w:szCs w:val="13"/>
          <w:color w:val="auto"/>
        </w:rPr>
        <w:t>PennantPark Floating Rate Capital Ltd. is a BDC whose objectives are to generate current income and capital appreciation by investing primarily in Floating Rate Loans and other investments made to U.S. middle-market companies.</w:t>
      </w:r>
    </w:p>
    <w:p>
      <w:pPr>
        <w:spacing w:after="0" w:line="118" w:lineRule="exact"/>
        <w:rPr>
          <w:sz w:val="20"/>
          <w:szCs w:val="20"/>
          <w:color w:val="auto"/>
        </w:rPr>
      </w:pPr>
    </w:p>
    <w:p>
      <w:pPr>
        <w:ind w:right="60" w:firstLine="786"/>
        <w:spacing w:after="0" w:line="244" w:lineRule="auto"/>
        <w:rPr>
          <w:sz w:val="20"/>
          <w:szCs w:val="20"/>
          <w:color w:val="auto"/>
        </w:rPr>
      </w:pPr>
      <w:r>
        <w:rPr>
          <w:rFonts w:ascii="Arial" w:cs="Arial" w:eastAsia="Arial" w:hAnsi="Arial"/>
          <w:sz w:val="13"/>
          <w:szCs w:val="13"/>
          <w:color w:val="auto"/>
        </w:rPr>
        <w:t>We believe that Floating Rate Loans to U.S. middle-market companies offer attractive risk adjusted returns due to a limited amount of capital available for such companies and the potential for rising interest rates. We use the term “middle-market” to refer to companies with annual revenues between $50 million and $1 billion.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debt investments may generally range in maturity from three to ten years and are made to U.S. and, to a limited extent, non-U.S. corporations, partnerships and other business entities that operate in various industries and geographical regions.</w:t>
      </w:r>
    </w:p>
    <w:p>
      <w:pPr>
        <w:spacing w:after="0" w:line="138" w:lineRule="exact"/>
        <w:rPr>
          <w:sz w:val="20"/>
          <w:szCs w:val="20"/>
          <w:color w:val="auto"/>
        </w:rPr>
      </w:pPr>
    </w:p>
    <w:p>
      <w:pPr>
        <w:ind w:right="40" w:firstLine="786"/>
        <w:spacing w:after="0" w:line="250" w:lineRule="auto"/>
        <w:rPr>
          <w:sz w:val="20"/>
          <w:szCs w:val="20"/>
          <w:color w:val="auto"/>
        </w:rPr>
      </w:pPr>
      <w:r>
        <w:rPr>
          <w:rFonts w:ascii="Arial" w:cs="Arial" w:eastAsia="Arial" w:hAnsi="Arial"/>
          <w:sz w:val="13"/>
          <w:szCs w:val="13"/>
          <w:color w:val="auto"/>
        </w:rPr>
        <w:t>Under normal market conditions, we generally expect that at least 80% of the value of our Managed Assets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$15 million, on average, although we expect that this investment size will vary proportionately with the size of our capital base.</w:t>
      </w:r>
    </w:p>
    <w:p>
      <w:pPr>
        <w:spacing w:after="0" w:line="133" w:lineRule="exact"/>
        <w:rPr>
          <w:sz w:val="20"/>
          <w:szCs w:val="20"/>
          <w:color w:val="auto"/>
        </w:rPr>
      </w:pPr>
    </w:p>
    <w:p>
      <w:pPr>
        <w:ind w:right="220" w:firstLine="786"/>
        <w:spacing w:after="0" w:line="256" w:lineRule="auto"/>
        <w:rPr>
          <w:sz w:val="20"/>
          <w:szCs w:val="20"/>
          <w:color w:val="auto"/>
        </w:rPr>
      </w:pPr>
      <w:r>
        <w:rPr>
          <w:rFonts w:ascii="Arial" w:cs="Arial" w:eastAsia="Arial" w:hAnsi="Arial"/>
          <w:sz w:val="13"/>
          <w:szCs w:val="13"/>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22</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Organization and Structure of PennantPark Floating Rate Capital Ltd.</w:t>
      </w:r>
    </w:p>
    <w:p>
      <w:pPr>
        <w:spacing w:after="0" w:line="80" w:lineRule="exact"/>
        <w:rPr>
          <w:sz w:val="20"/>
          <w:szCs w:val="20"/>
          <w:color w:val="auto"/>
        </w:rPr>
      </w:pPr>
    </w:p>
    <w:p>
      <w:pPr>
        <w:ind w:right="260" w:firstLine="786"/>
        <w:spacing w:after="0" w:line="274" w:lineRule="auto"/>
        <w:rPr>
          <w:sz w:val="20"/>
          <w:szCs w:val="20"/>
          <w:color w:val="auto"/>
        </w:rPr>
      </w:pPr>
      <w:r>
        <w:rPr>
          <w:rFonts w:ascii="Arial" w:cs="Arial" w:eastAsia="Arial" w:hAnsi="Arial"/>
          <w:sz w:val="13"/>
          <w:szCs w:val="13"/>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elected to be treated, and intend to qualify annually, as a RIC under the Code.</w:t>
      </w:r>
    </w:p>
    <w:p>
      <w:pPr>
        <w:spacing w:after="0" w:line="118" w:lineRule="exact"/>
        <w:rPr>
          <w:sz w:val="20"/>
          <w:szCs w:val="20"/>
          <w:color w:val="auto"/>
        </w:rPr>
      </w:pPr>
    </w:p>
    <w:p>
      <w:pPr>
        <w:ind w:firstLine="786"/>
        <w:spacing w:after="0" w:line="273" w:lineRule="auto"/>
        <w:rPr>
          <w:sz w:val="20"/>
          <w:szCs w:val="20"/>
          <w:color w:val="auto"/>
        </w:rPr>
      </w:pPr>
      <w:r>
        <w:rPr>
          <w:rFonts w:ascii="Arial" w:cs="Arial" w:eastAsia="Arial" w:hAnsi="Arial"/>
          <w:sz w:val="12"/>
          <w:szCs w:val="12"/>
          <w:color w:val="auto"/>
        </w:rPr>
        <w:t>Our investment activities are managed by the Investment Adviser.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provides overall supervision of our activities, and the Investment Adviser supervises our day-to-day activities.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Revenues</w:t>
      </w:r>
    </w:p>
    <w:p>
      <w:pPr>
        <w:spacing w:after="0" w:line="80" w:lineRule="exact"/>
        <w:rPr>
          <w:sz w:val="20"/>
          <w:szCs w:val="20"/>
          <w:color w:val="auto"/>
        </w:rPr>
      </w:pPr>
    </w:p>
    <w:p>
      <w:pPr>
        <w:ind w:right="100" w:firstLine="786"/>
        <w:spacing w:after="0" w:line="244" w:lineRule="auto"/>
        <w:rPr>
          <w:sz w:val="20"/>
          <w:szCs w:val="20"/>
          <w:color w:val="auto"/>
        </w:rPr>
      </w:pPr>
      <w:r>
        <w:rPr>
          <w:rFonts w:ascii="Arial" w:cs="Arial" w:eastAsia="Arial" w:hAnsi="Arial"/>
          <w:sz w:val="13"/>
          <w:szCs w:val="13"/>
          <w:color w:val="auto"/>
        </w:rPr>
        <w:t>We generate revenue in the form of interest income on the debt securities we hold and capital gains and distributions, if any, on investment securities that we may acquire in portfolio companies.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amendment, commitment, origination, structuring or diligence fees, fees for providing managerial assistance and possibly consulting fees. Loan origination fees, OID and market discount or premium are capitalized, and we accrete or amortize such amounts as income or expense, as applicable, using the effective interest method. We record prepayment penalties on loans and debt securities as income. Dividend income, if any, is recognized on an accrual basis on the ex-dividend date to the extent that we expect to collect such amounts.</w:t>
      </w:r>
    </w:p>
    <w:p>
      <w:pPr>
        <w:spacing w:after="0" w:line="21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80" w:lineRule="exact"/>
        <w:rPr>
          <w:sz w:val="20"/>
          <w:szCs w:val="20"/>
          <w:color w:val="auto"/>
        </w:rPr>
      </w:pPr>
    </w:p>
    <w:p>
      <w:pPr>
        <w:ind w:right="120" w:firstLine="786"/>
        <w:spacing w:after="0" w:line="250" w:lineRule="auto"/>
        <w:rPr>
          <w:sz w:val="20"/>
          <w:szCs w:val="20"/>
          <w:color w:val="auto"/>
        </w:rPr>
      </w:pPr>
      <w:r>
        <w:rPr>
          <w:rFonts w:ascii="Arial" w:cs="Arial" w:eastAsia="Arial" w:hAnsi="Arial"/>
          <w:sz w:val="13"/>
          <w:szCs w:val="13"/>
          <w:color w:val="auto"/>
        </w:rPr>
        <w:t>Our primary operating expenses include the payment of a base management fee to our Investment Adviser,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under our Credit Facility. We bear all other direct or indirect costs and expenses of our operations and transactions, including:</w:t>
      </w:r>
    </w:p>
    <w:p>
      <w:pPr>
        <w:spacing w:after="0" w:line="52" w:lineRule="exact"/>
        <w:rPr>
          <w:sz w:val="20"/>
          <w:szCs w:val="20"/>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cost of calculating our net asset value, including the cost of any third-party valuation services;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cost of effecting sales and repurchases of shares of our common stock and other securities;</w:t>
      </w:r>
    </w:p>
    <w:p>
      <w:pPr>
        <w:spacing w:after="0" w:line="80" w:lineRule="exact"/>
        <w:rPr>
          <w:rFonts w:ascii="Arial" w:cs="Arial" w:eastAsia="Arial" w:hAnsi="Arial"/>
          <w:sz w:val="13"/>
          <w:szCs w:val="13"/>
          <w:color w:val="auto"/>
        </w:rPr>
      </w:pPr>
    </w:p>
    <w:p>
      <w:pPr>
        <w:ind w:left="1120" w:right="500" w:hanging="329"/>
        <w:spacing w:after="0" w:line="274" w:lineRule="auto"/>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fees payable to third parties relating to, or associated with, making investments, including fees and expenses associated with performing due diligence and reviews of prospective investments or complementary businesses;</w:t>
      </w:r>
    </w:p>
    <w:p>
      <w:pPr>
        <w:spacing w:after="0" w:line="36"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expenses incurred by the Investment Adviser in performing due diligence and reviews of investments;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transfer agent and custodial fees;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fees and expenses associated with marketing efforts;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federal and state registration fees and any stock exchange listing fees;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fees and expenses associated with independent audits and outside legal costs;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federal, state and local taxes;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independent directors’ fees and expenses;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brokerage commissions;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fidelity bond, directors and officers, errors and omissions liability insurance and other insurance premiums;</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direct costs such as printing, mailing, long distance telephone and staff;</w:t>
      </w:r>
    </w:p>
    <w:p>
      <w:pPr>
        <w:spacing w:after="0" w:line="80" w:lineRule="exact"/>
        <w:rPr>
          <w:rFonts w:ascii="Arial" w:cs="Arial" w:eastAsia="Arial" w:hAnsi="Arial"/>
          <w:sz w:val="13"/>
          <w:szCs w:val="13"/>
          <w:color w:val="auto"/>
        </w:rPr>
      </w:pPr>
    </w:p>
    <w:p>
      <w:pPr>
        <w:ind w:left="1120" w:hanging="329"/>
        <w:spacing w:after="0"/>
        <w:tabs>
          <w:tab w:leader="none" w:pos="1120" w:val="left"/>
        </w:tabs>
        <w:numPr>
          <w:ilvl w:val="0"/>
          <w:numId w:val="11"/>
        </w:numPr>
        <w:rPr>
          <w:rFonts w:ascii="Arial" w:cs="Arial" w:eastAsia="Arial" w:hAnsi="Arial"/>
          <w:sz w:val="13"/>
          <w:szCs w:val="13"/>
          <w:color w:val="auto"/>
        </w:rPr>
      </w:pPr>
      <w:r>
        <w:rPr>
          <w:rFonts w:ascii="Arial" w:cs="Arial" w:eastAsia="Arial" w:hAnsi="Arial"/>
          <w:sz w:val="13"/>
          <w:szCs w:val="13"/>
          <w:color w:val="auto"/>
        </w:rPr>
        <w:t>costs associated with our reporting and compliance obligations under the 1940 Act and applicable federal and state securities laws; and</w:t>
      </w:r>
    </w:p>
    <w:p>
      <w:pPr>
        <w:spacing w:after="0" w:line="80" w:lineRule="exact"/>
        <w:rPr>
          <w:rFonts w:ascii="Arial" w:cs="Arial" w:eastAsia="Arial" w:hAnsi="Arial"/>
          <w:sz w:val="13"/>
          <w:szCs w:val="13"/>
          <w:color w:val="auto"/>
        </w:rPr>
      </w:pPr>
    </w:p>
    <w:p>
      <w:pPr>
        <w:ind w:left="1120" w:right="180" w:hanging="329"/>
        <w:spacing w:after="0" w:line="288" w:lineRule="auto"/>
        <w:tabs>
          <w:tab w:leader="none" w:pos="1120" w:val="left"/>
        </w:tabs>
        <w:numPr>
          <w:ilvl w:val="0"/>
          <w:numId w:val="11"/>
        </w:numPr>
        <w:rPr>
          <w:rFonts w:ascii="Arial" w:cs="Arial" w:eastAsia="Arial" w:hAnsi="Arial"/>
          <w:sz w:val="12"/>
          <w:szCs w:val="12"/>
          <w:color w:val="auto"/>
        </w:rPr>
      </w:pPr>
      <w:r>
        <w:rPr>
          <w:rFonts w:ascii="Arial" w:cs="Arial" w:eastAsia="Arial" w:hAnsi="Arial"/>
          <w:sz w:val="12"/>
          <w:szCs w:val="12"/>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11" w:lineRule="exact"/>
        <w:rPr>
          <w:sz w:val="20"/>
          <w:szCs w:val="20"/>
          <w:color w:val="auto"/>
        </w:rPr>
      </w:pPr>
    </w:p>
    <w:p>
      <w:pPr>
        <w:ind w:right="160" w:firstLine="786"/>
        <w:spacing w:after="0" w:line="274" w:lineRule="auto"/>
        <w:rPr>
          <w:sz w:val="20"/>
          <w:szCs w:val="20"/>
          <w:color w:val="auto"/>
        </w:rPr>
      </w:pPr>
      <w:r>
        <w:rPr>
          <w:rFonts w:ascii="Arial" w:cs="Arial" w:eastAsia="Arial" w:hAnsi="Arial"/>
          <w:sz w:val="13"/>
          <w:szCs w:val="13"/>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23</w:t>
      </w:r>
    </w:p>
    <w:p>
      <w:pPr>
        <w:sectPr>
          <w:pgSz w:w="11900" w:h="16838" w:orient="portrait"/>
          <w:cols w:equalWidth="0" w:num="1">
            <w:col w:w="11200"/>
          </w:cols>
          <w:pgMar w:left="320" w:top="459" w:right="3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PORTFOLIO AND INVESTMENT ACTIVITY</w:t>
      </w:r>
    </w:p>
    <w:p>
      <w:pPr>
        <w:spacing w:after="0" w:line="82" w:lineRule="exact"/>
        <w:rPr>
          <w:sz w:val="20"/>
          <w:szCs w:val="20"/>
          <w:color w:val="auto"/>
        </w:rPr>
      </w:pPr>
    </w:p>
    <w:p>
      <w:pPr>
        <w:ind w:firstLine="786"/>
        <w:spacing w:after="0" w:line="278" w:lineRule="auto"/>
        <w:rPr>
          <w:sz w:val="20"/>
          <w:szCs w:val="20"/>
          <w:color w:val="auto"/>
        </w:rPr>
      </w:pPr>
      <w:r>
        <w:rPr>
          <w:rFonts w:ascii="Arial" w:cs="Arial" w:eastAsia="Arial" w:hAnsi="Arial"/>
          <w:sz w:val="12"/>
          <w:szCs w:val="12"/>
          <w:color w:val="auto"/>
        </w:rPr>
        <w:t>As of March 31, 2014, our portfolio totaled $389.2 million and consisted of $342.2 million of senior secured loans, $32.6 million of second lien secured debt, $12.7 million of subordinated debt and $1.7 million of preferred and common equity investments. Our debt portfolio consisted of 94% variable-rate investments (including 92% with a LIBOR or prime floor) and 6% fixed-rate investments. Overall, the portfolio had unrealized appreciation of $3.8 million. Our overall portfolio consisted of 87 companies with an average investment size of $4.5 million, a weighted average yield on debt investments of 8.1%, and was invested 88% in senior secured loans, 8% in second lien secured debt, 3% in subordinated debt and 1% in preferred and common equity investments.</w:t>
      </w:r>
    </w:p>
    <w:p>
      <w:pPr>
        <w:spacing w:after="0" w:line="117" w:lineRule="exact"/>
        <w:rPr>
          <w:sz w:val="20"/>
          <w:szCs w:val="20"/>
          <w:color w:val="auto"/>
        </w:rPr>
      </w:pPr>
    </w:p>
    <w:p>
      <w:pPr>
        <w:ind w:right="180" w:firstLine="786"/>
        <w:spacing w:after="0" w:line="278" w:lineRule="auto"/>
        <w:rPr>
          <w:sz w:val="20"/>
          <w:szCs w:val="20"/>
          <w:color w:val="auto"/>
        </w:rPr>
      </w:pPr>
      <w:r>
        <w:rPr>
          <w:rFonts w:ascii="Arial" w:cs="Arial" w:eastAsia="Arial" w:hAnsi="Arial"/>
          <w:sz w:val="12"/>
          <w:szCs w:val="12"/>
          <w:color w:val="auto"/>
        </w:rPr>
        <w:t>As of September 30, 2013, our portfolio totaled $317.8 million and consisted of $281.0 million of senior secured loans, $27.5 million of second lien secured debt and $9.3 million of subordinated debt, preferred and common equity investments. Our debt portfolio consisted of 92% variable-rate investments (including 89% with a LIBOR or prime floor) and 8% fixed-rate investments. Overall, the portfolio had net unrealized depreciation of $1.5 million. Our overall portfolio consisted of 83 companies with an average investment size of $3.8 million, had a weighted average yield on debt investments of 8.1%, and was invested 88% in senior secured loans, 9% in second lien secured debt and 3% in subordinated debt, preferred and common equity investments.</w:t>
      </w:r>
    </w:p>
    <w:p>
      <w:pPr>
        <w:spacing w:after="0" w:line="117" w:lineRule="exact"/>
        <w:rPr>
          <w:sz w:val="20"/>
          <w:szCs w:val="20"/>
          <w:color w:val="auto"/>
        </w:rPr>
      </w:pPr>
    </w:p>
    <w:p>
      <w:pPr>
        <w:jc w:val="both"/>
        <w:ind w:right="160" w:firstLine="786"/>
        <w:spacing w:after="0" w:line="288" w:lineRule="auto"/>
        <w:rPr>
          <w:sz w:val="20"/>
          <w:szCs w:val="20"/>
          <w:color w:val="auto"/>
        </w:rPr>
      </w:pPr>
      <w:r>
        <w:rPr>
          <w:rFonts w:ascii="Arial" w:cs="Arial" w:eastAsia="Arial" w:hAnsi="Arial"/>
          <w:sz w:val="12"/>
          <w:szCs w:val="12"/>
          <w:color w:val="auto"/>
        </w:rPr>
        <w:t>For the three months ended March 31, 2014, we invested $50.4 million in eight new and seven existing portfolio companies with a weighted average yield on debt investments of 8.3%. Sales and repayments of investments for the three months ended March 31, 2014 totaled $35.7 million. For the six months ended March 31, 2014, we invested $154.3 million in 25 new and 18 existing portfolio companies with a weighted average yield on debt investments of 7.9%. Sales and repayments of investments for the six months ended March 31, 2014 totaled $91.2 million.</w:t>
      </w:r>
    </w:p>
    <w:p>
      <w:pPr>
        <w:spacing w:after="0" w:line="111" w:lineRule="exact"/>
        <w:rPr>
          <w:sz w:val="20"/>
          <w:szCs w:val="20"/>
          <w:color w:val="auto"/>
        </w:rPr>
      </w:pPr>
    </w:p>
    <w:p>
      <w:pPr>
        <w:ind w:right="140" w:firstLine="786"/>
        <w:spacing w:after="0" w:line="256" w:lineRule="auto"/>
        <w:rPr>
          <w:sz w:val="20"/>
          <w:szCs w:val="20"/>
          <w:color w:val="auto"/>
        </w:rPr>
      </w:pPr>
      <w:r>
        <w:rPr>
          <w:rFonts w:ascii="Arial" w:cs="Arial" w:eastAsia="Arial" w:hAnsi="Arial"/>
          <w:sz w:val="13"/>
          <w:szCs w:val="13"/>
          <w:color w:val="auto"/>
        </w:rPr>
        <w:t>For the three months ended March 31, 2013, we invested $45.1 million in 16 new and four existing portfolio companies with a weighted average yield on debt investments of 7.9%. Sales and repayments of investments for the three months ended March 31, 2013 totaled $43.9 million. For the six months ended March 31, 2013, we invested $84.0 million in 28 new and six existing portfolio companies with a weighted average yield on debt investments of 8.8%. Sales and repayments of investments for the six months ended March 31, 2013 totaled $74.2 million.</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CRITICAL ACCOUNTING POLICIES</w:t>
      </w:r>
    </w:p>
    <w:p>
      <w:pPr>
        <w:spacing w:after="0" w:line="82" w:lineRule="exact"/>
        <w:rPr>
          <w:sz w:val="20"/>
          <w:szCs w:val="20"/>
          <w:color w:val="auto"/>
        </w:rPr>
      </w:pPr>
    </w:p>
    <w:p>
      <w:pPr>
        <w:ind w:right="40" w:firstLine="786"/>
        <w:spacing w:after="0" w:line="245" w:lineRule="auto"/>
        <w:rPr>
          <w:sz w:val="20"/>
          <w:szCs w:val="20"/>
          <w:color w:val="auto"/>
        </w:rPr>
      </w:pPr>
      <w:r>
        <w:rPr>
          <w:rFonts w:ascii="Arial" w:cs="Arial" w:eastAsia="Arial" w:hAnsi="Arial"/>
          <w:sz w:val="13"/>
          <w:szCs w:val="13"/>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21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Valuation of Portfolio Investments</w:t>
      </w:r>
    </w:p>
    <w:p>
      <w:pPr>
        <w:spacing w:after="0" w:line="80" w:lineRule="exact"/>
        <w:rPr>
          <w:sz w:val="20"/>
          <w:szCs w:val="20"/>
          <w:color w:val="auto"/>
        </w:rPr>
      </w:pPr>
    </w:p>
    <w:p>
      <w:pPr>
        <w:ind w:right="20" w:firstLine="786"/>
        <w:spacing w:after="0" w:line="244"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 and the difference may be material.</w:t>
      </w:r>
    </w:p>
    <w:p>
      <w:pPr>
        <w:spacing w:after="0" w:line="138" w:lineRule="exact"/>
        <w:rPr>
          <w:sz w:val="20"/>
          <w:szCs w:val="20"/>
          <w:color w:val="auto"/>
        </w:rPr>
      </w:pPr>
    </w:p>
    <w:p>
      <w:pPr>
        <w:ind w:right="40" w:firstLine="786"/>
        <w:spacing w:after="0" w:line="274" w:lineRule="auto"/>
        <w:rPr>
          <w:sz w:val="20"/>
          <w:szCs w:val="20"/>
          <w:color w:val="auto"/>
        </w:rPr>
      </w:pPr>
      <w:r>
        <w:rPr>
          <w:rFonts w:ascii="Arial" w:cs="Arial" w:eastAsia="Arial" w:hAnsi="Arial"/>
          <w:sz w:val="13"/>
          <w:szCs w:val="13"/>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37" w:lineRule="exact"/>
        <w:rPr>
          <w:sz w:val="20"/>
          <w:szCs w:val="20"/>
          <w:color w:val="auto"/>
        </w:rPr>
      </w:pPr>
    </w:p>
    <w:p>
      <w:pPr>
        <w:ind w:left="1120" w:right="240" w:hanging="329"/>
        <w:spacing w:after="0" w:line="27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quarterly valuation process begins with each portfolio company or investment being initially valued by the investment professionals of our Investment Adviser responsible for the portfolio investment;</w:t>
      </w:r>
    </w:p>
    <w:p>
      <w:pPr>
        <w:spacing w:after="0" w:line="36" w:lineRule="exact"/>
        <w:rPr>
          <w:rFonts w:ascii="Arial" w:cs="Arial" w:eastAsia="Arial" w:hAnsi="Arial"/>
          <w:sz w:val="13"/>
          <w:szCs w:val="13"/>
          <w:color w:val="auto"/>
        </w:rPr>
      </w:pPr>
    </w:p>
    <w:p>
      <w:pPr>
        <w:ind w:left="1120" w:hanging="329"/>
        <w:spacing w:after="0"/>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Preliminary valuation conclusions are then documented and discussed with the management of our Investment Adviser;</w:t>
      </w:r>
    </w:p>
    <w:p>
      <w:pPr>
        <w:spacing w:after="0" w:line="80" w:lineRule="exact"/>
        <w:rPr>
          <w:rFonts w:ascii="Arial" w:cs="Arial" w:eastAsia="Arial" w:hAnsi="Arial"/>
          <w:sz w:val="13"/>
          <w:szCs w:val="13"/>
          <w:color w:val="auto"/>
        </w:rPr>
      </w:pPr>
    </w:p>
    <w:p>
      <w:pPr>
        <w:ind w:left="1120" w:right="80" w:hanging="329"/>
        <w:spacing w:after="0" w:line="256"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48" w:lineRule="exact"/>
        <w:rPr>
          <w:rFonts w:ascii="Arial" w:cs="Arial" w:eastAsia="Arial" w:hAnsi="Arial"/>
          <w:sz w:val="13"/>
          <w:szCs w:val="13"/>
          <w:color w:val="auto"/>
        </w:rPr>
      </w:pPr>
    </w:p>
    <w:p>
      <w:pPr>
        <w:ind w:left="1120" w:right="60" w:hanging="329"/>
        <w:spacing w:after="0" w:line="256"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The audit committee of our board of directors quarterly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48" w:lineRule="exact"/>
        <w:rPr>
          <w:rFonts w:ascii="Arial" w:cs="Arial" w:eastAsia="Arial" w:hAnsi="Arial"/>
          <w:sz w:val="13"/>
          <w:szCs w:val="13"/>
          <w:color w:val="auto"/>
        </w:rPr>
      </w:pPr>
    </w:p>
    <w:p>
      <w:pPr>
        <w:ind w:left="1120" w:right="620" w:hanging="329"/>
        <w:spacing w:after="0" w:line="274" w:lineRule="auto"/>
        <w:tabs>
          <w:tab w:leader="none" w:pos="1120" w:val="left"/>
        </w:tabs>
        <w:numPr>
          <w:ilvl w:val="0"/>
          <w:numId w:val="12"/>
        </w:numPr>
        <w:rPr>
          <w:rFonts w:ascii="Arial" w:cs="Arial" w:eastAsia="Arial" w:hAnsi="Arial"/>
          <w:sz w:val="13"/>
          <w:szCs w:val="13"/>
          <w:color w:val="auto"/>
        </w:rPr>
      </w:pPr>
      <w:r>
        <w:rPr>
          <w:rFonts w:ascii="Arial" w:cs="Arial" w:eastAsia="Arial" w:hAnsi="Arial"/>
          <w:sz w:val="13"/>
          <w:szCs w:val="13"/>
          <w:color w:val="auto"/>
        </w:rPr>
        <w:t>Our board of directors discusses the valuations and determines the fair value of each investment in our portfolio in good faith, based on the input of our Investment Adviser, the independent valuation firms and the audit committee.</w:t>
      </w:r>
    </w:p>
    <w:p>
      <w:pPr>
        <w:spacing w:after="0" w:line="118" w:lineRule="exact"/>
        <w:rPr>
          <w:sz w:val="20"/>
          <w:szCs w:val="20"/>
          <w:color w:val="auto"/>
        </w:rPr>
      </w:pPr>
    </w:p>
    <w:p>
      <w:pPr>
        <w:ind w:right="20" w:firstLine="786"/>
        <w:spacing w:after="0" w:line="273" w:lineRule="auto"/>
        <w:rPr>
          <w:sz w:val="20"/>
          <w:szCs w:val="20"/>
          <w:color w:val="auto"/>
        </w:rPr>
      </w:pPr>
      <w:r>
        <w:rPr>
          <w:rFonts w:ascii="Arial" w:cs="Arial" w:eastAsia="Arial" w:hAnsi="Arial"/>
          <w:sz w:val="12"/>
          <w:szCs w:val="12"/>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brokers/dealers,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24</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ASC 820 classifies the inputs used to measure these fair values into the following hierarchies:</w:t>
      </w:r>
    </w:p>
    <w:p>
      <w:pPr>
        <w:spacing w:after="0" w:line="80" w:lineRule="exact"/>
        <w:rPr>
          <w:sz w:val="20"/>
          <w:szCs w:val="20"/>
          <w:color w:val="auto"/>
        </w:rPr>
      </w:pPr>
    </w:p>
    <w:p>
      <w:pPr>
        <w:ind w:left="800"/>
        <w:spacing w:after="0"/>
        <w:tabs>
          <w:tab w:leader="none" w:pos="1360" w:val="left"/>
        </w:tabs>
        <w:rPr>
          <w:sz w:val="20"/>
          <w:szCs w:val="20"/>
          <w:color w:val="auto"/>
        </w:rPr>
      </w:pPr>
      <w:r>
        <w:rPr>
          <w:rFonts w:ascii="Arial" w:cs="Arial" w:eastAsia="Arial" w:hAnsi="Arial"/>
          <w:sz w:val="13"/>
          <w:szCs w:val="13"/>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07" w:lineRule="exact"/>
        <w:rPr>
          <w:sz w:val="20"/>
          <w:szCs w:val="20"/>
          <w:color w:val="auto"/>
        </w:rPr>
      </w:pPr>
    </w:p>
    <w:p>
      <w:pPr>
        <w:ind w:left="1380" w:right="860" w:hanging="579"/>
        <w:spacing w:after="0" w:line="317" w:lineRule="auto"/>
        <w:tabs>
          <w:tab w:leader="none" w:pos="1360" w:val="left"/>
        </w:tabs>
        <w:rPr>
          <w:sz w:val="20"/>
          <w:szCs w:val="20"/>
          <w:color w:val="auto"/>
        </w:rPr>
      </w:pPr>
      <w:r>
        <w:rPr>
          <w:rFonts w:ascii="Arial" w:cs="Arial" w:eastAsia="Arial" w:hAnsi="Arial"/>
          <w:sz w:val="13"/>
          <w:szCs w:val="13"/>
          <w:color w:val="auto"/>
        </w:rPr>
        <w:t>Level 2:</w:t>
      </w:r>
      <w:r>
        <w:rPr>
          <w:sz w:val="20"/>
          <w:szCs w:val="20"/>
          <w:color w:val="auto"/>
        </w:rPr>
        <w:tab/>
      </w:r>
      <w:r>
        <w:rPr>
          <w:rFonts w:ascii="Arial" w:cs="Arial" w:eastAsia="Arial" w:hAnsi="Arial"/>
          <w:sz w:val="12"/>
          <w:szCs w:val="12"/>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40" w:lineRule="exact"/>
        <w:rPr>
          <w:sz w:val="20"/>
          <w:szCs w:val="20"/>
          <w:color w:val="auto"/>
        </w:rPr>
      </w:pPr>
    </w:p>
    <w:p>
      <w:pPr>
        <w:ind w:left="800"/>
        <w:spacing w:after="0"/>
        <w:tabs>
          <w:tab w:leader="none" w:pos="1360" w:val="left"/>
        </w:tabs>
        <w:rPr>
          <w:sz w:val="20"/>
          <w:szCs w:val="20"/>
          <w:color w:val="auto"/>
        </w:rPr>
      </w:pPr>
      <w:r>
        <w:rPr>
          <w:rFonts w:ascii="Arial" w:cs="Arial" w:eastAsia="Arial" w:hAnsi="Arial"/>
          <w:sz w:val="13"/>
          <w:szCs w:val="13"/>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61" w:lineRule="exact"/>
        <w:rPr>
          <w:sz w:val="20"/>
          <w:szCs w:val="20"/>
          <w:color w:val="auto"/>
        </w:rPr>
      </w:pPr>
    </w:p>
    <w:p>
      <w:pPr>
        <w:ind w:right="20" w:firstLine="786"/>
        <w:spacing w:after="0" w:line="256" w:lineRule="auto"/>
        <w:rPr>
          <w:sz w:val="20"/>
          <w:szCs w:val="20"/>
          <w:color w:val="auto"/>
        </w:rPr>
      </w:pPr>
      <w:r>
        <w:rPr>
          <w:rFonts w:ascii="Arial" w:cs="Arial" w:eastAsia="Arial" w:hAnsi="Arial"/>
          <w:sz w:val="13"/>
          <w:szCs w:val="13"/>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29" w:lineRule="exact"/>
        <w:rPr>
          <w:sz w:val="20"/>
          <w:szCs w:val="20"/>
          <w:color w:val="auto"/>
        </w:rPr>
      </w:pPr>
    </w:p>
    <w:p>
      <w:pPr>
        <w:ind w:right="240" w:firstLine="786"/>
        <w:spacing w:after="0" w:line="274" w:lineRule="auto"/>
        <w:rPr>
          <w:sz w:val="20"/>
          <w:szCs w:val="20"/>
          <w:color w:val="auto"/>
        </w:rPr>
      </w:pPr>
      <w:r>
        <w:rPr>
          <w:rFonts w:ascii="Arial" w:cs="Arial" w:eastAsia="Arial" w:hAnsi="Arial"/>
          <w:sz w:val="13"/>
          <w:szCs w:val="13"/>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18" w:lineRule="exact"/>
        <w:rPr>
          <w:sz w:val="20"/>
          <w:szCs w:val="20"/>
          <w:color w:val="auto"/>
        </w:rPr>
      </w:pPr>
    </w:p>
    <w:p>
      <w:pPr>
        <w:ind w:right="40" w:firstLine="786"/>
        <w:spacing w:after="0" w:line="264" w:lineRule="auto"/>
        <w:rPr>
          <w:sz w:val="20"/>
          <w:szCs w:val="20"/>
          <w:color w:val="auto"/>
        </w:rPr>
      </w:pPr>
      <w:r>
        <w:rPr>
          <w:rFonts w:ascii="Arial" w:cs="Arial" w:eastAsia="Arial" w:hAnsi="Arial"/>
          <w:sz w:val="12"/>
          <w:szCs w:val="12"/>
          <w:color w:val="auto"/>
        </w:rPr>
        <w:t>The carrying value of our consolidated financial liabilities approximates fair value. We adopted ASC 825-10, which provides companies with an option to report selected financial assets and liabilities at fair value, and made an irrevocable election to apply ASC 825-10 to our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zero and $0.7 million, respectively, relating to amendment fees on the Credit Facility during the three and six months ended March 31, 2014. For the same periods in the prior year, we incurred expenses of $0.5 million and $0.5 million, respectively.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We elected not to apply ASC 825-10 to any other financial assets or liabilities. For each of the three and six months ended March 31, 2014, our Credit Facility had a net change in unrealized appreciation of zero. For the three and six months ended March 31, 2013, our Credit Facility had a net change in unrealized appreciation of zero and $0.4 million, respectively. As of March 31, 2014 and September 30, 2013, the Credit Facility had unrealized appreciation of zero. We use a nationally recognized independent valuation service to measure the fair value of the Credit Facility in a manner consistent with the valuation process that the board of directors uses to value our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80" w:lineRule="exact"/>
        <w:rPr>
          <w:sz w:val="20"/>
          <w:szCs w:val="20"/>
          <w:color w:val="auto"/>
        </w:rPr>
      </w:pPr>
    </w:p>
    <w:p>
      <w:pPr>
        <w:ind w:right="180" w:firstLine="786"/>
        <w:spacing w:after="0" w:line="273" w:lineRule="auto"/>
        <w:rPr>
          <w:sz w:val="20"/>
          <w:szCs w:val="20"/>
          <w:color w:val="auto"/>
        </w:rPr>
      </w:pPr>
      <w:r>
        <w:rPr>
          <w:rFonts w:ascii="Arial" w:cs="Arial" w:eastAsia="Arial" w:hAnsi="Arial"/>
          <w:sz w:val="12"/>
          <w:szCs w:val="12"/>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and market discount or premium are capitalized, and we then accrete or amortize such amounts as interest income or expense, as applicable, using the effective interest method. We record contractual prepayment penalties on loans and debt investments as income. Dividend income, if any, is recognized on an accrual basis on the ex-dividend date to the extent that we expect to collect such amounts.</w:t>
      </w:r>
    </w:p>
    <w:p>
      <w:pPr>
        <w:spacing w:after="0" w:line="20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 and Net Change in Unrealized Appreciation or Depreciation</w:t>
      </w:r>
    </w:p>
    <w:p>
      <w:pPr>
        <w:spacing w:after="0" w:line="80" w:lineRule="exact"/>
        <w:rPr>
          <w:sz w:val="20"/>
          <w:szCs w:val="20"/>
          <w:color w:val="auto"/>
        </w:rPr>
      </w:pPr>
    </w:p>
    <w:p>
      <w:pPr>
        <w:ind w:right="320" w:firstLine="786"/>
        <w:spacing w:after="0" w:line="250" w:lineRule="auto"/>
        <w:rPr>
          <w:sz w:val="20"/>
          <w:szCs w:val="20"/>
          <w:color w:val="auto"/>
        </w:rPr>
      </w:pPr>
      <w:r>
        <w:rPr>
          <w:rFonts w:ascii="Arial" w:cs="Arial" w:eastAsia="Arial" w:hAnsi="Arial"/>
          <w:sz w:val="13"/>
          <w:szCs w:val="13"/>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Payment-in-Kind Interest or PIK</w:t>
      </w:r>
    </w:p>
    <w:p>
      <w:pPr>
        <w:spacing w:after="0" w:line="80" w:lineRule="exact"/>
        <w:rPr>
          <w:sz w:val="20"/>
          <w:szCs w:val="20"/>
          <w:color w:val="auto"/>
        </w:rPr>
      </w:pPr>
    </w:p>
    <w:p>
      <w:pPr>
        <w:ind w:right="160" w:firstLine="786"/>
        <w:spacing w:after="0" w:line="317" w:lineRule="auto"/>
        <w:rPr>
          <w:sz w:val="20"/>
          <w:szCs w:val="20"/>
          <w:color w:val="auto"/>
        </w:rPr>
      </w:pPr>
      <w:r>
        <w:rPr>
          <w:rFonts w:ascii="Arial" w:cs="Arial" w:eastAsia="Arial" w:hAnsi="Arial"/>
          <w:sz w:val="12"/>
          <w:szCs w:val="12"/>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distributions, even though we have not collected any cash with respect to interest on PIK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Federal Income Taxes</w:t>
      </w:r>
    </w:p>
    <w:p>
      <w:pPr>
        <w:spacing w:after="0" w:line="80" w:lineRule="exact"/>
        <w:rPr>
          <w:sz w:val="20"/>
          <w:szCs w:val="20"/>
          <w:color w:val="auto"/>
        </w:rPr>
      </w:pPr>
    </w:p>
    <w:p>
      <w:pPr>
        <w:ind w:firstLine="786"/>
        <w:spacing w:after="0" w:line="243" w:lineRule="auto"/>
        <w:rPr>
          <w:sz w:val="20"/>
          <w:szCs w:val="20"/>
          <w:color w:val="auto"/>
        </w:rPr>
      </w:pPr>
      <w:r>
        <w:rPr>
          <w:rFonts w:ascii="Arial" w:cs="Arial" w:eastAsia="Arial" w:hAnsi="Arial"/>
          <w:sz w:val="13"/>
          <w:szCs w:val="13"/>
          <w:color w:val="auto"/>
        </w:rPr>
        <w:t>We have elected to be taxed, and intend to qualify annually to maintain our election to be taxed, as a RIC under Subchapter M of the Code. To maintain our RIC tax election, we must, among other requirements, meet certain source-of-income and quarterly asset diversification requirements. We also must annually distribute at least 90% of the sum of our net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the sum of our net capital gain income (i.e., the excess, if any, of capital gains over capital losses) for the one-year period ending on October 31 of the calendar year and (3) the sum of any net ordinary income plus net capital gain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39" w:lineRule="exact"/>
        <w:rPr>
          <w:sz w:val="20"/>
          <w:szCs w:val="20"/>
          <w:color w:val="auto"/>
        </w:rPr>
      </w:pPr>
    </w:p>
    <w:p>
      <w:pPr>
        <w:ind w:right="200" w:firstLine="786"/>
        <w:spacing w:after="0" w:line="256"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25</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RESULTS OF OPERATIONS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Set forth below are the results of operations for the three and six months ended March 31, 2014 and 2013.</w:t>
      </w:r>
    </w:p>
    <w:p>
      <w:pPr>
        <w:spacing w:after="0" w:line="24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Investment Income</w:t>
      </w:r>
    </w:p>
    <w:p>
      <w:pPr>
        <w:spacing w:after="0" w:line="80" w:lineRule="exact"/>
        <w:rPr>
          <w:sz w:val="20"/>
          <w:szCs w:val="20"/>
          <w:color w:val="auto"/>
        </w:rPr>
      </w:pPr>
    </w:p>
    <w:p>
      <w:pPr>
        <w:ind w:right="240" w:firstLine="786"/>
        <w:spacing w:after="0" w:line="278" w:lineRule="auto"/>
        <w:rPr>
          <w:sz w:val="20"/>
          <w:szCs w:val="20"/>
          <w:color w:val="auto"/>
        </w:rPr>
      </w:pPr>
      <w:r>
        <w:rPr>
          <w:rFonts w:ascii="Arial" w:cs="Arial" w:eastAsia="Arial" w:hAnsi="Arial"/>
          <w:sz w:val="12"/>
          <w:szCs w:val="12"/>
          <w:color w:val="auto"/>
        </w:rPr>
        <w:t>Investment income for the three and six months ended March 31, 2014 was $7.6 million and $14.5 million, respectively, and was attributable to $6.3 million and $11.8 million from senior secured loan investments, and $1.3 million and $2.7 million from second lien secured debt and subordinated debt investments. This compares to investment income for the three and six months ended March 31, 2013, which was $4.1 million and $8.1 million, respectively, and was attributable to $3.6 million and $6.9 million from senior secured loan investments, and $0.5 million and $1.2 million from second lien secured debt and subordinated debt investments. The increase in investment income over the prior year was primarily due to the growth of our portfolio.</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Expenses</w:t>
      </w:r>
    </w:p>
    <w:p>
      <w:pPr>
        <w:spacing w:after="0" w:line="80" w:lineRule="exact"/>
        <w:rPr>
          <w:sz w:val="20"/>
          <w:szCs w:val="20"/>
          <w:color w:val="auto"/>
        </w:rPr>
      </w:pPr>
    </w:p>
    <w:p>
      <w:pPr>
        <w:ind w:firstLine="786"/>
        <w:spacing w:after="0" w:line="243" w:lineRule="auto"/>
        <w:rPr>
          <w:sz w:val="20"/>
          <w:szCs w:val="20"/>
          <w:color w:val="auto"/>
        </w:rPr>
      </w:pPr>
      <w:r>
        <w:rPr>
          <w:rFonts w:ascii="Arial" w:cs="Arial" w:eastAsia="Arial" w:hAnsi="Arial"/>
          <w:sz w:val="13"/>
          <w:szCs w:val="13"/>
          <w:color w:val="auto"/>
        </w:rPr>
        <w:t>Expenses for the three and six months ended March 31, 2014 totaled $3.9 million and $7.5 million, respectively. Base management fee for the same periods totaled $1.0 million and $1.8 million, incentive fees totaled $1.4 million (including $0.3 million on net realized gains accrued and $0.4 million on net unrealized gains accrued but not payable) and $2.1 million (including $0.7 million on net realized gains accrued and $0.6 million on net unrealized gains accrued but not payable), Credit Facility expenses totaled $1.0 million and $2.4 million (including $0.7 million of Credit Facility amendment expenses), general and administrative expenses totaled $0.4 million and $1.0 million and excise taxes were $0.1 million and $0.2 million, respectively. This compares to expenses for the three and six months ended March 31, 2013, which totaled $2.5 million and $4.4 million, respectively. Base management fee for the same periods totaled $0.5 million and $0.9 million, incentive fees totaled $0.6 million and $1.0 million (including $0.3 million on net unrealized gains accrued but not payable), Credit Facility expenses totaled $0.5 million and $1.0 million (excluding $0.5 million of Credit Facility amendment expenses), general and administrative expenses totaled $0.4 million and $0.9 million and excise taxes were $0.1 million, respectively. The increase in base management fee, incentive fee and Credit Facility expenses was due to the growth of our portfolio and expanding our borrowing capacity under our Credit Facility.</w:t>
      </w:r>
    </w:p>
    <w:p>
      <w:pPr>
        <w:spacing w:after="0" w:line="22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Investment Income</w:t>
      </w:r>
    </w:p>
    <w:p>
      <w:pPr>
        <w:spacing w:after="0" w:line="80" w:lineRule="exact"/>
        <w:rPr>
          <w:sz w:val="20"/>
          <w:szCs w:val="20"/>
          <w:color w:val="auto"/>
        </w:rPr>
      </w:pPr>
    </w:p>
    <w:p>
      <w:pPr>
        <w:ind w:right="20" w:firstLine="786"/>
        <w:spacing w:after="0" w:line="278" w:lineRule="auto"/>
        <w:rPr>
          <w:sz w:val="20"/>
          <w:szCs w:val="20"/>
          <w:color w:val="auto"/>
        </w:rPr>
      </w:pPr>
      <w:r>
        <w:rPr>
          <w:rFonts w:ascii="Arial" w:cs="Arial" w:eastAsia="Arial" w:hAnsi="Arial"/>
          <w:sz w:val="12"/>
          <w:szCs w:val="12"/>
          <w:color w:val="auto"/>
        </w:rPr>
        <w:t>Net investment income totaled $3.7 million and $7.0 million, or $0.25 and $0.47 per share, for the three and six months ended March 31, 2014, respectively. Net investment income totaled $1.7 million and $3.7 million, or $0.24 and $0.54 per share, for the three and six months ended March 31, 2013, respectively. The increase in net investment income was due to a larger portfolio, which was partially offset by amendment costs. For the three months ended March 31, 2014, net investment income per share increased due to changes in yield environment over the prior year, whereas, for the six months ended March 31, 2014, net investment income per share decreased over the prior year as a result of both changes in yield environment and share issuances of common stock during 2013.</w:t>
      </w:r>
    </w:p>
    <w:p>
      <w:pPr>
        <w:spacing w:after="0" w:line="198"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Realized Gains or Losses</w:t>
      </w:r>
    </w:p>
    <w:p>
      <w:pPr>
        <w:spacing w:after="0" w:line="80" w:lineRule="exact"/>
        <w:rPr>
          <w:sz w:val="20"/>
          <w:szCs w:val="20"/>
          <w:color w:val="auto"/>
        </w:rPr>
      </w:pPr>
    </w:p>
    <w:p>
      <w:pPr>
        <w:ind w:right="220" w:firstLine="786"/>
        <w:spacing w:after="0" w:line="256" w:lineRule="auto"/>
        <w:rPr>
          <w:sz w:val="20"/>
          <w:szCs w:val="20"/>
          <w:color w:val="auto"/>
        </w:rPr>
      </w:pPr>
      <w:r>
        <w:rPr>
          <w:rFonts w:ascii="Arial" w:cs="Arial" w:eastAsia="Arial" w:hAnsi="Arial"/>
          <w:sz w:val="13"/>
          <w:szCs w:val="13"/>
          <w:color w:val="auto"/>
        </w:rPr>
        <w:t>Sales and repayments of investments for the three and six months ended March 31, 2014 totaled $35.7 million and $91.2 million and net realized gains totaled $0.5 million and $1.1 million, respectively. Sales and repayments of investments totaled $43.9 million and $74.2 million and realized gains totaled $1.1 million and $1.5 million for the three and six months ended March 31, 2013, respectively. The decrease in realized gains was driven by changes in market conditions for our investments.</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Unrealized Appreciation or Depreciation on Investments and Credit Facility</w:t>
      </w:r>
    </w:p>
    <w:p>
      <w:pPr>
        <w:spacing w:after="0" w:line="80" w:lineRule="exact"/>
        <w:rPr>
          <w:sz w:val="20"/>
          <w:szCs w:val="20"/>
          <w:color w:val="auto"/>
        </w:rPr>
      </w:pPr>
    </w:p>
    <w:p>
      <w:pPr>
        <w:ind w:right="140" w:firstLine="786"/>
        <w:spacing w:after="0" w:line="256" w:lineRule="auto"/>
        <w:rPr>
          <w:sz w:val="20"/>
          <w:szCs w:val="20"/>
          <w:color w:val="auto"/>
        </w:rPr>
      </w:pPr>
      <w:r>
        <w:rPr>
          <w:rFonts w:ascii="Arial" w:cs="Arial" w:eastAsia="Arial" w:hAnsi="Arial"/>
          <w:sz w:val="13"/>
          <w:szCs w:val="13"/>
          <w:color w:val="auto"/>
        </w:rPr>
        <w:t>For the three and six months ended March 31, 2014, we reported net unrealized appreciation on investments of $3.0 million and $5.3 million, respectively. For the three and six months ended March 31, 2013, we reported net unrealized appreciation on investments of $0.4 million and $0.1 million, respectively. As of March 31, 2014 and September 30, 2013, net unrealized appreciation (depreciation) on investments totaled $3.8 million and $(1.5) million, respectively. The change compared to last year was the result of changes in market values.</w:t>
      </w:r>
    </w:p>
    <w:p>
      <w:pPr>
        <w:spacing w:after="0" w:line="129" w:lineRule="exact"/>
        <w:rPr>
          <w:sz w:val="20"/>
          <w:szCs w:val="20"/>
          <w:color w:val="auto"/>
        </w:rPr>
      </w:pPr>
    </w:p>
    <w:p>
      <w:pPr>
        <w:jc w:val="both"/>
        <w:ind w:right="120" w:firstLine="786"/>
        <w:spacing w:after="0" w:line="256" w:lineRule="auto"/>
        <w:rPr>
          <w:sz w:val="20"/>
          <w:szCs w:val="20"/>
          <w:color w:val="auto"/>
        </w:rPr>
      </w:pPr>
      <w:r>
        <w:rPr>
          <w:rFonts w:ascii="Arial" w:cs="Arial" w:eastAsia="Arial" w:hAnsi="Arial"/>
          <w:sz w:val="13"/>
          <w:szCs w:val="13"/>
          <w:color w:val="auto"/>
        </w:rPr>
        <w:t>For each of the three and six months ended March 31, 2014, our Credit Facility had an unrealized appreciation of zero. For the three and six months ended March 31, 2013, our Credit Facility had an unrealized appreciation of zero and $0.4 million, respectively. As of March 31, 2014 and September 30, 2013, net unrealized appreciation on our Credit Facility totaled zero. The change compared to last year was due to changes in the capital markets.</w:t>
      </w:r>
    </w:p>
    <w:p>
      <w:pPr>
        <w:spacing w:after="0" w:line="21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Net Increase in Net Assets Resulting from Operations</w:t>
      </w:r>
    </w:p>
    <w:p>
      <w:pPr>
        <w:spacing w:after="0" w:line="80" w:lineRule="exact"/>
        <w:rPr>
          <w:sz w:val="20"/>
          <w:szCs w:val="20"/>
          <w:color w:val="auto"/>
        </w:rPr>
      </w:pPr>
    </w:p>
    <w:p>
      <w:pPr>
        <w:jc w:val="both"/>
        <w:ind w:right="140" w:firstLine="786"/>
        <w:spacing w:after="0" w:line="256" w:lineRule="auto"/>
        <w:rPr>
          <w:sz w:val="20"/>
          <w:szCs w:val="20"/>
          <w:color w:val="auto"/>
        </w:rPr>
      </w:pPr>
      <w:r>
        <w:rPr>
          <w:rFonts w:ascii="Arial" w:cs="Arial" w:eastAsia="Arial" w:hAnsi="Arial"/>
          <w:sz w:val="13"/>
          <w:szCs w:val="13"/>
          <w:color w:val="auto"/>
        </w:rPr>
        <w:t>Net increase in net assets resulting from operations totaled $7.2 million and $13.3 million, or $0.49 and $0.89 per share, respectively, for the three and six months ended March 31, 2014. This compares to a net increase in net assets resulting from operations which totaled $3.2 million and $5.0 million, or $0.45 and $0.72 per share, respectively, for the three and six months ended March 31, 2013. We continue to find attractive investment opportunities to grow net assets from operations.</w:t>
      </w:r>
    </w:p>
    <w:p>
      <w:pPr>
        <w:spacing w:after="0" w:line="20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LIQUIDITY AND CAPITAL RESOURCES</w:t>
      </w:r>
    </w:p>
    <w:p>
      <w:pPr>
        <w:spacing w:after="0" w:line="82" w:lineRule="exact"/>
        <w:rPr>
          <w:sz w:val="20"/>
          <w:szCs w:val="20"/>
          <w:color w:val="auto"/>
        </w:rPr>
      </w:pPr>
    </w:p>
    <w:p>
      <w:pPr>
        <w:jc w:val="both"/>
        <w:ind w:right="400" w:firstLine="786"/>
        <w:spacing w:after="0" w:line="256" w:lineRule="auto"/>
        <w:rPr>
          <w:sz w:val="20"/>
          <w:szCs w:val="20"/>
          <w:color w:val="auto"/>
        </w:rPr>
      </w:pPr>
      <w:r>
        <w:rPr>
          <w:rFonts w:ascii="Arial" w:cs="Arial" w:eastAsia="Arial" w:hAnsi="Arial"/>
          <w:sz w:val="13"/>
          <w:szCs w:val="13"/>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29" w:lineRule="exact"/>
        <w:rPr>
          <w:sz w:val="20"/>
          <w:szCs w:val="20"/>
          <w:color w:val="auto"/>
        </w:rPr>
      </w:pPr>
    </w:p>
    <w:p>
      <w:pPr>
        <w:ind w:right="100" w:firstLine="786"/>
        <w:spacing w:after="0" w:line="245" w:lineRule="auto"/>
        <w:rPr>
          <w:sz w:val="20"/>
          <w:szCs w:val="20"/>
          <w:color w:val="auto"/>
        </w:rPr>
      </w:pPr>
      <w:r>
        <w:rPr>
          <w:rFonts w:ascii="Arial" w:cs="Arial" w:eastAsia="Arial" w:hAnsi="Arial"/>
          <w:sz w:val="13"/>
          <w:szCs w:val="13"/>
          <w:color w:val="auto"/>
        </w:rPr>
        <w:t>Funding I’s Credit Facility with affiliates of SunTrust Bank, or the Lender, is $200 million, has an interest rate spread above LIBOR of 200 basis points, matures in May 2018 and its reinvestment period ends in May 2016. In November 2013, we expanded the Credit Facility to allow Funding I to borrow up to $200 million, up from $125 million. The Credit Facility is subject to satisfaction of certain conditions and the regulatory restrictions that the 1940 Act imposes on us as a BDC. As of March 31, 2014 and September 30, 2013, Funding I had $173.2 million and $99.6 million of outstanding borrowings under the Credit Facility, respectively, and carried an interest rate of 2.16% and 2.18%, respectively, excluding the 0.375% undrawn commitment fee. The annualized weighted average cost of debt for the six months ended March 31, 2014 and 2013, inclusive of the fee on the undrawn commitment on the Credit Facility but excluding amendment costs, was 2.39% and 2.63%, respectively.</w:t>
      </w:r>
    </w:p>
    <w:p>
      <w:pPr>
        <w:spacing w:after="0" w:line="137" w:lineRule="exact"/>
        <w:rPr>
          <w:sz w:val="20"/>
          <w:szCs w:val="20"/>
          <w:color w:val="auto"/>
        </w:rPr>
      </w:pPr>
    </w:p>
    <w:p>
      <w:pPr>
        <w:ind w:right="80" w:firstLine="786"/>
        <w:spacing w:after="0" w:line="256" w:lineRule="auto"/>
        <w:rPr>
          <w:sz w:val="20"/>
          <w:szCs w:val="20"/>
          <w:color w:val="auto"/>
        </w:rPr>
      </w:pPr>
      <w:r>
        <w:rPr>
          <w:rFonts w:ascii="Arial" w:cs="Arial" w:eastAsia="Arial" w:hAnsi="Arial"/>
          <w:sz w:val="13"/>
          <w:szCs w:val="13"/>
          <w:color w:val="auto"/>
        </w:rPr>
        <w:t>Until May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29" w:lineRule="exact"/>
        <w:rPr>
          <w:sz w:val="20"/>
          <w:szCs w:val="20"/>
          <w:color w:val="auto"/>
        </w:rPr>
      </w:pPr>
    </w:p>
    <w:p>
      <w:pPr>
        <w:ind w:right="80" w:firstLine="786"/>
        <w:spacing w:after="0" w:line="250" w:lineRule="auto"/>
        <w:rPr>
          <w:sz w:val="20"/>
          <w:szCs w:val="20"/>
          <w:color w:val="auto"/>
        </w:rPr>
      </w:pPr>
      <w:r>
        <w:rPr>
          <w:rFonts w:ascii="Arial" w:cs="Arial" w:eastAsia="Arial" w:hAnsi="Arial"/>
          <w:sz w:val="13"/>
          <w:szCs w:val="13"/>
          <w:color w:val="auto"/>
        </w:rPr>
        <w:t>The Credit Facility,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As of March 31, 2014, we were in compliance with the terms of our Credit Agreement.</w:t>
      </w:r>
    </w:p>
    <w:p>
      <w:pPr>
        <w:spacing w:after="0" w:line="133" w:lineRule="exact"/>
        <w:rPr>
          <w:sz w:val="20"/>
          <w:szCs w:val="20"/>
          <w:color w:val="auto"/>
        </w:rPr>
      </w:pPr>
    </w:p>
    <w:p>
      <w:pPr>
        <w:ind w:right="300" w:firstLine="786"/>
        <w:spacing w:after="0" w:line="274" w:lineRule="auto"/>
        <w:rPr>
          <w:sz w:val="20"/>
          <w:szCs w:val="20"/>
          <w:color w:val="auto"/>
        </w:rPr>
      </w:pPr>
      <w:r>
        <w:rPr>
          <w:rFonts w:ascii="Arial" w:cs="Arial" w:eastAsia="Arial" w:hAnsi="Arial"/>
          <w:sz w:val="13"/>
          <w:szCs w:val="13"/>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26</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spacing w:after="0"/>
        <w:rPr>
          <w:sz w:val="20"/>
          <w:szCs w:val="20"/>
          <w:color w:val="auto"/>
        </w:rPr>
      </w:pPr>
      <w:r>
        <w:rPr>
          <w:rFonts w:ascii="Arial" w:cs="Arial" w:eastAsia="Arial" w:hAnsi="Arial"/>
          <w:sz w:val="13"/>
          <w:szCs w:val="13"/>
          <w:color w:val="auto"/>
        </w:rPr>
        <w:t>collateral manager to Funding I under the Credit Facility.</w:t>
      </w:r>
    </w:p>
    <w:p>
      <w:pPr>
        <w:spacing w:after="0" w:line="80" w:lineRule="exact"/>
        <w:rPr>
          <w:sz w:val="20"/>
          <w:szCs w:val="20"/>
          <w:color w:val="auto"/>
        </w:rPr>
      </w:pPr>
    </w:p>
    <w:p>
      <w:pPr>
        <w:ind w:right="60" w:firstLine="786"/>
        <w:spacing w:after="0" w:line="250" w:lineRule="auto"/>
        <w:rPr>
          <w:sz w:val="20"/>
          <w:szCs w:val="20"/>
          <w:color w:val="auto"/>
        </w:rPr>
      </w:pPr>
      <w:r>
        <w:rPr>
          <w:rFonts w:ascii="Arial" w:cs="Arial" w:eastAsia="Arial" w:hAnsi="Arial"/>
          <w:sz w:val="13"/>
          <w:szCs w:val="13"/>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any management fee owed with respect to such services is to be paid to the Company so long as the Investment Adviser remains the collateral manager.</w:t>
      </w:r>
    </w:p>
    <w:p>
      <w:pPr>
        <w:spacing w:after="0" w:line="52" w:lineRule="exact"/>
        <w:rPr>
          <w:sz w:val="20"/>
          <w:szCs w:val="20"/>
          <w:color w:val="auto"/>
        </w:rPr>
      </w:pPr>
    </w:p>
    <w:p>
      <w:pPr>
        <w:ind w:right="260" w:firstLine="786"/>
        <w:spacing w:after="0" w:line="288" w:lineRule="auto"/>
        <w:rPr>
          <w:sz w:val="20"/>
          <w:szCs w:val="20"/>
          <w:color w:val="auto"/>
        </w:rPr>
      </w:pPr>
      <w:r>
        <w:rPr>
          <w:rFonts w:ascii="Arial" w:cs="Arial" w:eastAsia="Arial" w:hAnsi="Arial"/>
          <w:sz w:val="12"/>
          <w:szCs w:val="12"/>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stockholders or for other general corporate purposes.</w:t>
      </w:r>
    </w:p>
    <w:p>
      <w:pPr>
        <w:spacing w:after="0" w:line="30" w:lineRule="exact"/>
        <w:rPr>
          <w:sz w:val="20"/>
          <w:szCs w:val="20"/>
          <w:color w:val="auto"/>
        </w:rPr>
      </w:pPr>
    </w:p>
    <w:p>
      <w:pPr>
        <w:ind w:right="20" w:firstLine="786"/>
        <w:spacing w:after="0" w:line="274" w:lineRule="auto"/>
        <w:rPr>
          <w:sz w:val="20"/>
          <w:szCs w:val="20"/>
          <w:color w:val="auto"/>
        </w:rPr>
      </w:pPr>
      <w:r>
        <w:rPr>
          <w:rFonts w:ascii="Arial" w:cs="Arial" w:eastAsia="Arial" w:hAnsi="Arial"/>
          <w:sz w:val="13"/>
          <w:szCs w:val="13"/>
          <w:color w:val="auto"/>
        </w:rPr>
        <w:t>On March 31, 2014 and 2013, we had cash equivalents of $5.1 million and $2.7 million, respectively, available for investing and general corporate purposes. We believe our liquidity and capital resources are sufficient to take advantage of market opportunities.</w:t>
      </w:r>
    </w:p>
    <w:p>
      <w:pPr>
        <w:spacing w:after="0" w:line="37" w:lineRule="exact"/>
        <w:rPr>
          <w:sz w:val="20"/>
          <w:szCs w:val="20"/>
          <w:color w:val="auto"/>
        </w:rPr>
      </w:pPr>
    </w:p>
    <w:p>
      <w:pPr>
        <w:ind w:right="320" w:firstLine="786"/>
        <w:spacing w:after="0" w:line="274" w:lineRule="auto"/>
        <w:rPr>
          <w:sz w:val="20"/>
          <w:szCs w:val="20"/>
          <w:color w:val="auto"/>
        </w:rPr>
      </w:pPr>
      <w:r>
        <w:rPr>
          <w:rFonts w:ascii="Arial" w:cs="Arial" w:eastAsia="Arial" w:hAnsi="Arial"/>
          <w:sz w:val="13"/>
          <w:szCs w:val="13"/>
          <w:color w:val="auto"/>
        </w:rPr>
        <w:t>Our operating activities used cash of $65.1 million for the six months ended March 31, 2014, and our financing activities provided cash of $65.6 million for the same period. Our operating activities used cash primarily for our investment activities and our financing activities provided cash primarily from net draws under the Credit Facility.</w:t>
      </w:r>
    </w:p>
    <w:p>
      <w:pPr>
        <w:spacing w:after="0" w:line="37" w:lineRule="exact"/>
        <w:rPr>
          <w:sz w:val="20"/>
          <w:szCs w:val="20"/>
          <w:color w:val="auto"/>
        </w:rPr>
      </w:pPr>
    </w:p>
    <w:p>
      <w:pPr>
        <w:ind w:right="220" w:firstLine="786"/>
        <w:spacing w:after="0" w:line="256" w:lineRule="auto"/>
        <w:rPr>
          <w:sz w:val="20"/>
          <w:szCs w:val="20"/>
          <w:color w:val="auto"/>
        </w:rPr>
      </w:pPr>
      <w:r>
        <w:rPr>
          <w:rFonts w:ascii="Arial" w:cs="Arial" w:eastAsia="Arial" w:hAnsi="Arial"/>
          <w:sz w:val="13"/>
          <w:szCs w:val="13"/>
          <w:color w:val="auto"/>
        </w:rPr>
        <w:t>Our operating activities provided cash of $4.0 million for the six months ended March 31, 2013, and our financing activities used cash of $5.1 million for the same period. Our operating activities provided cash primarily from our investment activity that offset our financing activities, which used cash primarily to pay the deferred sales load and net repayments under the Credit Facility that was partially financed by the proceeds of our offering.</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Contractual Obligations</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3"/>
          <w:szCs w:val="13"/>
          <w:color w:val="auto"/>
        </w:rPr>
        <w:t>A summary of our significant contractual payment obligations as of March 31, 2014, including borrowings under our Credit Facility and other contractual obligations, is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ind w:left="560"/>
              <w:spacing w:after="0"/>
              <w:rPr>
                <w:sz w:val="20"/>
                <w:szCs w:val="20"/>
                <w:color w:val="auto"/>
              </w:rPr>
            </w:pPr>
            <w:r>
              <w:rPr>
                <w:rFonts w:ascii="Arial" w:cs="Arial" w:eastAsia="Arial" w:hAnsi="Arial"/>
                <w:sz w:val="13"/>
                <w:szCs w:val="13"/>
                <w:b w:val="1"/>
                <w:bCs w:val="1"/>
                <w:color w:val="auto"/>
                <w:w w:val="93"/>
              </w:rPr>
              <w:t>Payments due by period (millions)</w:t>
            </w:r>
          </w:p>
        </w:tc>
        <w:tc>
          <w:tcPr>
            <w:tcW w:w="5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jc w:val="center"/>
              <w:ind w:right="33"/>
              <w:spacing w:after="0"/>
              <w:rPr>
                <w:sz w:val="20"/>
                <w:szCs w:val="20"/>
                <w:color w:val="auto"/>
              </w:rPr>
            </w:pPr>
            <w:r>
              <w:rPr>
                <w:rFonts w:ascii="Arial" w:cs="Arial" w:eastAsia="Arial" w:hAnsi="Arial"/>
                <w:sz w:val="13"/>
                <w:szCs w:val="13"/>
                <w:b w:val="1"/>
                <w:bCs w:val="1"/>
                <w:color w:val="auto"/>
                <w:w w:val="88"/>
              </w:rPr>
              <w:t>Less than</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ind w:left="160"/>
              <w:spacing w:after="0"/>
              <w:rPr>
                <w:sz w:val="20"/>
                <w:szCs w:val="20"/>
                <w:color w:val="auto"/>
              </w:rPr>
            </w:pPr>
            <w:r>
              <w:rPr>
                <w:rFonts w:ascii="Arial" w:cs="Arial" w:eastAsia="Arial" w:hAnsi="Arial"/>
                <w:sz w:val="13"/>
                <w:szCs w:val="13"/>
                <w:b w:val="1"/>
                <w:bCs w:val="1"/>
                <w:color w:val="auto"/>
              </w:rPr>
              <w:t>1-3</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73"/>
              <w:spacing w:after="0"/>
              <w:rPr>
                <w:sz w:val="20"/>
                <w:szCs w:val="20"/>
                <w:color w:val="auto"/>
              </w:rPr>
            </w:pPr>
            <w:r>
              <w:rPr>
                <w:rFonts w:ascii="Arial" w:cs="Arial" w:eastAsia="Arial" w:hAnsi="Arial"/>
                <w:sz w:val="13"/>
                <w:szCs w:val="13"/>
                <w:b w:val="1"/>
                <w:bCs w:val="1"/>
                <w:color w:val="auto"/>
              </w:rPr>
              <w:t>3-5</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99"/>
              </w:rPr>
              <w:t>More than</w:t>
            </w:r>
          </w:p>
        </w:tc>
        <w:tc>
          <w:tcPr>
            <w:tcW w:w="0" w:type="dxa"/>
            <w:vAlign w:val="bottom"/>
          </w:tcPr>
          <w:p>
            <w:pPr>
              <w:spacing w:after="0"/>
              <w:rPr>
                <w:sz w:val="1"/>
                <w:szCs w:val="1"/>
                <w:color w:val="auto"/>
              </w:rPr>
            </w:pPr>
          </w:p>
        </w:tc>
      </w:tr>
      <w:tr>
        <w:trPr>
          <w:trHeight w:val="110"/>
        </w:trPr>
        <w:tc>
          <w:tcPr>
            <w:tcW w:w="50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1"/>
        </w:trPr>
        <w:tc>
          <w:tcPr>
            <w:tcW w:w="5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3"/>
                <w:szCs w:val="13"/>
                <w:b w:val="1"/>
                <w:bCs w:val="1"/>
                <w:color w:val="auto"/>
              </w:rPr>
              <w:t>Total</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53"/>
              <w:spacing w:after="0"/>
              <w:rPr>
                <w:sz w:val="20"/>
                <w:szCs w:val="20"/>
                <w:color w:val="auto"/>
              </w:rPr>
            </w:pPr>
            <w:r>
              <w:rPr>
                <w:rFonts w:ascii="Arial" w:cs="Arial" w:eastAsia="Arial" w:hAnsi="Arial"/>
                <w:sz w:val="13"/>
                <w:szCs w:val="13"/>
                <w:b w:val="1"/>
                <w:bCs w:val="1"/>
                <w:color w:val="auto"/>
                <w:w w:val="95"/>
              </w:rPr>
              <w:t>1 year</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3"/>
                <w:szCs w:val="13"/>
                <w:b w:val="1"/>
                <w:bCs w:val="1"/>
                <w:color w:val="auto"/>
              </w:rPr>
              <w:t>years</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213"/>
              <w:spacing w:after="0"/>
              <w:rPr>
                <w:sz w:val="20"/>
                <w:szCs w:val="20"/>
                <w:color w:val="auto"/>
              </w:rPr>
            </w:pPr>
            <w:r>
              <w:rPr>
                <w:rFonts w:ascii="Arial" w:cs="Arial" w:eastAsia="Arial" w:hAnsi="Arial"/>
                <w:sz w:val="13"/>
                <w:szCs w:val="13"/>
                <w:b w:val="1"/>
                <w:bCs w:val="1"/>
                <w:color w:val="auto"/>
                <w:w w:val="82"/>
              </w:rPr>
              <w:t>years</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3"/>
              </w:rPr>
              <w:t>5 years</w:t>
            </w:r>
          </w:p>
        </w:tc>
        <w:tc>
          <w:tcPr>
            <w:tcW w:w="0" w:type="dxa"/>
            <w:vAlign w:val="bottom"/>
          </w:tcPr>
          <w:p>
            <w:pPr>
              <w:spacing w:after="0"/>
              <w:rPr>
                <w:sz w:val="1"/>
                <w:szCs w:val="1"/>
                <w:color w:val="auto"/>
              </w:rPr>
            </w:pPr>
          </w:p>
        </w:tc>
      </w:tr>
      <w:tr>
        <w:trPr>
          <w:trHeight w:val="142"/>
        </w:trPr>
        <w:tc>
          <w:tcPr>
            <w:tcW w:w="50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3"/>
                <w:szCs w:val="13"/>
                <w:color w:val="auto"/>
              </w:rPr>
              <w:t>Credit Facility</w:t>
            </w:r>
          </w:p>
        </w:tc>
        <w:tc>
          <w:tcPr>
            <w:tcW w:w="180" w:type="dxa"/>
            <w:vAlign w:val="bottom"/>
            <w:tcBorders>
              <w:top w:val="single" w:sz="8" w:color="auto"/>
            </w:tcBorders>
            <w:shd w:val="clear" w:color="auto" w:fill="CCEEFF"/>
          </w:tcPr>
          <w:p>
            <w:pPr>
              <w:jc w:val="right"/>
              <w:ind w:right="33"/>
              <w:spacing w:after="0" w:line="142" w:lineRule="exact"/>
              <w:rPr>
                <w:sz w:val="20"/>
                <w:szCs w:val="20"/>
                <w:color w:val="auto"/>
              </w:rPr>
            </w:pPr>
            <w:r>
              <w:rPr>
                <w:rFonts w:ascii="Arial" w:cs="Arial" w:eastAsia="Arial" w:hAnsi="Arial"/>
                <w:sz w:val="13"/>
                <w:szCs w:val="13"/>
                <w:color w:val="auto"/>
                <w:w w:val="82"/>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173.2</w:t>
            </w:r>
          </w:p>
        </w:tc>
        <w:tc>
          <w:tcPr>
            <w:tcW w:w="28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ind w:left="520"/>
              <w:spacing w:after="0" w:line="142"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tcBorders>
            <w:shd w:val="clear" w:color="auto" w:fill="CCEEFF"/>
          </w:tcPr>
          <w:p>
            <w:pPr>
              <w:ind w:left="380"/>
              <w:spacing w:after="0" w:line="142" w:lineRule="exact"/>
              <w:rPr>
                <w:sz w:val="20"/>
                <w:szCs w:val="20"/>
                <w:color w:val="auto"/>
              </w:rPr>
            </w:pPr>
            <w:r>
              <w:rPr>
                <w:rFonts w:ascii="Arial" w:cs="Arial" w:eastAsia="Arial" w:hAnsi="Arial"/>
                <w:sz w:val="13"/>
                <w:szCs w:val="13"/>
                <w:color w:val="auto"/>
              </w:rPr>
              <w:t>—</w:t>
            </w:r>
          </w:p>
        </w:tc>
        <w:tc>
          <w:tcPr>
            <w:tcW w:w="5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w w:val="82"/>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173.2</w:t>
            </w:r>
          </w:p>
        </w:tc>
        <w:tc>
          <w:tcPr>
            <w:tcW w:w="5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shd w:val="clear" w:color="auto" w:fill="CCEEFF"/>
          </w:tcPr>
          <w:p>
            <w:pPr>
              <w:ind w:left="600"/>
              <w:spacing w:after="0" w:line="142" w:lineRule="exact"/>
              <w:rPr>
                <w:sz w:val="20"/>
                <w:szCs w:val="20"/>
                <w:color w:val="auto"/>
              </w:rPr>
            </w:pPr>
            <w:r>
              <w:rPr>
                <w:rFonts w:ascii="Arial" w:cs="Arial" w:eastAsia="Arial" w:hAnsi="Arial"/>
                <w:sz w:val="13"/>
                <w:szCs w:val="13"/>
                <w:color w:val="auto"/>
              </w:rPr>
              <w:t>—</w:t>
            </w:r>
          </w:p>
        </w:tc>
        <w:tc>
          <w:tcPr>
            <w:tcW w:w="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line="149" w:lineRule="exact"/>
              <w:rPr>
                <w:sz w:val="20"/>
                <w:szCs w:val="20"/>
                <w:color w:val="auto"/>
              </w:rPr>
            </w:pPr>
            <w:r>
              <w:rPr>
                <w:rFonts w:ascii="Arial" w:cs="Arial" w:eastAsia="Arial" w:hAnsi="Arial"/>
                <w:sz w:val="11"/>
                <w:szCs w:val="11"/>
                <w:color w:val="auto"/>
              </w:rPr>
              <w:t xml:space="preserve">Unfunded investments </w:t>
            </w:r>
            <w:r>
              <w:rPr>
                <w:rFonts w:ascii="Arial" w:cs="Arial" w:eastAsia="Arial" w:hAnsi="Arial"/>
                <w:sz w:val="17"/>
                <w:szCs w:val="17"/>
                <w:color w:val="auto"/>
                <w:vertAlign w:val="superscript"/>
              </w:rPr>
              <w:t>(1)</w:t>
            </w:r>
          </w:p>
        </w:tc>
        <w:tc>
          <w:tcPr>
            <w:tcW w:w="18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2.0</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ind w:left="52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ind w:left="380"/>
              <w:spacing w:after="0"/>
              <w:rPr>
                <w:sz w:val="20"/>
                <w:szCs w:val="20"/>
                <w:color w:val="auto"/>
              </w:rPr>
            </w:pPr>
            <w:r>
              <w:rPr>
                <w:rFonts w:ascii="Arial" w:cs="Arial" w:eastAsia="Arial" w:hAnsi="Arial"/>
                <w:sz w:val="13"/>
                <w:szCs w:val="13"/>
                <w:color w:val="auto"/>
              </w:rPr>
              <w:t>—</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2.0</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7"/>
        </w:trPr>
        <w:tc>
          <w:tcPr>
            <w:tcW w:w="50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5080" w:type="dxa"/>
            <w:vAlign w:val="bottom"/>
            <w:shd w:val="clear" w:color="auto" w:fill="CCEEFF"/>
          </w:tcPr>
          <w:p>
            <w:pPr>
              <w:spacing w:after="0"/>
              <w:rPr>
                <w:sz w:val="20"/>
                <w:szCs w:val="20"/>
                <w:color w:val="auto"/>
              </w:rPr>
            </w:pPr>
            <w:r>
              <w:rPr>
                <w:rFonts w:ascii="Arial" w:cs="Arial" w:eastAsia="Arial" w:hAnsi="Arial"/>
                <w:sz w:val="13"/>
                <w:szCs w:val="13"/>
                <w:color w:val="auto"/>
              </w:rPr>
              <w:t>Total contractual obligations</w:t>
            </w:r>
          </w:p>
        </w:tc>
        <w:tc>
          <w:tcPr>
            <w:tcW w:w="180" w:type="dxa"/>
            <w:vAlign w:val="bottom"/>
            <w:shd w:val="clear" w:color="auto" w:fill="CCEEFF"/>
          </w:tcPr>
          <w:p>
            <w:pPr>
              <w:jc w:val="right"/>
              <w:ind w:right="33"/>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175.2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ind w:left="520"/>
              <w:spacing w:after="0"/>
              <w:rPr>
                <w:sz w:val="20"/>
                <w:szCs w:val="20"/>
                <w:color w:val="auto"/>
              </w:rPr>
            </w:pPr>
            <w:r>
              <w:rPr>
                <w:rFonts w:ascii="Arial" w:cs="Arial" w:eastAsia="Arial" w:hAnsi="Arial"/>
                <w:sz w:val="13"/>
                <w:szCs w:val="13"/>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ind w:left="380"/>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175.2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ind w:left="6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51"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22"/>
          <w:szCs w:val="22"/>
          <w:color w:val="auto"/>
          <w:vertAlign w:val="superscript"/>
        </w:rPr>
      </w:pPr>
      <w:r>
        <w:rPr>
          <w:rFonts w:ascii="Arial" w:cs="Arial" w:eastAsia="Arial" w:hAnsi="Arial"/>
          <w:sz w:val="13"/>
          <w:szCs w:val="13"/>
          <w:color w:val="auto"/>
        </w:rPr>
        <w:t>Unfunded investments described in the Consolidated Statements of Assets and Liabilities represent unfunded delayed draws on investments.</w:t>
      </w:r>
    </w:p>
    <w:p>
      <w:pPr>
        <w:spacing w:after="0" w:line="69" w:lineRule="exact"/>
        <w:rPr>
          <w:sz w:val="20"/>
          <w:szCs w:val="20"/>
          <w:color w:val="auto"/>
        </w:rPr>
      </w:pPr>
    </w:p>
    <w:p>
      <w:pPr>
        <w:ind w:firstLine="786"/>
        <w:spacing w:after="0" w:line="277"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reapproved by our board of directors, including a majority of our directors who are not interested persons of us or the Investment Adviser, in February 2014, PennantPark Investment Advisers serves as our Investment Adviser. Payments under our Investment Management Agreement in each reporting period are equal to (1) a base management fee equal to a percentage of the value of our gross assets and (2) an incentive fee based on our performance.</w:t>
      </w:r>
    </w:p>
    <w:p>
      <w:pPr>
        <w:spacing w:after="0" w:line="37"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Under our Administration Agreement, which was reapproved by our board of directors, including a majority of our directors who are not interested persons of us, in February 2014,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54" w:lineRule="exact"/>
        <w:rPr>
          <w:sz w:val="20"/>
          <w:szCs w:val="20"/>
          <w:color w:val="auto"/>
        </w:rPr>
      </w:pPr>
    </w:p>
    <w:p>
      <w:pPr>
        <w:jc w:val="both"/>
        <w:ind w:right="380" w:firstLine="786"/>
        <w:spacing w:after="0" w:line="256" w:lineRule="auto"/>
        <w:rPr>
          <w:sz w:val="20"/>
          <w:szCs w:val="20"/>
          <w:color w:val="auto"/>
        </w:rPr>
      </w:pPr>
      <w:r>
        <w:rPr>
          <w:rFonts w:ascii="Arial" w:cs="Arial" w:eastAsia="Arial" w:hAnsi="Arial"/>
          <w:sz w:val="13"/>
          <w:szCs w:val="13"/>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Off-Balance Sheet Arrangements</w:t>
      </w:r>
    </w:p>
    <w:p>
      <w:pPr>
        <w:spacing w:after="0" w:line="80" w:lineRule="exact"/>
        <w:rPr>
          <w:sz w:val="20"/>
          <w:szCs w:val="20"/>
          <w:color w:val="auto"/>
        </w:rPr>
      </w:pPr>
    </w:p>
    <w:p>
      <w:pPr>
        <w:ind w:left="800"/>
        <w:spacing w:after="0"/>
        <w:rPr>
          <w:sz w:val="20"/>
          <w:szCs w:val="20"/>
          <w:color w:val="auto"/>
        </w:rPr>
      </w:pPr>
      <w:r>
        <w:rPr>
          <w:rFonts w:ascii="Arial" w:cs="Arial" w:eastAsia="Arial" w:hAnsi="Arial"/>
          <w:sz w:val="13"/>
          <w:szCs w:val="13"/>
          <w:color w:val="auto"/>
        </w:rPr>
        <w:t>We currently engage in no off-balance sheet arrangements, including any risk management of commodity pricing or other hedging practices.</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Distributions</w:t>
      </w:r>
    </w:p>
    <w:p>
      <w:pPr>
        <w:spacing w:after="0" w:line="80" w:lineRule="exact"/>
        <w:rPr>
          <w:sz w:val="20"/>
          <w:szCs w:val="20"/>
          <w:color w:val="auto"/>
        </w:rPr>
      </w:pPr>
    </w:p>
    <w:p>
      <w:pPr>
        <w:ind w:right="60" w:firstLine="786"/>
        <w:spacing w:after="0" w:line="242" w:lineRule="auto"/>
        <w:rPr>
          <w:sz w:val="20"/>
          <w:szCs w:val="20"/>
          <w:color w:val="auto"/>
        </w:rPr>
      </w:pPr>
      <w:r>
        <w:rPr>
          <w:rFonts w:ascii="Arial" w:cs="Arial" w:eastAsia="Arial" w:hAnsi="Arial"/>
          <w:sz w:val="13"/>
          <w:szCs w:val="13"/>
          <w:color w:val="auto"/>
        </w:rPr>
        <w:t>In order to qualify as a RIC and to not be subject to corporate-level tax on income, we are required, under Subchapter M of the Code, to annually distribute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 Although we are not subject to tax as a RIC, we have elected to retain a portion of our calendar year income. For the three and six months ended March 31, 2014, we accrued estimated excise taxes of $0.1 million and $0.2 million, respectively. For the three and six months ended March 31, 2013, we accrued estimated excise taxes of less than $0.1 million and $0.1 million, respectively.</w:t>
      </w:r>
    </w:p>
    <w:p>
      <w:pPr>
        <w:spacing w:after="0" w:line="61" w:lineRule="exact"/>
        <w:rPr>
          <w:sz w:val="20"/>
          <w:szCs w:val="20"/>
          <w:color w:val="auto"/>
        </w:rPr>
      </w:pPr>
    </w:p>
    <w:p>
      <w:pPr>
        <w:jc w:val="both"/>
        <w:ind w:right="220" w:firstLine="786"/>
        <w:spacing w:after="0" w:line="247" w:lineRule="auto"/>
        <w:rPr>
          <w:sz w:val="20"/>
          <w:szCs w:val="20"/>
          <w:color w:val="auto"/>
        </w:rPr>
      </w:pPr>
      <w:r>
        <w:rPr>
          <w:rFonts w:ascii="Arial" w:cs="Arial" w:eastAsia="Arial" w:hAnsi="Arial"/>
          <w:sz w:val="13"/>
          <w:szCs w:val="13"/>
          <w:color w:val="auto"/>
        </w:rPr>
        <w:t>During the three and six months ended March 31, 2014, we declared to stockholders distributions of $0.270 and $0.538 per share, respectively, for total distributions of $4.0 million and $8.0 million, respectively. For the same periods in the prior year, we declared distributions of $0.255 and $0.503 per share, respectively, for total distributions of $1.7 million and $3.4 million, respectively.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distributions will be reported to stockholders on Form 1099-DIV after the end of the calendar year and in our periodic reports filed with the SEC.</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27</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3" w:lineRule="exact"/>
        <w:rPr>
          <w:sz w:val="20"/>
          <w:szCs w:val="20"/>
          <w:color w:val="auto"/>
        </w:rPr>
      </w:pPr>
    </w:p>
    <w:p>
      <w:pPr>
        <w:ind w:left="800"/>
        <w:spacing w:after="0"/>
        <w:rPr>
          <w:sz w:val="20"/>
          <w:szCs w:val="20"/>
          <w:color w:val="auto"/>
        </w:rPr>
      </w:pPr>
      <w:r>
        <w:rPr>
          <w:rFonts w:ascii="Arial" w:cs="Arial" w:eastAsia="Arial" w:hAnsi="Arial"/>
          <w:sz w:val="13"/>
          <w:szCs w:val="13"/>
          <w:color w:val="auto"/>
        </w:rPr>
        <w:t>We intend to continue to make monthly distributions to our stockholders. Our monthly distributions, if any, are determined by our board of directors quarterly.</w:t>
      </w:r>
    </w:p>
    <w:p>
      <w:pPr>
        <w:spacing w:after="0" w:line="161" w:lineRule="exact"/>
        <w:rPr>
          <w:sz w:val="20"/>
          <w:szCs w:val="20"/>
          <w:color w:val="auto"/>
        </w:rPr>
      </w:pPr>
    </w:p>
    <w:p>
      <w:pPr>
        <w:ind w:right="520" w:firstLine="786"/>
        <w:spacing w:after="0" w:line="274" w:lineRule="auto"/>
        <w:rPr>
          <w:sz w:val="20"/>
          <w:szCs w:val="20"/>
          <w:color w:val="auto"/>
        </w:rPr>
      </w:pPr>
      <w:r>
        <w:rPr>
          <w:rFonts w:ascii="Arial" w:cs="Arial" w:eastAsia="Arial" w:hAnsi="Arial"/>
          <w:sz w:val="13"/>
          <w:szCs w:val="13"/>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18"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distributions at a particular level.</w:t>
      </w:r>
    </w:p>
    <w:p>
      <w:pPr>
        <w:spacing w:after="0" w:line="133" w:lineRule="exact"/>
        <w:rPr>
          <w:sz w:val="20"/>
          <w:szCs w:val="20"/>
          <w:color w:val="auto"/>
        </w:rPr>
      </w:pPr>
    </w:p>
    <w:p>
      <w:pPr>
        <w:ind w:right="160" w:firstLine="786"/>
        <w:spacing w:after="0" w:line="256" w:lineRule="auto"/>
        <w:rPr>
          <w:sz w:val="20"/>
          <w:szCs w:val="20"/>
          <w:color w:val="auto"/>
        </w:rPr>
      </w:pPr>
      <w:r>
        <w:rPr>
          <w:rFonts w:ascii="Arial" w:cs="Arial" w:eastAsia="Arial" w:hAnsi="Arial"/>
          <w:sz w:val="13"/>
          <w:szCs w:val="13"/>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28</w:t>
      </w:r>
    </w:p>
    <w:p>
      <w:pPr>
        <w:sectPr>
          <w:pgSz w:w="11900" w:h="16838" w:orient="portrait"/>
          <w:cols w:equalWidth="0" w:num="1">
            <w:col w:w="11200"/>
          </w:cols>
          <w:pgMar w:left="320" w:top="459"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color w:val="auto"/>
        </w:rPr>
        <w:t>Quantitative And Qualitative Disclosures About Market Risk</w:t>
      </w:r>
    </w:p>
    <w:p>
      <w:pPr>
        <w:spacing w:after="0" w:line="163" w:lineRule="exact"/>
        <w:rPr>
          <w:sz w:val="20"/>
          <w:szCs w:val="20"/>
          <w:color w:val="auto"/>
        </w:rPr>
      </w:pPr>
    </w:p>
    <w:p>
      <w:pPr>
        <w:ind w:right="40" w:firstLine="786"/>
        <w:spacing w:after="0" w:line="247" w:lineRule="auto"/>
        <w:rPr>
          <w:sz w:val="20"/>
          <w:szCs w:val="20"/>
          <w:color w:val="auto"/>
        </w:rPr>
      </w:pPr>
      <w:r>
        <w:rPr>
          <w:rFonts w:ascii="Arial" w:cs="Arial" w:eastAsia="Arial" w:hAnsi="Arial"/>
          <w:sz w:val="13"/>
          <w:szCs w:val="13"/>
          <w:color w:val="auto"/>
        </w:rPr>
        <w:t>We are subject to financial market risks, including changes in interest rates. As of March 31, 2014, our debt portfolio consisted of 94% variable-rate investments (including 92% with a LIBOR or prime floor) and 6%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35" w:lineRule="exact"/>
        <w:rPr>
          <w:sz w:val="20"/>
          <w:szCs w:val="20"/>
          <w:color w:val="auto"/>
        </w:rPr>
      </w:pPr>
    </w:p>
    <w:p>
      <w:pPr>
        <w:ind w:right="260" w:firstLine="786"/>
        <w:spacing w:after="0" w:line="274" w:lineRule="auto"/>
        <w:rPr>
          <w:sz w:val="20"/>
          <w:szCs w:val="20"/>
          <w:color w:val="auto"/>
        </w:rPr>
      </w:pPr>
      <w:r>
        <w:rPr>
          <w:rFonts w:ascii="Arial" w:cs="Arial" w:eastAsia="Arial" w:hAnsi="Arial"/>
          <w:sz w:val="13"/>
          <w:szCs w:val="13"/>
          <w:color w:val="auto"/>
        </w:rPr>
        <w:t>Assuming that the most recent statement of assets and liabilities was to remain constant, and no actions were taken to alter the existing interest rate sensitivity, the following table shows the annualized impact of hypothetical base rate changes in interest rates:</w:t>
      </w:r>
    </w:p>
    <w:p>
      <w:pPr>
        <w:spacing w:after="0" w:line="157" w:lineRule="exact"/>
        <w:rPr>
          <w:sz w:val="20"/>
          <w:szCs w:val="20"/>
          <w:color w:val="auto"/>
        </w:rPr>
      </w:pPr>
    </w:p>
    <w:tbl>
      <w:tblPr>
        <w:tblLayout w:type="fixed"/>
        <w:tblInd w:w="1360" w:type="dxa"/>
        <w:tblCellMar>
          <w:top w:w="0" w:type="dxa"/>
          <w:left w:w="0" w:type="dxa"/>
          <w:bottom w:w="0" w:type="dxa"/>
          <w:right w:w="0" w:type="dxa"/>
        </w:tblCellMar>
      </w:tblPr>
      <w:tr>
        <w:trPr>
          <w:trHeight w:val="149"/>
        </w:trPr>
        <w:tc>
          <w:tcPr>
            <w:tcW w:w="140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2"/>
          </w:tcPr>
          <w:p>
            <w:pPr>
              <w:jc w:val="right"/>
              <w:ind w:right="720"/>
              <w:spacing w:after="0"/>
              <w:rPr>
                <w:sz w:val="20"/>
                <w:szCs w:val="20"/>
                <w:color w:val="auto"/>
              </w:rPr>
            </w:pPr>
            <w:r>
              <w:rPr>
                <w:rFonts w:ascii="Arial" w:cs="Arial" w:eastAsia="Arial" w:hAnsi="Arial"/>
                <w:sz w:val="13"/>
                <w:szCs w:val="13"/>
                <w:color w:val="auto"/>
                <w:w w:val="95"/>
              </w:rPr>
              <w:t>Change In Interest</w:t>
            </w: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00" w:type="dxa"/>
            <w:vAlign w:val="bottom"/>
            <w:vMerge w:val="restart"/>
          </w:tcPr>
          <w:p>
            <w:pPr>
              <w:spacing w:after="0"/>
              <w:rPr>
                <w:sz w:val="20"/>
                <w:szCs w:val="20"/>
                <w:color w:val="auto"/>
              </w:rPr>
            </w:pPr>
            <w:r>
              <w:rPr>
                <w:rFonts w:ascii="Arial" w:cs="Arial" w:eastAsia="Arial" w:hAnsi="Arial"/>
                <w:sz w:val="13"/>
                <w:szCs w:val="13"/>
                <w:color w:val="auto"/>
                <w:w w:val="95"/>
              </w:rPr>
              <w:t>Change In Interest Rates</w:t>
            </w:r>
          </w:p>
        </w:tc>
        <w:tc>
          <w:tcPr>
            <w:tcW w:w="3580" w:type="dxa"/>
            <w:vAlign w:val="bottom"/>
          </w:tcPr>
          <w:p>
            <w:pPr>
              <w:spacing w:after="0"/>
              <w:rPr>
                <w:sz w:val="12"/>
                <w:szCs w:val="12"/>
                <w:color w:val="auto"/>
              </w:rPr>
            </w:pPr>
          </w:p>
        </w:tc>
        <w:tc>
          <w:tcPr>
            <w:tcW w:w="1860" w:type="dxa"/>
            <w:vAlign w:val="bottom"/>
            <w:gridSpan w:val="3"/>
          </w:tcPr>
          <w:p>
            <w:pPr>
              <w:spacing w:after="0"/>
              <w:rPr>
                <w:sz w:val="20"/>
                <w:szCs w:val="20"/>
                <w:color w:val="auto"/>
              </w:rPr>
            </w:pPr>
            <w:r>
              <w:rPr>
                <w:rFonts w:ascii="Arial" w:cs="Arial" w:eastAsia="Arial" w:hAnsi="Arial"/>
                <w:sz w:val="13"/>
                <w:szCs w:val="13"/>
                <w:color w:val="auto"/>
              </w:rPr>
              <w:t>Income, Net Of Interest</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3"/>
                <w:szCs w:val="13"/>
                <w:color w:val="auto"/>
              </w:rPr>
              <w:t>Per Share</w:t>
            </w:r>
          </w:p>
        </w:tc>
        <w:tc>
          <w:tcPr>
            <w:tcW w:w="0" w:type="dxa"/>
            <w:vAlign w:val="bottom"/>
          </w:tcPr>
          <w:p>
            <w:pPr>
              <w:spacing w:after="0"/>
              <w:rPr>
                <w:sz w:val="1"/>
                <w:szCs w:val="1"/>
                <w:color w:val="auto"/>
              </w:rPr>
            </w:pPr>
          </w:p>
        </w:tc>
      </w:tr>
      <w:tr>
        <w:trPr>
          <w:trHeight w:val="151"/>
        </w:trPr>
        <w:tc>
          <w:tcPr>
            <w:tcW w:w="1400" w:type="dxa"/>
            <w:vAlign w:val="bottom"/>
            <w:tcBorders>
              <w:bottom w:val="single" w:sz="8" w:color="auto"/>
            </w:tcBorders>
            <w:vMerge w:val="continue"/>
          </w:tcPr>
          <w:p>
            <w:pPr>
              <w:spacing w:after="0"/>
              <w:rPr>
                <w:sz w:val="12"/>
                <w:szCs w:val="12"/>
                <w:color w:val="auto"/>
              </w:rPr>
            </w:pPr>
          </w:p>
        </w:tc>
        <w:tc>
          <w:tcPr>
            <w:tcW w:w="3580" w:type="dxa"/>
            <w:vAlign w:val="bottom"/>
          </w:tcPr>
          <w:p>
            <w:pPr>
              <w:spacing w:after="0"/>
              <w:rPr>
                <w:sz w:val="12"/>
                <w:szCs w:val="12"/>
                <w:color w:val="auto"/>
              </w:rPr>
            </w:pPr>
          </w:p>
        </w:tc>
        <w:tc>
          <w:tcPr>
            <w:tcW w:w="1860" w:type="dxa"/>
            <w:vAlign w:val="bottom"/>
            <w:gridSpan w:val="3"/>
          </w:tcPr>
          <w:p>
            <w:pPr>
              <w:ind w:left="20"/>
              <w:spacing w:after="0" w:line="146" w:lineRule="exact"/>
              <w:rPr>
                <w:sz w:val="20"/>
                <w:szCs w:val="20"/>
                <w:color w:val="auto"/>
              </w:rPr>
            </w:pPr>
            <w:r>
              <w:rPr>
                <w:rFonts w:ascii="Arial" w:cs="Arial" w:eastAsia="Arial" w:hAnsi="Arial"/>
                <w:sz w:val="13"/>
                <w:szCs w:val="13"/>
                <w:color w:val="auto"/>
              </w:rPr>
              <w:t>Expense (in thousands)</w:t>
            </w: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Up 1%</w:t>
            </w:r>
          </w:p>
        </w:tc>
        <w:tc>
          <w:tcPr>
            <w:tcW w:w="35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580" w:type="dxa"/>
            <w:vAlign w:val="bottom"/>
            <w:vMerge w:val="restart"/>
            <w:shd w:val="clear" w:color="auto" w:fill="CCEEFF"/>
          </w:tcPr>
          <w:p>
            <w:pPr>
              <w:spacing w:after="0" w:line="20" w:lineRule="exact"/>
              <w:rPr>
                <w:sz w:val="1"/>
                <w:szCs w:val="1"/>
                <w:color w:val="auto"/>
              </w:rPr>
            </w:pPr>
          </w:p>
        </w:tc>
        <w:tc>
          <w:tcPr>
            <w:tcW w:w="540" w:type="dxa"/>
            <w:vAlign w:val="bottom"/>
            <w:vMerge w:val="restart"/>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1400" w:type="dxa"/>
            <w:vAlign w:val="bottom"/>
            <w:vMerge w:val="continue"/>
            <w:shd w:val="clear" w:color="auto" w:fill="CCEEFF"/>
          </w:tcPr>
          <w:p>
            <w:pPr>
              <w:spacing w:after="0"/>
              <w:rPr>
                <w:sz w:val="11"/>
                <w:szCs w:val="11"/>
                <w:color w:val="auto"/>
              </w:rPr>
            </w:pPr>
          </w:p>
        </w:tc>
        <w:tc>
          <w:tcPr>
            <w:tcW w:w="358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line="136" w:lineRule="exact"/>
              <w:rPr>
                <w:sz w:val="20"/>
                <w:szCs w:val="20"/>
                <w:color w:val="auto"/>
              </w:rPr>
            </w:pPr>
            <w:r>
              <w:rPr>
                <w:rFonts w:ascii="Arial" w:cs="Arial" w:eastAsia="Arial" w:hAnsi="Arial"/>
                <w:sz w:val="13"/>
                <w:szCs w:val="13"/>
                <w:color w:val="auto"/>
              </w:rPr>
              <w:t>$</w:t>
            </w:r>
          </w:p>
        </w:tc>
        <w:tc>
          <w:tcPr>
            <w:tcW w:w="11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(1,647)</w:t>
            </w:r>
          </w:p>
        </w:tc>
        <w:tc>
          <w:tcPr>
            <w:tcW w:w="580" w:type="dxa"/>
            <w:vAlign w:val="bottom"/>
            <w:vMerge w:val="continue"/>
            <w:shd w:val="clear" w:color="auto" w:fill="CCEEFF"/>
          </w:tcPr>
          <w:p>
            <w:pPr>
              <w:spacing w:after="0"/>
              <w:rPr>
                <w:sz w:val="11"/>
                <w:szCs w:val="11"/>
                <w:color w:val="auto"/>
              </w:rPr>
            </w:pPr>
          </w:p>
        </w:tc>
        <w:tc>
          <w:tcPr>
            <w:tcW w:w="540" w:type="dxa"/>
            <w:vAlign w:val="bottom"/>
            <w:vMerge w:val="continue"/>
            <w:shd w:val="clear" w:color="auto" w:fill="CCEEFF"/>
          </w:tcPr>
          <w:p>
            <w:pPr>
              <w:spacing w:after="0"/>
              <w:rPr>
                <w:sz w:val="11"/>
                <w:szCs w:val="11"/>
                <w:color w:val="auto"/>
              </w:rPr>
            </w:pPr>
          </w:p>
        </w:tc>
        <w:tc>
          <w:tcPr>
            <w:tcW w:w="200" w:type="dxa"/>
            <w:vAlign w:val="bottom"/>
            <w:shd w:val="clear" w:color="auto" w:fill="CCEEFF"/>
          </w:tcPr>
          <w:p>
            <w:pPr>
              <w:jc w:val="right"/>
              <w:ind w:right="53"/>
              <w:spacing w:after="0" w:line="136" w:lineRule="exact"/>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20"/>
              <w:spacing w:after="0" w:line="136" w:lineRule="exact"/>
              <w:rPr>
                <w:sz w:val="20"/>
                <w:szCs w:val="20"/>
                <w:color w:val="auto"/>
              </w:rPr>
            </w:pPr>
            <w:r>
              <w:rPr>
                <w:rFonts w:ascii="Arial" w:cs="Arial" w:eastAsia="Arial" w:hAnsi="Arial"/>
                <w:sz w:val="13"/>
                <w:szCs w:val="13"/>
                <w:color w:val="auto"/>
              </w:rPr>
              <w:t>(0.11)</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20"/>
                <w:szCs w:val="20"/>
                <w:color w:val="auto"/>
              </w:rPr>
            </w:pPr>
            <w:r>
              <w:rPr>
                <w:rFonts w:ascii="Arial" w:cs="Arial" w:eastAsia="Arial" w:hAnsi="Arial"/>
                <w:sz w:val="13"/>
                <w:szCs w:val="13"/>
                <w:color w:val="auto"/>
              </w:rPr>
              <w:t>Up 2%</w:t>
            </w:r>
          </w:p>
        </w:tc>
        <w:tc>
          <w:tcPr>
            <w:tcW w:w="3680" w:type="dxa"/>
            <w:vAlign w:val="bottom"/>
            <w:gridSpan w:val="2"/>
          </w:tcPr>
          <w:p>
            <w:pPr>
              <w:ind w:left="3580"/>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580"/>
              <w:spacing w:after="0"/>
              <w:rPr>
                <w:sz w:val="20"/>
                <w:szCs w:val="20"/>
                <w:color w:val="auto"/>
              </w:rPr>
            </w:pPr>
            <w:r>
              <w:rPr>
                <w:rFonts w:ascii="Arial" w:cs="Arial" w:eastAsia="Arial" w:hAnsi="Arial"/>
                <w:sz w:val="13"/>
                <w:szCs w:val="13"/>
                <w:color w:val="auto"/>
              </w:rPr>
              <w:t>82</w:t>
            </w: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0.01</w:t>
            </w:r>
          </w:p>
        </w:tc>
        <w:tc>
          <w:tcPr>
            <w:tcW w:w="0" w:type="dxa"/>
            <w:vAlign w:val="bottom"/>
          </w:tcPr>
          <w:p>
            <w:pPr>
              <w:spacing w:after="0"/>
              <w:rPr>
                <w:sz w:val="1"/>
                <w:szCs w:val="1"/>
                <w:color w:val="auto"/>
              </w:rPr>
            </w:pPr>
          </w:p>
        </w:tc>
      </w:tr>
      <w:tr>
        <w:trPr>
          <w:trHeight w:val="148"/>
        </w:trPr>
        <w:tc>
          <w:tcPr>
            <w:tcW w:w="1400" w:type="dxa"/>
            <w:vAlign w:val="bottom"/>
            <w:shd w:val="clear" w:color="auto" w:fill="CCEEFF"/>
          </w:tcPr>
          <w:p>
            <w:pPr>
              <w:spacing w:after="0"/>
              <w:rPr>
                <w:sz w:val="20"/>
                <w:szCs w:val="20"/>
                <w:color w:val="auto"/>
              </w:rPr>
            </w:pPr>
            <w:r>
              <w:rPr>
                <w:rFonts w:ascii="Arial" w:cs="Arial" w:eastAsia="Arial" w:hAnsi="Arial"/>
                <w:sz w:val="13"/>
                <w:szCs w:val="13"/>
                <w:color w:val="auto"/>
              </w:rPr>
              <w:t>Up 3%</w:t>
            </w:r>
          </w:p>
        </w:tc>
        <w:tc>
          <w:tcPr>
            <w:tcW w:w="3680" w:type="dxa"/>
            <w:vAlign w:val="bottom"/>
            <w:gridSpan w:val="2"/>
            <w:shd w:val="clear" w:color="auto" w:fill="CCEEFF"/>
          </w:tcPr>
          <w:p>
            <w:pPr>
              <w:ind w:left="3580"/>
              <w:spacing w:after="0"/>
              <w:rPr>
                <w:sz w:val="20"/>
                <w:szCs w:val="20"/>
                <w:color w:val="auto"/>
              </w:rPr>
            </w:pPr>
            <w:r>
              <w:rPr>
                <w:rFonts w:ascii="Arial" w:cs="Arial" w:eastAsia="Arial" w:hAnsi="Arial"/>
                <w:sz w:val="13"/>
                <w:szCs w:val="13"/>
                <w:color w:val="auto"/>
              </w:rPr>
              <w:t>$</w:t>
            </w:r>
          </w:p>
        </w:tc>
        <w:tc>
          <w:tcPr>
            <w:tcW w:w="1760" w:type="dxa"/>
            <w:vAlign w:val="bottom"/>
            <w:gridSpan w:val="2"/>
            <w:shd w:val="clear" w:color="auto" w:fill="CCEEFF"/>
          </w:tcPr>
          <w:p>
            <w:pPr>
              <w:jc w:val="right"/>
              <w:ind w:right="580"/>
              <w:spacing w:after="0"/>
              <w:rPr>
                <w:sz w:val="20"/>
                <w:szCs w:val="20"/>
                <w:color w:val="auto"/>
              </w:rPr>
            </w:pPr>
            <w:r>
              <w:rPr>
                <w:rFonts w:ascii="Arial" w:cs="Arial" w:eastAsia="Arial" w:hAnsi="Arial"/>
                <w:sz w:val="13"/>
                <w:szCs w:val="13"/>
                <w:color w:val="auto"/>
              </w:rPr>
              <w:t>2,031</w:t>
            </w:r>
          </w:p>
        </w:tc>
        <w:tc>
          <w:tcPr>
            <w:tcW w:w="740" w:type="dxa"/>
            <w:vAlign w:val="bottom"/>
            <w:gridSpan w:val="2"/>
            <w:shd w:val="clear" w:color="auto" w:fill="CCEEFF"/>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0.14</w:t>
            </w:r>
          </w:p>
        </w:tc>
        <w:tc>
          <w:tcPr>
            <w:tcW w:w="0" w:type="dxa"/>
            <w:vAlign w:val="bottom"/>
          </w:tcPr>
          <w:p>
            <w:pPr>
              <w:spacing w:after="0"/>
              <w:rPr>
                <w:sz w:val="1"/>
                <w:szCs w:val="1"/>
                <w:color w:val="auto"/>
              </w:rPr>
            </w:pPr>
          </w:p>
        </w:tc>
      </w:tr>
      <w:tr>
        <w:trPr>
          <w:trHeight w:val="172"/>
        </w:trPr>
        <w:tc>
          <w:tcPr>
            <w:tcW w:w="1400" w:type="dxa"/>
            <w:vAlign w:val="bottom"/>
          </w:tcPr>
          <w:p>
            <w:pPr>
              <w:spacing w:after="0"/>
              <w:rPr>
                <w:sz w:val="20"/>
                <w:szCs w:val="20"/>
                <w:color w:val="auto"/>
              </w:rPr>
            </w:pPr>
            <w:r>
              <w:rPr>
                <w:rFonts w:ascii="Arial" w:cs="Arial" w:eastAsia="Arial" w:hAnsi="Arial"/>
                <w:sz w:val="13"/>
                <w:szCs w:val="13"/>
                <w:color w:val="auto"/>
              </w:rPr>
              <w:t>Up 4%</w:t>
            </w:r>
          </w:p>
        </w:tc>
        <w:tc>
          <w:tcPr>
            <w:tcW w:w="3680" w:type="dxa"/>
            <w:vAlign w:val="bottom"/>
            <w:gridSpan w:val="2"/>
          </w:tcPr>
          <w:p>
            <w:pPr>
              <w:ind w:left="3580"/>
              <w:spacing w:after="0"/>
              <w:rPr>
                <w:sz w:val="20"/>
                <w:szCs w:val="20"/>
                <w:color w:val="auto"/>
              </w:rPr>
            </w:pPr>
            <w:r>
              <w:rPr>
                <w:rFonts w:ascii="Arial" w:cs="Arial" w:eastAsia="Arial" w:hAnsi="Arial"/>
                <w:sz w:val="13"/>
                <w:szCs w:val="13"/>
                <w:color w:val="auto"/>
              </w:rPr>
              <w:t>$</w:t>
            </w:r>
          </w:p>
        </w:tc>
        <w:tc>
          <w:tcPr>
            <w:tcW w:w="1760" w:type="dxa"/>
            <w:vAlign w:val="bottom"/>
            <w:gridSpan w:val="2"/>
          </w:tcPr>
          <w:p>
            <w:pPr>
              <w:jc w:val="right"/>
              <w:ind w:right="580"/>
              <w:spacing w:after="0"/>
              <w:rPr>
                <w:sz w:val="20"/>
                <w:szCs w:val="20"/>
                <w:color w:val="auto"/>
              </w:rPr>
            </w:pPr>
            <w:r>
              <w:rPr>
                <w:rFonts w:ascii="Arial" w:cs="Arial" w:eastAsia="Arial" w:hAnsi="Arial"/>
                <w:sz w:val="13"/>
                <w:szCs w:val="13"/>
                <w:color w:val="auto"/>
              </w:rPr>
              <w:t>3,979</w:t>
            </w:r>
          </w:p>
        </w:tc>
        <w:tc>
          <w:tcPr>
            <w:tcW w:w="7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3"/>
                <w:szCs w:val="13"/>
                <w:color w:val="auto"/>
              </w:rPr>
              <w:t>0.27</w:t>
            </w:r>
          </w:p>
        </w:tc>
        <w:tc>
          <w:tcPr>
            <w:tcW w:w="0" w:type="dxa"/>
            <w:vAlign w:val="bottom"/>
          </w:tcPr>
          <w:p>
            <w:pPr>
              <w:spacing w:after="0"/>
              <w:rPr>
                <w:sz w:val="1"/>
                <w:szCs w:val="1"/>
                <w:color w:val="auto"/>
              </w:rPr>
            </w:pPr>
          </w:p>
        </w:tc>
      </w:tr>
    </w:tbl>
    <w:p>
      <w:pPr>
        <w:spacing w:after="0" w:line="127" w:lineRule="exact"/>
        <w:rPr>
          <w:sz w:val="20"/>
          <w:szCs w:val="20"/>
          <w:color w:val="auto"/>
        </w:rPr>
      </w:pPr>
    </w:p>
    <w:p>
      <w:pPr>
        <w:jc w:val="both"/>
        <w:ind w:right="320" w:firstLine="786"/>
        <w:spacing w:after="0" w:line="256"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29" w:lineRule="exact"/>
        <w:rPr>
          <w:sz w:val="20"/>
          <w:szCs w:val="20"/>
          <w:color w:val="auto"/>
        </w:rPr>
      </w:pPr>
    </w:p>
    <w:p>
      <w:pPr>
        <w:ind w:firstLine="786"/>
        <w:spacing w:after="0" w:line="317" w:lineRule="auto"/>
        <w:rPr>
          <w:sz w:val="20"/>
          <w:szCs w:val="20"/>
          <w:color w:val="auto"/>
        </w:rPr>
      </w:pPr>
      <w:r>
        <w:rPr>
          <w:rFonts w:ascii="Arial" w:cs="Arial" w:eastAsia="Arial" w:hAnsi="Arial"/>
          <w:sz w:val="12"/>
          <w:szCs w:val="12"/>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94" w:lineRule="exact"/>
        <w:rPr>
          <w:sz w:val="20"/>
          <w:szCs w:val="20"/>
          <w:color w:val="auto"/>
        </w:rPr>
      </w:pPr>
    </w:p>
    <w:p>
      <w:pPr>
        <w:ind w:right="60" w:firstLine="786"/>
        <w:spacing w:after="0" w:line="256" w:lineRule="auto"/>
        <w:rPr>
          <w:sz w:val="20"/>
          <w:szCs w:val="20"/>
          <w:color w:val="auto"/>
        </w:rPr>
      </w:pPr>
      <w:r>
        <w:rPr>
          <w:rFonts w:ascii="Arial" w:cs="Arial" w:eastAsia="Arial" w:hAnsi="Arial"/>
          <w:sz w:val="13"/>
          <w:szCs w:val="13"/>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the benefits of lower interest rates with respect to our portfolio of investments with fixed interest rates. During the periods covered by this Report, we did not engage in interest rate hedging activities.</w:t>
      </w:r>
    </w:p>
    <w:p>
      <w:pPr>
        <w:spacing w:after="0" w:line="249"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Controls and Procedures</w:t>
      </w:r>
    </w:p>
    <w:p>
      <w:pPr>
        <w:spacing w:after="0" w:line="82" w:lineRule="exact"/>
        <w:rPr>
          <w:sz w:val="20"/>
          <w:szCs w:val="20"/>
          <w:color w:val="auto"/>
        </w:rPr>
      </w:pPr>
    </w:p>
    <w:p>
      <w:pPr>
        <w:ind w:firstLine="786"/>
        <w:spacing w:after="0" w:line="244"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of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38" w:lineRule="exact"/>
        <w:rPr>
          <w:sz w:val="20"/>
          <w:szCs w:val="20"/>
          <w:color w:val="auto"/>
        </w:rPr>
      </w:pPr>
    </w:p>
    <w:p>
      <w:pPr>
        <w:ind w:right="340" w:firstLine="786"/>
        <w:spacing w:after="0" w:line="274" w:lineRule="auto"/>
        <w:rPr>
          <w:sz w:val="20"/>
          <w:szCs w:val="20"/>
          <w:color w:val="auto"/>
        </w:rPr>
      </w:pPr>
      <w:r>
        <w:rPr>
          <w:rFonts w:ascii="Arial" w:cs="Arial" w:eastAsia="Arial" w:hAnsi="Arial"/>
          <w:sz w:val="13"/>
          <w:szCs w:val="13"/>
          <w:color w:val="auto"/>
        </w:rPr>
        <w:t>There have been no changes in our internal control over financial reporting that occurred during the quarter ended March 31, 2014 that have materially affected, or are reasonably likely to materially affect, our internal control over financial reporting.</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29</w:t>
      </w:r>
    </w:p>
    <w:p>
      <w:pPr>
        <w:sectPr>
          <w:pgSz w:w="11900" w:h="16838" w:orient="portrait"/>
          <w:cols w:equalWidth="0" w:num="1">
            <w:col w:w="11220"/>
          </w:cols>
          <w:pgMar w:left="320" w:top="459" w:right="3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PART II – OTHER INFORMATION</w:t>
      </w:r>
    </w:p>
    <w:p>
      <w:pPr>
        <w:spacing w:after="0" w:line="80"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1"/>
          <w:szCs w:val="11"/>
          <w:b w:val="1"/>
          <w:bCs w:val="1"/>
          <w:color w:val="auto"/>
        </w:rPr>
        <w:t>Legal Proceedings</w:t>
      </w:r>
    </w:p>
    <w:p>
      <w:pPr>
        <w:spacing w:after="0" w:line="82"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Neither we nor our Investment Adviser nor our Administrator is currently subject to any material legal proceedings, nor, to our knowledge, is any material legal proceeding threatened against us, or against our Investment Adviser or Administrator. From time to time, we, our Investment Adviser or our Administrator may be a party to certain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1"/>
          <w:szCs w:val="11"/>
          <w:b w:val="1"/>
          <w:bCs w:val="1"/>
          <w:color w:val="auto"/>
        </w:rPr>
        <w:t>Risk Factors</w:t>
      </w:r>
    </w:p>
    <w:p>
      <w:pPr>
        <w:spacing w:after="0" w:line="82" w:lineRule="exact"/>
        <w:rPr>
          <w:sz w:val="20"/>
          <w:szCs w:val="20"/>
          <w:color w:val="auto"/>
        </w:rPr>
      </w:pPr>
    </w:p>
    <w:p>
      <w:pPr>
        <w:ind w:firstLine="786"/>
        <w:spacing w:after="0" w:line="250" w:lineRule="auto"/>
        <w:rPr>
          <w:sz w:val="20"/>
          <w:szCs w:val="20"/>
          <w:color w:val="auto"/>
        </w:rPr>
      </w:pPr>
      <w:r>
        <w:rPr>
          <w:rFonts w:ascii="Arial" w:cs="Arial" w:eastAsia="Arial" w:hAnsi="Arial"/>
          <w:sz w:val="13"/>
          <w:szCs w:val="13"/>
          <w:color w:val="auto"/>
        </w:rPr>
        <w:t>In addition to the other information set forth in this Report, you should consider carefully the factors discussed in Part I “Item 1A. Risk Factors” in our Annual Report on Form 10-K for the fiscal year ended September 30, 2013, which could materially affect our business, financial condition and/or operating results. The risks described in our Annual Report on Form 10-K are not the only risks facing PennantPark Floating Rate Capital Ltd. Additional risks and uncertainties not currently known to us or that we currently deem to be immaterial also may materially and adversely affect our business, financial condition and/or operating results.</w:t>
      </w:r>
    </w:p>
    <w:p>
      <w:pPr>
        <w:spacing w:after="0" w:line="253"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1"/>
          <w:szCs w:val="11"/>
          <w:b w:val="1"/>
          <w:bCs w:val="1"/>
          <w:color w:val="auto"/>
        </w:rPr>
        <w:t>Unregistered Sales of Equity Securities and Use of Proceeds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None.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1"/>
          <w:szCs w:val="11"/>
          <w:b w:val="1"/>
          <w:bCs w:val="1"/>
          <w:color w:val="auto"/>
        </w:rPr>
        <w:t>Defaults Upon Senior Securities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None.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1"/>
          <w:szCs w:val="11"/>
          <w:b w:val="1"/>
          <w:bCs w:val="1"/>
          <w:color w:val="auto"/>
        </w:rPr>
        <w:t>Mine Safety Disclosures</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Not Applicable.</w:t>
      </w:r>
    </w:p>
    <w:p>
      <w:pPr>
        <w:spacing w:after="0" w:line="28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5.</w:t>
      </w:r>
      <w:r>
        <w:rPr>
          <w:sz w:val="20"/>
          <w:szCs w:val="20"/>
          <w:color w:val="auto"/>
        </w:rPr>
        <w:tab/>
      </w:r>
      <w:r>
        <w:rPr>
          <w:rFonts w:ascii="Arial" w:cs="Arial" w:eastAsia="Arial" w:hAnsi="Arial"/>
          <w:sz w:val="12"/>
          <w:szCs w:val="12"/>
          <w:b w:val="1"/>
          <w:bCs w:val="1"/>
          <w:color w:val="auto"/>
        </w:rPr>
        <w:t>Other Information</w:t>
      </w:r>
    </w:p>
    <w:p>
      <w:pPr>
        <w:spacing w:after="0" w:line="82" w:lineRule="exact"/>
        <w:rPr>
          <w:sz w:val="20"/>
          <w:szCs w:val="20"/>
          <w:color w:val="auto"/>
        </w:rPr>
      </w:pPr>
    </w:p>
    <w:p>
      <w:pPr>
        <w:ind w:left="800"/>
        <w:spacing w:after="0"/>
        <w:rPr>
          <w:sz w:val="20"/>
          <w:szCs w:val="20"/>
          <w:color w:val="auto"/>
        </w:rPr>
      </w:pPr>
      <w:r>
        <w:rPr>
          <w:rFonts w:ascii="Arial" w:cs="Arial" w:eastAsia="Arial" w:hAnsi="Arial"/>
          <w:sz w:val="13"/>
          <w:szCs w:val="13"/>
          <w:color w:val="auto"/>
        </w:rPr>
        <w:t>None.</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30</w:t>
      </w:r>
    </w:p>
    <w:p>
      <w:pPr>
        <w:sectPr>
          <w:pgSz w:w="11900" w:h="16838" w:orient="portrait"/>
          <w:cols w:equalWidth="0" w:num="1">
            <w:col w:w="11080"/>
          </w:cols>
          <w:pgMar w:left="320" w:top="459" w:right="4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spacing w:after="0"/>
        <w:tabs>
          <w:tab w:leader="none" w:pos="7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color w:val="auto"/>
        </w:rPr>
        <w:t>Exhibits</w:t>
      </w:r>
    </w:p>
    <w:p>
      <w:pPr>
        <w:spacing w:after="0" w:line="82" w:lineRule="exact"/>
        <w:rPr>
          <w:sz w:val="20"/>
          <w:szCs w:val="20"/>
          <w:color w:val="auto"/>
        </w:rPr>
      </w:pPr>
    </w:p>
    <w:p>
      <w:pPr>
        <w:spacing w:after="0"/>
        <w:rPr>
          <w:sz w:val="20"/>
          <w:szCs w:val="20"/>
          <w:color w:val="auto"/>
        </w:rPr>
      </w:pPr>
      <w:r>
        <w:rPr>
          <w:rFonts w:ascii="Arial" w:cs="Arial" w:eastAsia="Arial" w:hAnsi="Arial"/>
          <w:sz w:val="13"/>
          <w:szCs w:val="13"/>
          <w:color w:val="auto"/>
        </w:rPr>
        <w:t>Unless specifically indicated otherwise, the following exhibits are incorporated by reference to exhibits previously filed with the SEC:</w:t>
      </w:r>
    </w:p>
    <w:p>
      <w:pPr>
        <w:spacing w:after="0" w:line="201" w:lineRule="exact"/>
        <w:rPr>
          <w:sz w:val="20"/>
          <w:szCs w:val="20"/>
          <w:color w:val="auto"/>
        </w:rPr>
      </w:pPr>
    </w:p>
    <w:tbl>
      <w:tblPr>
        <w:tblLayout w:type="fixed"/>
        <w:tblInd w:w="80" w:type="dxa"/>
        <w:tblCellMar>
          <w:top w:w="0" w:type="dxa"/>
          <w:left w:w="0" w:type="dxa"/>
          <w:bottom w:w="0" w:type="dxa"/>
          <w:right w:w="0" w:type="dxa"/>
        </w:tblCellMar>
      </w:tblPr>
      <w:tr>
        <w:trPr>
          <w:trHeight w:val="149"/>
        </w:trPr>
        <w:tc>
          <w:tcPr>
            <w:tcW w:w="440" w:type="dxa"/>
            <w:vAlign w:val="bottom"/>
          </w:tcPr>
          <w:p>
            <w:pPr>
              <w:jc w:val="right"/>
              <w:ind w:right="213"/>
              <w:spacing w:after="0"/>
              <w:rPr>
                <w:sz w:val="20"/>
                <w:szCs w:val="20"/>
                <w:color w:val="auto"/>
              </w:rPr>
            </w:pPr>
            <w:r>
              <w:rPr>
                <w:rFonts w:ascii="Arial" w:cs="Arial" w:eastAsia="Arial" w:hAnsi="Arial"/>
                <w:sz w:val="13"/>
                <w:szCs w:val="13"/>
                <w:color w:val="auto"/>
                <w:w w:val="77"/>
              </w:rPr>
              <w:t>3.1</w:t>
            </w:r>
          </w:p>
        </w:tc>
        <w:tc>
          <w:tcPr>
            <w:tcW w:w="10540" w:type="dxa"/>
            <w:vAlign w:val="bottom"/>
          </w:tcPr>
          <w:p>
            <w:pPr>
              <w:ind w:left="260"/>
              <w:spacing w:after="0"/>
              <w:rPr>
                <w:sz w:val="20"/>
                <w:szCs w:val="20"/>
                <w:color w:val="auto"/>
              </w:rPr>
            </w:pPr>
            <w:r>
              <w:rPr>
                <w:rFonts w:ascii="Arial" w:cs="Arial" w:eastAsia="Arial" w:hAnsi="Arial"/>
                <w:sz w:val="13"/>
                <w:szCs w:val="13"/>
                <w:color w:val="auto"/>
                <w:w w:val="94"/>
              </w:rPr>
              <w:t>Articles of Amendment and Restatement of the Registrant (Incorporated by reference to the Registrant’s Pre-Effective Amendment No. 3 to the Registration Statement on Form N-2 (File No.</w:t>
            </w:r>
          </w:p>
        </w:tc>
      </w:tr>
      <w:tr>
        <w:trPr>
          <w:trHeight w:val="172"/>
        </w:trPr>
        <w:tc>
          <w:tcPr>
            <w:tcW w:w="440" w:type="dxa"/>
            <w:vAlign w:val="bottom"/>
          </w:tcPr>
          <w:p>
            <w:pPr>
              <w:spacing w:after="0"/>
              <w:rPr>
                <w:sz w:val="14"/>
                <w:szCs w:val="14"/>
                <w:color w:val="auto"/>
              </w:rPr>
            </w:pPr>
          </w:p>
        </w:tc>
        <w:tc>
          <w:tcPr>
            <w:tcW w:w="10540" w:type="dxa"/>
            <w:vAlign w:val="bottom"/>
          </w:tcPr>
          <w:p>
            <w:pPr>
              <w:ind w:left="260"/>
              <w:spacing w:after="0"/>
              <w:rPr>
                <w:sz w:val="20"/>
                <w:szCs w:val="20"/>
                <w:color w:val="auto"/>
              </w:rPr>
            </w:pPr>
            <w:r>
              <w:rPr>
                <w:rFonts w:ascii="Arial" w:cs="Arial" w:eastAsia="Arial" w:hAnsi="Arial"/>
                <w:sz w:val="13"/>
                <w:szCs w:val="13"/>
                <w:color w:val="auto"/>
              </w:rPr>
              <w:t>333-170243), filed on March 29, 2011).</w:t>
            </w:r>
          </w:p>
        </w:tc>
      </w:tr>
      <w:tr>
        <w:trPr>
          <w:trHeight w:val="257"/>
        </w:trPr>
        <w:tc>
          <w:tcPr>
            <w:tcW w:w="440" w:type="dxa"/>
            <w:vAlign w:val="bottom"/>
          </w:tcPr>
          <w:p>
            <w:pPr>
              <w:jc w:val="right"/>
              <w:ind w:right="213"/>
              <w:spacing w:after="0"/>
              <w:rPr>
                <w:sz w:val="20"/>
                <w:szCs w:val="20"/>
                <w:color w:val="auto"/>
              </w:rPr>
            </w:pPr>
            <w:r>
              <w:rPr>
                <w:rFonts w:ascii="Arial" w:cs="Arial" w:eastAsia="Arial" w:hAnsi="Arial"/>
                <w:sz w:val="13"/>
                <w:szCs w:val="13"/>
                <w:color w:val="auto"/>
                <w:w w:val="77"/>
              </w:rPr>
              <w:t>3.2</w:t>
            </w:r>
          </w:p>
        </w:tc>
        <w:tc>
          <w:tcPr>
            <w:tcW w:w="10540" w:type="dxa"/>
            <w:vAlign w:val="bottom"/>
          </w:tcPr>
          <w:p>
            <w:pPr>
              <w:ind w:left="260"/>
              <w:spacing w:after="0"/>
              <w:rPr>
                <w:sz w:val="20"/>
                <w:szCs w:val="20"/>
                <w:color w:val="auto"/>
              </w:rPr>
            </w:pPr>
            <w:r>
              <w:rPr>
                <w:rFonts w:ascii="Arial" w:cs="Arial" w:eastAsia="Arial" w:hAnsi="Arial"/>
                <w:sz w:val="13"/>
                <w:szCs w:val="13"/>
                <w:color w:val="auto"/>
              </w:rPr>
              <w:t>Amended and Restated Bylaws of the Registrant (Incorporated by reference to the Registrant’s Annual Report on Form 10-K (File No. 814-00891), filed on November 14, 2013).</w:t>
            </w:r>
          </w:p>
        </w:tc>
      </w:tr>
      <w:tr>
        <w:trPr>
          <w:trHeight w:val="233"/>
        </w:trPr>
        <w:tc>
          <w:tcPr>
            <w:tcW w:w="440" w:type="dxa"/>
            <w:vAlign w:val="bottom"/>
          </w:tcPr>
          <w:p>
            <w:pPr>
              <w:jc w:val="right"/>
              <w:ind w:right="213"/>
              <w:spacing w:after="0"/>
              <w:rPr>
                <w:sz w:val="20"/>
                <w:szCs w:val="20"/>
                <w:color w:val="auto"/>
              </w:rPr>
            </w:pPr>
            <w:r>
              <w:rPr>
                <w:rFonts w:ascii="Arial" w:cs="Arial" w:eastAsia="Arial" w:hAnsi="Arial"/>
                <w:sz w:val="13"/>
                <w:szCs w:val="13"/>
                <w:color w:val="auto"/>
                <w:w w:val="77"/>
              </w:rPr>
              <w:t>4.1</w:t>
            </w:r>
          </w:p>
        </w:tc>
        <w:tc>
          <w:tcPr>
            <w:tcW w:w="10540" w:type="dxa"/>
            <w:vAlign w:val="bottom"/>
          </w:tcPr>
          <w:p>
            <w:pPr>
              <w:ind w:left="260"/>
              <w:spacing w:after="0"/>
              <w:rPr>
                <w:sz w:val="20"/>
                <w:szCs w:val="20"/>
                <w:color w:val="auto"/>
              </w:rPr>
            </w:pPr>
            <w:r>
              <w:rPr>
                <w:rFonts w:ascii="Arial" w:cs="Arial" w:eastAsia="Arial" w:hAnsi="Arial"/>
                <w:sz w:val="13"/>
                <w:szCs w:val="13"/>
                <w:color w:val="auto"/>
                <w:w w:val="96"/>
              </w:rPr>
              <w:t>Form of Share Certificate (Incorporated by reference to the Registrant’s Pre-Effective Amendment No. 5 to the Registration Statement on Form N-2 (File No. 333-170243), filed on April 5,</w:t>
            </w:r>
          </w:p>
        </w:tc>
      </w:tr>
      <w:tr>
        <w:trPr>
          <w:trHeight w:val="172"/>
        </w:trPr>
        <w:tc>
          <w:tcPr>
            <w:tcW w:w="440" w:type="dxa"/>
            <w:vAlign w:val="bottom"/>
          </w:tcPr>
          <w:p>
            <w:pPr>
              <w:spacing w:after="0"/>
              <w:rPr>
                <w:sz w:val="14"/>
                <w:szCs w:val="14"/>
                <w:color w:val="auto"/>
              </w:rPr>
            </w:pPr>
          </w:p>
        </w:tc>
        <w:tc>
          <w:tcPr>
            <w:tcW w:w="10540" w:type="dxa"/>
            <w:vAlign w:val="bottom"/>
          </w:tcPr>
          <w:p>
            <w:pPr>
              <w:ind w:left="260"/>
              <w:spacing w:after="0"/>
              <w:rPr>
                <w:sz w:val="20"/>
                <w:szCs w:val="20"/>
                <w:color w:val="auto"/>
              </w:rPr>
            </w:pPr>
            <w:r>
              <w:rPr>
                <w:rFonts w:ascii="Arial" w:cs="Arial" w:eastAsia="Arial" w:hAnsi="Arial"/>
                <w:sz w:val="13"/>
                <w:szCs w:val="13"/>
                <w:color w:val="auto"/>
              </w:rPr>
              <w:t>2011).</w:t>
            </w:r>
          </w:p>
        </w:tc>
      </w:tr>
    </w:tbl>
    <w:p>
      <w:pPr>
        <w:spacing w:after="0" w:line="84" w:lineRule="exact"/>
        <w:rPr>
          <w:sz w:val="20"/>
          <w:szCs w:val="20"/>
          <w:color w:val="auto"/>
        </w:rPr>
      </w:pPr>
    </w:p>
    <w:p>
      <w:pPr>
        <w:ind w:left="780" w:hanging="772"/>
        <w:spacing w:after="0"/>
        <w:tabs>
          <w:tab w:leader="none" w:pos="78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Computation of Per Share Earnings (included in the notes to the Consolidated Financial Statements contained in this Report).</w:t>
      </w:r>
    </w:p>
    <w:p>
      <w:pPr>
        <w:spacing w:after="0" w:line="10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31.1 *</w:t>
      </w:r>
      <w:r>
        <w:rPr>
          <w:rFonts w:ascii="Arial" w:cs="Arial" w:eastAsia="Arial" w:hAnsi="Arial"/>
          <w:sz w:val="12"/>
          <w:szCs w:val="12"/>
          <w:color w:val="auto"/>
        </w:rPr>
        <w:t>Certification of Chief Executive Officer pursuant to Rule 13a-14 of the Securities Exchange Act of 1934, as amended.</w:t>
      </w:r>
    </w:p>
    <w:p>
      <w:pPr>
        <w:spacing w:after="0" w:line="10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31.2 *</w:t>
      </w:r>
      <w:r>
        <w:rPr>
          <w:rFonts w:ascii="Arial" w:cs="Arial" w:eastAsia="Arial" w:hAnsi="Arial"/>
          <w:sz w:val="12"/>
          <w:szCs w:val="12"/>
          <w:color w:val="auto"/>
        </w:rPr>
        <w:t>Certification of Chief Financial Officer pursuant to Rule 13a-14 of the Securities Exchange Act of 1934, as amended.</w:t>
      </w:r>
    </w:p>
    <w:p>
      <w:pPr>
        <w:spacing w:after="0" w:line="10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32.1 *</w:t>
      </w:r>
      <w:r>
        <w:rPr>
          <w:rFonts w:ascii="Arial" w:cs="Arial" w:eastAsia="Arial" w:hAnsi="Arial"/>
          <w:sz w:val="12"/>
          <w:szCs w:val="12"/>
          <w:color w:val="auto"/>
        </w:rPr>
        <w:t>Certification of Chief Executive Officer pursuant to section 906 of The Sarbanes-Oxley Act of 2002.</w:t>
      </w:r>
    </w:p>
    <w:p>
      <w:pPr>
        <w:spacing w:after="0" w:line="107"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color w:val="auto"/>
        </w:rPr>
        <w:t>32.2 *</w:t>
      </w:r>
      <w:r>
        <w:rPr>
          <w:rFonts w:ascii="Arial" w:cs="Arial" w:eastAsia="Arial" w:hAnsi="Arial"/>
          <w:sz w:val="12"/>
          <w:szCs w:val="12"/>
          <w:color w:val="auto"/>
        </w:rPr>
        <w:t>Certification of Chief Financial Officer pursuant to section 906 of The Sarbanes-Oxley Act of 2002.</w:t>
      </w:r>
    </w:p>
    <w:p>
      <w:pPr>
        <w:spacing w:after="0" w:line="107" w:lineRule="exact"/>
        <w:rPr>
          <w:sz w:val="20"/>
          <w:szCs w:val="20"/>
          <w:color w:val="auto"/>
        </w:rPr>
      </w:pPr>
    </w:p>
    <w:p>
      <w:pPr>
        <w:spacing w:after="0"/>
        <w:tabs>
          <w:tab w:leader="none" w:pos="760" w:val="left"/>
        </w:tabs>
        <w:rPr>
          <w:sz w:val="20"/>
          <w:szCs w:val="20"/>
          <w:color w:val="auto"/>
        </w:rPr>
      </w:pPr>
      <w:r>
        <w:rPr>
          <w:rFonts w:ascii="Arial" w:cs="Arial" w:eastAsia="Arial" w:hAnsi="Arial"/>
          <w:sz w:val="13"/>
          <w:szCs w:val="13"/>
          <w:color w:val="auto"/>
        </w:rPr>
        <w:t>99.1</w:t>
      </w:r>
      <w:r>
        <w:rPr>
          <w:sz w:val="20"/>
          <w:szCs w:val="20"/>
          <w:color w:val="auto"/>
        </w:rPr>
        <w:tab/>
      </w:r>
      <w:r>
        <w:rPr>
          <w:rFonts w:ascii="Arial" w:cs="Arial" w:eastAsia="Arial" w:hAnsi="Arial"/>
          <w:sz w:val="12"/>
          <w:szCs w:val="12"/>
          <w:color w:val="auto"/>
        </w:rPr>
        <w:t>Privacy Policy of the Registrant (Incorporated by reference to the Registrant’s Annual Report on Form 10-K (File No. 814-00891), filed on November 17,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12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28"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Filed herewith.</w:t>
      </w:r>
    </w:p>
    <w:p>
      <w:pPr>
        <w:spacing w:after="0" w:line="148"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31</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p>
      <w:pPr>
        <w:jc w:val="center"/>
        <w:ind w:right="-519"/>
        <w:spacing w:after="0"/>
        <w:rPr>
          <w:sz w:val="20"/>
          <w:szCs w:val="20"/>
          <w:color w:val="auto"/>
        </w:rPr>
      </w:pPr>
      <w:r>
        <w:rPr>
          <w:rFonts w:ascii="Arial" w:cs="Arial" w:eastAsia="Arial" w:hAnsi="Arial"/>
          <w:sz w:val="13"/>
          <w:szCs w:val="13"/>
          <w:b w:val="1"/>
          <w:bCs w:val="1"/>
          <w:color w:val="auto"/>
        </w:rPr>
        <w:t>SIGNATURES</w:t>
      </w:r>
    </w:p>
    <w:p>
      <w:pPr>
        <w:spacing w:after="0" w:line="163" w:lineRule="exact"/>
        <w:rPr>
          <w:sz w:val="20"/>
          <w:szCs w:val="20"/>
          <w:color w:val="auto"/>
        </w:rPr>
      </w:pPr>
    </w:p>
    <w:p>
      <w:pPr>
        <w:ind w:firstLine="786"/>
        <w:spacing w:after="0" w:line="274" w:lineRule="auto"/>
        <w:rPr>
          <w:sz w:val="20"/>
          <w:szCs w:val="20"/>
          <w:color w:val="auto"/>
        </w:rPr>
      </w:pPr>
      <w:r>
        <w:rPr>
          <w:rFonts w:ascii="Arial" w:cs="Arial" w:eastAsia="Arial" w:hAnsi="Arial"/>
          <w:sz w:val="13"/>
          <w:szCs w:val="13"/>
          <w:color w:val="auto"/>
        </w:rPr>
        <w:t>Pursuant to the requirements of Section 13(a) or 15(d) of the Securities Exchange Act of 1934, the registrant has duly caused this Report on Form 10-Q to be signed on its behalf by the undersigned, thereunto duly authorized.</w:t>
      </w:r>
    </w:p>
    <w:p>
      <w:pPr>
        <w:spacing w:after="0" w:line="158" w:lineRule="exact"/>
        <w:rPr>
          <w:sz w:val="20"/>
          <w:szCs w:val="20"/>
          <w:color w:val="auto"/>
        </w:rPr>
      </w:pPr>
    </w:p>
    <w:p>
      <w:pPr>
        <w:ind w:left="6840"/>
        <w:spacing w:after="0"/>
        <w:rPr>
          <w:sz w:val="20"/>
          <w:szCs w:val="20"/>
          <w:color w:val="auto"/>
        </w:rPr>
      </w:pPr>
      <w:r>
        <w:rPr>
          <w:rFonts w:ascii="Arial" w:cs="Arial" w:eastAsia="Arial" w:hAnsi="Arial"/>
          <w:sz w:val="13"/>
          <w:szCs w:val="13"/>
          <w:color w:val="auto"/>
        </w:rPr>
        <w:t>PENNANTPARK FLOATING RATE CAPITAL LTD.</w:t>
      </w:r>
    </w:p>
    <w:p>
      <w:pPr>
        <w:spacing w:after="0" w:line="215" w:lineRule="exact"/>
        <w:rPr>
          <w:sz w:val="20"/>
          <w:szCs w:val="20"/>
          <w:color w:val="auto"/>
        </w:rPr>
      </w:pPr>
    </w:p>
    <w:p>
      <w:pPr>
        <w:spacing w:after="0"/>
        <w:tabs>
          <w:tab w:leader="none" w:pos="5640" w:val="left"/>
          <w:tab w:leader="none" w:pos="7900" w:val="left"/>
          <w:tab w:leader="none" w:pos="8160" w:val="left"/>
        </w:tabs>
        <w:rPr>
          <w:sz w:val="20"/>
          <w:szCs w:val="20"/>
          <w:color w:val="auto"/>
        </w:rPr>
      </w:pPr>
      <w:r>
        <w:rPr>
          <w:rFonts w:ascii="Arial" w:cs="Arial" w:eastAsia="Arial" w:hAnsi="Arial"/>
          <w:sz w:val="13"/>
          <w:szCs w:val="13"/>
          <w:color w:val="auto"/>
        </w:rPr>
        <w:t>Date: May 8, 2014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r>
      <w:r>
        <w:rPr>
          <w:sz w:val="20"/>
          <w:szCs w:val="20"/>
          <w:color w:val="auto"/>
        </w:rPr>
        <w:tab/>
      </w:r>
      <w:r>
        <w:rPr>
          <w:rFonts w:ascii="Arial" w:cs="Arial" w:eastAsia="Arial" w:hAnsi="Arial"/>
          <w:sz w:val="12"/>
          <w:szCs w:val="12"/>
          <w:color w:val="auto"/>
        </w:rPr>
        <w:t>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Arthur H. Penn</w:t>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Chairman of the Board of Directors and Chief Executive Officer</w:t>
      </w:r>
    </w:p>
    <w:p>
      <w:pPr>
        <w:jc w:val="center"/>
        <w:ind w:left="5960"/>
        <w:spacing w:after="0"/>
        <w:rPr>
          <w:sz w:val="20"/>
          <w:szCs w:val="20"/>
          <w:color w:val="auto"/>
        </w:rPr>
      </w:pPr>
      <w:r>
        <w:rPr>
          <w:rFonts w:ascii="Arial" w:cs="Arial" w:eastAsia="Arial" w:hAnsi="Arial"/>
          <w:sz w:val="13"/>
          <w:szCs w:val="13"/>
          <w:b w:val="1"/>
          <w:bCs w:val="1"/>
          <w:color w:val="auto"/>
        </w:rPr>
        <w:t>(Principal Executive Officer)</w:t>
      </w:r>
    </w:p>
    <w:p>
      <w:pPr>
        <w:spacing w:after="0" w:line="217" w:lineRule="exact"/>
        <w:rPr>
          <w:sz w:val="20"/>
          <w:szCs w:val="20"/>
          <w:color w:val="auto"/>
        </w:rPr>
      </w:pPr>
    </w:p>
    <w:p>
      <w:pPr>
        <w:spacing w:after="0"/>
        <w:tabs>
          <w:tab w:leader="none" w:pos="5640" w:val="left"/>
          <w:tab w:leader="none" w:pos="8040" w:val="left"/>
          <w:tab w:leader="none" w:pos="8300" w:val="left"/>
        </w:tabs>
        <w:rPr>
          <w:sz w:val="20"/>
          <w:szCs w:val="20"/>
          <w:color w:val="auto"/>
        </w:rPr>
      </w:pPr>
      <w:r>
        <w:rPr>
          <w:rFonts w:ascii="Arial" w:cs="Arial" w:eastAsia="Arial" w:hAnsi="Arial"/>
          <w:sz w:val="13"/>
          <w:szCs w:val="13"/>
          <w:color w:val="auto"/>
        </w:rPr>
        <w:t>Date: May 8, 2014</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3"/>
          <w:szCs w:val="13"/>
          <w:color w:val="auto"/>
        </w:rPr>
        <w:t>/s/</w:t>
        <w:tab/>
        <w:t>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6350</wp:posOffset>
            </wp:positionV>
            <wp:extent cx="335153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4"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Aviv Efrat</w:t>
      </w:r>
    </w:p>
    <w:p>
      <w:pPr>
        <w:spacing w:after="0" w:line="12" w:lineRule="exact"/>
        <w:rPr>
          <w:sz w:val="20"/>
          <w:szCs w:val="20"/>
          <w:color w:val="auto"/>
        </w:rPr>
      </w:pPr>
    </w:p>
    <w:p>
      <w:pPr>
        <w:jc w:val="center"/>
        <w:ind w:left="5960"/>
        <w:spacing w:after="0"/>
        <w:rPr>
          <w:sz w:val="20"/>
          <w:szCs w:val="20"/>
          <w:color w:val="auto"/>
        </w:rPr>
      </w:pPr>
      <w:r>
        <w:rPr>
          <w:rFonts w:ascii="Arial" w:cs="Arial" w:eastAsia="Arial" w:hAnsi="Arial"/>
          <w:sz w:val="13"/>
          <w:szCs w:val="13"/>
          <w:b w:val="1"/>
          <w:bCs w:val="1"/>
          <w:color w:val="auto"/>
        </w:rPr>
        <w:t>Chief Financial Officer and Treasurer</w:t>
      </w:r>
    </w:p>
    <w:p>
      <w:pPr>
        <w:jc w:val="center"/>
        <w:ind w:left="5960"/>
        <w:spacing w:after="0"/>
        <w:rPr>
          <w:sz w:val="20"/>
          <w:szCs w:val="20"/>
          <w:color w:val="auto"/>
        </w:rPr>
      </w:pPr>
      <w:r>
        <w:rPr>
          <w:rFonts w:ascii="Arial" w:cs="Arial" w:eastAsia="Arial" w:hAnsi="Arial"/>
          <w:sz w:val="13"/>
          <w:szCs w:val="13"/>
          <w:b w:val="1"/>
          <w:bCs w:val="1"/>
          <w:color w:val="auto"/>
        </w:rPr>
        <w:t>(Principal Financial and Accounting Officer)</w:t>
      </w:r>
    </w:p>
    <w:p>
      <w:pPr>
        <w:spacing w:after="0" w:line="149" w:lineRule="exact"/>
        <w:rPr>
          <w:sz w:val="20"/>
          <w:szCs w:val="20"/>
          <w:color w:val="auto"/>
        </w:rPr>
      </w:pPr>
    </w:p>
    <w:p>
      <w:pPr>
        <w:jc w:val="center"/>
        <w:ind w:right="-519"/>
        <w:spacing w:after="0"/>
        <w:rPr>
          <w:sz w:val="20"/>
          <w:szCs w:val="20"/>
          <w:color w:val="auto"/>
        </w:rPr>
      </w:pPr>
      <w:r>
        <w:rPr>
          <w:rFonts w:ascii="Arial" w:cs="Arial" w:eastAsia="Arial" w:hAnsi="Arial"/>
          <w:sz w:val="13"/>
          <w:szCs w:val="13"/>
          <w:color w:val="auto"/>
        </w:rPr>
        <w:t>32</w:t>
      </w:r>
    </w:p>
    <w:p>
      <w:pPr>
        <w:sectPr>
          <w:pgSz w:w="11900" w:h="16838" w:orient="portrait"/>
          <w:cols w:equalWidth="0" w:num="1">
            <w:col w:w="10740"/>
          </w:cols>
          <w:pgMar w:left="320" w:top="459" w:right="839" w:bottom="1440" w:gutter="0" w:footer="0" w:header="0"/>
        </w:sectPr>
      </w:pPr>
    </w:p>
    <w:bookmarkStart w:id="34" w:name="page35"/>
    <w:bookmarkEnd w:id="34"/>
    <w:p>
      <w:pPr>
        <w:jc w:val="right"/>
        <w:spacing w:after="0"/>
        <w:rPr>
          <w:sz w:val="20"/>
          <w:szCs w:val="20"/>
          <w:color w:val="auto"/>
        </w:rPr>
      </w:pPr>
      <w:r>
        <w:rPr>
          <w:rFonts w:ascii="Arial" w:cs="Arial" w:eastAsia="Arial" w:hAnsi="Arial"/>
          <w:sz w:val="13"/>
          <w:szCs w:val="13"/>
          <w:b w:val="1"/>
          <w:bCs w:val="1"/>
          <w:color w:val="auto"/>
        </w:rPr>
        <w:t>EXHIBIT 31.1</w:t>
      </w:r>
    </w:p>
    <w:p>
      <w:pPr>
        <w:spacing w:after="0" w:line="16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EXECUTIVE OFFICER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 Arthur H. Penn, Chief Executive Officer of PennantPark Floating Rate Capital Ltd., certify that:</w:t>
      </w:r>
    </w:p>
    <w:p>
      <w:pPr>
        <w:spacing w:after="0" w:line="161" w:lineRule="exact"/>
        <w:rPr>
          <w:sz w:val="20"/>
          <w:szCs w:val="20"/>
          <w:color w:val="auto"/>
        </w:rPr>
      </w:pPr>
    </w:p>
    <w:p>
      <w:pPr>
        <w:ind w:left="480" w:hanging="135"/>
        <w:spacing w:after="0"/>
        <w:tabs>
          <w:tab w:leader="none" w:pos="4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I have reviewed this Report on Form 10-Q of PennantPark Floating Rate Capital Ltd.;</w:t>
      </w:r>
    </w:p>
    <w:p>
      <w:pPr>
        <w:spacing w:after="0" w:line="161" w:lineRule="exact"/>
        <w:rPr>
          <w:rFonts w:ascii="Arial" w:cs="Arial" w:eastAsia="Arial" w:hAnsi="Arial"/>
          <w:sz w:val="13"/>
          <w:szCs w:val="13"/>
          <w:color w:val="auto"/>
        </w:rPr>
      </w:pPr>
    </w:p>
    <w:p>
      <w:pPr>
        <w:ind w:right="340" w:firstLine="345"/>
        <w:spacing w:after="0" w:line="274" w:lineRule="auto"/>
        <w:tabs>
          <w:tab w:leader="none" w:pos="472" w:val="left"/>
        </w:tabs>
        <w:numPr>
          <w:ilvl w:val="0"/>
          <w:numId w:val="16"/>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3"/>
          <w:szCs w:val="13"/>
          <w:color w:val="auto"/>
        </w:rPr>
      </w:pPr>
    </w:p>
    <w:p>
      <w:pPr>
        <w:ind w:right="120" w:firstLine="345"/>
        <w:spacing w:after="0" w:line="274" w:lineRule="auto"/>
        <w:tabs>
          <w:tab w:leader="none" w:pos="472" w:val="left"/>
        </w:tabs>
        <w:numPr>
          <w:ilvl w:val="0"/>
          <w:numId w:val="16"/>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3"/>
          <w:szCs w:val="13"/>
          <w:color w:val="auto"/>
        </w:rPr>
      </w:pPr>
    </w:p>
    <w:p>
      <w:pPr>
        <w:ind w:right="280" w:firstLine="345"/>
        <w:spacing w:after="0" w:line="274" w:lineRule="auto"/>
        <w:tabs>
          <w:tab w:leader="none" w:pos="472"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7" w:lineRule="exact"/>
        <w:rPr>
          <w:rFonts w:ascii="Arial" w:cs="Arial" w:eastAsia="Arial" w:hAnsi="Arial"/>
          <w:sz w:val="13"/>
          <w:szCs w:val="13"/>
          <w:color w:val="auto"/>
        </w:rPr>
      </w:pPr>
    </w:p>
    <w:p>
      <w:pPr>
        <w:ind w:right="100" w:firstLine="794"/>
        <w:spacing w:after="0" w:line="274" w:lineRule="auto"/>
        <w:tabs>
          <w:tab w:leader="none" w:pos="925" w:val="left"/>
        </w:tabs>
        <w:numPr>
          <w:ilvl w:val="1"/>
          <w:numId w:val="16"/>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7" w:lineRule="exact"/>
        <w:rPr>
          <w:rFonts w:ascii="Arial" w:cs="Arial" w:eastAsia="Arial" w:hAnsi="Arial"/>
          <w:sz w:val="13"/>
          <w:szCs w:val="13"/>
          <w:color w:val="auto"/>
        </w:rPr>
      </w:pPr>
    </w:p>
    <w:p>
      <w:pPr>
        <w:ind w:right="500" w:firstLine="794"/>
        <w:spacing w:after="0" w:line="274" w:lineRule="auto"/>
        <w:tabs>
          <w:tab w:leader="none" w:pos="932" w:val="left"/>
        </w:tabs>
        <w:numPr>
          <w:ilvl w:val="1"/>
          <w:numId w:val="16"/>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7" w:lineRule="exact"/>
        <w:rPr>
          <w:rFonts w:ascii="Arial" w:cs="Arial" w:eastAsia="Arial" w:hAnsi="Arial"/>
          <w:sz w:val="13"/>
          <w:szCs w:val="13"/>
          <w:color w:val="auto"/>
        </w:rPr>
      </w:pPr>
    </w:p>
    <w:p>
      <w:pPr>
        <w:ind w:right="620" w:firstLine="794"/>
        <w:spacing w:after="0" w:line="274" w:lineRule="auto"/>
        <w:tabs>
          <w:tab w:leader="none" w:pos="925" w:val="left"/>
        </w:tabs>
        <w:numPr>
          <w:ilvl w:val="1"/>
          <w:numId w:val="16"/>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3"/>
          <w:szCs w:val="13"/>
          <w:color w:val="auto"/>
        </w:rPr>
      </w:pPr>
    </w:p>
    <w:p>
      <w:pPr>
        <w:ind w:right="60" w:firstLine="794"/>
        <w:spacing w:after="0" w:line="274" w:lineRule="auto"/>
        <w:tabs>
          <w:tab w:leader="none" w:pos="932" w:val="left"/>
        </w:tabs>
        <w:numPr>
          <w:ilvl w:val="1"/>
          <w:numId w:val="16"/>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3"/>
          <w:szCs w:val="13"/>
          <w:color w:val="auto"/>
        </w:rPr>
      </w:pPr>
    </w:p>
    <w:p>
      <w:pPr>
        <w:ind w:right="40" w:firstLine="345"/>
        <w:spacing w:after="0" w:line="274" w:lineRule="auto"/>
        <w:tabs>
          <w:tab w:leader="none" w:pos="472"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3"/>
          <w:szCs w:val="13"/>
          <w:color w:val="auto"/>
        </w:rPr>
      </w:pPr>
    </w:p>
    <w:p>
      <w:pPr>
        <w:ind w:right="380" w:firstLine="794"/>
        <w:spacing w:after="0" w:line="274" w:lineRule="auto"/>
        <w:tabs>
          <w:tab w:leader="none" w:pos="925" w:val="left"/>
        </w:tabs>
        <w:numPr>
          <w:ilvl w:val="1"/>
          <w:numId w:val="16"/>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3"/>
          <w:szCs w:val="13"/>
          <w:color w:val="auto"/>
        </w:rPr>
      </w:pPr>
    </w:p>
    <w:p>
      <w:pPr>
        <w:ind w:left="940" w:hanging="146"/>
        <w:spacing w:after="0"/>
        <w:tabs>
          <w:tab w:leader="none" w:pos="940" w:val="left"/>
        </w:tabs>
        <w:numPr>
          <w:ilvl w:val="1"/>
          <w:numId w:val="16"/>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Dated: May 8, 2014</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Arthur H. Penn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Chief Executive Officer</w:t>
      </w:r>
    </w:p>
    <w:p>
      <w:pPr>
        <w:sectPr>
          <w:pgSz w:w="11900" w:h="16838" w:orient="portrait"/>
          <w:cols w:equalWidth="0" w:num="1">
            <w:col w:w="11240"/>
          </w:cols>
          <w:pgMar w:left="320" w:top="127"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3"/>
          <w:szCs w:val="13"/>
          <w:b w:val="1"/>
          <w:bCs w:val="1"/>
          <w:color w:val="auto"/>
        </w:rPr>
        <w:t>EXHIBIT 31.2</w:t>
      </w:r>
    </w:p>
    <w:p>
      <w:pPr>
        <w:spacing w:after="0" w:line="161" w:lineRule="exact"/>
        <w:rPr>
          <w:sz w:val="20"/>
          <w:szCs w:val="20"/>
          <w:color w:val="auto"/>
        </w:rPr>
      </w:pPr>
    </w:p>
    <w:p>
      <w:pPr>
        <w:ind w:left="4140"/>
        <w:spacing w:after="0"/>
        <w:rPr>
          <w:sz w:val="20"/>
          <w:szCs w:val="20"/>
          <w:color w:val="auto"/>
        </w:rPr>
      </w:pPr>
      <w:r>
        <w:rPr>
          <w:rFonts w:ascii="Arial" w:cs="Arial" w:eastAsia="Arial" w:hAnsi="Arial"/>
          <w:sz w:val="13"/>
          <w:szCs w:val="13"/>
          <w:b w:val="1"/>
          <w:bCs w:val="1"/>
          <w:color w:val="auto"/>
        </w:rPr>
        <w:t>CERTIFICATION PURSUANT TO SECTION 302</w:t>
      </w:r>
    </w:p>
    <w:p>
      <w:pPr>
        <w:spacing w:after="0" w:line="13" w:lineRule="exact"/>
        <w:rPr>
          <w:sz w:val="20"/>
          <w:szCs w:val="20"/>
          <w:color w:val="auto"/>
        </w:rPr>
      </w:pPr>
    </w:p>
    <w:p>
      <w:pPr>
        <w:ind w:left="4120"/>
        <w:spacing w:after="0"/>
        <w:rPr>
          <w:sz w:val="20"/>
          <w:szCs w:val="20"/>
          <w:color w:val="auto"/>
        </w:rPr>
      </w:pPr>
      <w:r>
        <w:rPr>
          <w:rFonts w:ascii="Arial" w:cs="Arial" w:eastAsia="Arial" w:hAnsi="Arial"/>
          <w:sz w:val="13"/>
          <w:szCs w:val="13"/>
          <w:b w:val="1"/>
          <w:bCs w:val="1"/>
          <w:color w:val="auto"/>
        </w:rPr>
        <w:t>CHIEF FINANCIAL OFFICER CERTIFICATION</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color w:val="auto"/>
        </w:rPr>
        <w:t>I, Aviv Efrat, Chief Financial Officer of PennantPark Floating Rate Capital Ltd., certify that:</w:t>
      </w:r>
    </w:p>
    <w:p>
      <w:pPr>
        <w:spacing w:after="0" w:line="161" w:lineRule="exact"/>
        <w:rPr>
          <w:sz w:val="20"/>
          <w:szCs w:val="20"/>
          <w:color w:val="auto"/>
        </w:rPr>
      </w:pPr>
    </w:p>
    <w:p>
      <w:pPr>
        <w:ind w:left="480" w:hanging="135"/>
        <w:spacing w:after="0"/>
        <w:tabs>
          <w:tab w:leader="none" w:pos="4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I have reviewed this Report on Form 10-Q of PennantPark Floating Rate Capital Ltd.;</w:t>
      </w:r>
    </w:p>
    <w:p>
      <w:pPr>
        <w:spacing w:after="0" w:line="161" w:lineRule="exact"/>
        <w:rPr>
          <w:rFonts w:ascii="Arial" w:cs="Arial" w:eastAsia="Arial" w:hAnsi="Arial"/>
          <w:sz w:val="13"/>
          <w:szCs w:val="13"/>
          <w:color w:val="auto"/>
        </w:rPr>
      </w:pPr>
    </w:p>
    <w:p>
      <w:pPr>
        <w:ind w:right="34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7" w:lineRule="exact"/>
        <w:rPr>
          <w:rFonts w:ascii="Arial" w:cs="Arial" w:eastAsia="Arial" w:hAnsi="Arial"/>
          <w:sz w:val="13"/>
          <w:szCs w:val="13"/>
          <w:color w:val="auto"/>
        </w:rPr>
      </w:pPr>
    </w:p>
    <w:p>
      <w:pPr>
        <w:ind w:right="12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7" w:lineRule="exact"/>
        <w:rPr>
          <w:rFonts w:ascii="Arial" w:cs="Arial" w:eastAsia="Arial" w:hAnsi="Arial"/>
          <w:sz w:val="13"/>
          <w:szCs w:val="13"/>
          <w:color w:val="auto"/>
        </w:rPr>
      </w:pPr>
    </w:p>
    <w:p>
      <w:pPr>
        <w:ind w:right="8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 15d-15(e)) internal control over financial reporting (as defined in Exchange Act Rules 13a-15(f) and 15d-15(f)) for the registrant and have:</w:t>
      </w:r>
    </w:p>
    <w:p>
      <w:pPr>
        <w:spacing w:after="0" w:line="117" w:lineRule="exact"/>
        <w:rPr>
          <w:rFonts w:ascii="Arial" w:cs="Arial" w:eastAsia="Arial" w:hAnsi="Arial"/>
          <w:sz w:val="13"/>
          <w:szCs w:val="13"/>
          <w:color w:val="auto"/>
        </w:rPr>
      </w:pPr>
    </w:p>
    <w:p>
      <w:pPr>
        <w:ind w:right="100" w:firstLine="794"/>
        <w:spacing w:after="0" w:line="274" w:lineRule="auto"/>
        <w:tabs>
          <w:tab w:leader="none" w:pos="925" w:val="left"/>
        </w:tabs>
        <w:numPr>
          <w:ilvl w:val="1"/>
          <w:numId w:val="17"/>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17" w:lineRule="exact"/>
        <w:rPr>
          <w:rFonts w:ascii="Arial" w:cs="Arial" w:eastAsia="Arial" w:hAnsi="Arial"/>
          <w:sz w:val="13"/>
          <w:szCs w:val="13"/>
          <w:color w:val="auto"/>
        </w:rPr>
      </w:pPr>
    </w:p>
    <w:p>
      <w:pPr>
        <w:ind w:right="500" w:firstLine="794"/>
        <w:spacing w:after="0" w:line="274" w:lineRule="auto"/>
        <w:tabs>
          <w:tab w:leader="none" w:pos="93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and</w:t>
      </w:r>
    </w:p>
    <w:p>
      <w:pPr>
        <w:spacing w:after="0" w:line="117" w:lineRule="exact"/>
        <w:rPr>
          <w:rFonts w:ascii="Arial" w:cs="Arial" w:eastAsia="Arial" w:hAnsi="Arial"/>
          <w:sz w:val="13"/>
          <w:szCs w:val="13"/>
          <w:color w:val="auto"/>
        </w:rPr>
      </w:pPr>
    </w:p>
    <w:p>
      <w:pPr>
        <w:ind w:right="620" w:firstLine="794"/>
        <w:spacing w:after="0" w:line="274" w:lineRule="auto"/>
        <w:tabs>
          <w:tab w:leader="none" w:pos="925" w:val="left"/>
        </w:tabs>
        <w:numPr>
          <w:ilvl w:val="1"/>
          <w:numId w:val="17"/>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7" w:lineRule="exact"/>
        <w:rPr>
          <w:rFonts w:ascii="Arial" w:cs="Arial" w:eastAsia="Arial" w:hAnsi="Arial"/>
          <w:sz w:val="13"/>
          <w:szCs w:val="13"/>
          <w:color w:val="auto"/>
        </w:rPr>
      </w:pPr>
    </w:p>
    <w:p>
      <w:pPr>
        <w:ind w:right="60" w:firstLine="794"/>
        <w:spacing w:after="0" w:line="274" w:lineRule="auto"/>
        <w:tabs>
          <w:tab w:leader="none" w:pos="932" w:val="left"/>
        </w:tabs>
        <w:numPr>
          <w:ilvl w:val="1"/>
          <w:numId w:val="17"/>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117" w:lineRule="exact"/>
        <w:rPr>
          <w:rFonts w:ascii="Arial" w:cs="Arial" w:eastAsia="Arial" w:hAnsi="Arial"/>
          <w:sz w:val="13"/>
          <w:szCs w:val="13"/>
          <w:color w:val="auto"/>
        </w:rPr>
      </w:pPr>
    </w:p>
    <w:p>
      <w:pPr>
        <w:ind w:right="40" w:firstLine="345"/>
        <w:spacing w:after="0" w:line="274" w:lineRule="auto"/>
        <w:tabs>
          <w:tab w:leader="none" w:pos="472"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7" w:lineRule="exact"/>
        <w:rPr>
          <w:rFonts w:ascii="Arial" w:cs="Arial" w:eastAsia="Arial" w:hAnsi="Arial"/>
          <w:sz w:val="13"/>
          <w:szCs w:val="13"/>
          <w:color w:val="auto"/>
        </w:rPr>
      </w:pPr>
    </w:p>
    <w:p>
      <w:pPr>
        <w:ind w:right="380" w:firstLine="794"/>
        <w:spacing w:after="0" w:line="274" w:lineRule="auto"/>
        <w:tabs>
          <w:tab w:leader="none" w:pos="925" w:val="left"/>
        </w:tabs>
        <w:numPr>
          <w:ilvl w:val="1"/>
          <w:numId w:val="17"/>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7" w:lineRule="exact"/>
        <w:rPr>
          <w:rFonts w:ascii="Arial" w:cs="Arial" w:eastAsia="Arial" w:hAnsi="Arial"/>
          <w:sz w:val="13"/>
          <w:szCs w:val="13"/>
          <w:color w:val="auto"/>
        </w:rPr>
      </w:pPr>
    </w:p>
    <w:p>
      <w:pPr>
        <w:ind w:left="940" w:hanging="146"/>
        <w:spacing w:after="0"/>
        <w:tabs>
          <w:tab w:leader="none" w:pos="940" w:val="left"/>
        </w:tabs>
        <w:numPr>
          <w:ilvl w:val="1"/>
          <w:numId w:val="17"/>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color w:val="auto"/>
        </w:rPr>
        <w:t>Dated: May 8, 2014</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Aviv Efrat</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240"/>
          </w:cols>
          <w:pgMar w:left="320" w:top="12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3"/>
          <w:szCs w:val="13"/>
          <w:b w:val="1"/>
          <w:bCs w:val="1"/>
          <w:color w:val="auto"/>
        </w:rPr>
        <w:t>EXHIBIT 32.1</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connection with this Report on Form 10-Q for the three and six months ended March 31, 2014, or the Report, of PennantPark Floating Rate Capital Ltd., or the Registrant, as filed with the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I, Arthur H. Penn, Chief Executive Officer of the Registrant, hereby certify, to the best of my knowledge, that:</w:t>
      </w:r>
    </w:p>
    <w:p>
      <w:pPr>
        <w:spacing w:after="0" w:line="68" w:lineRule="exact"/>
        <w:rPr>
          <w:sz w:val="20"/>
          <w:szCs w:val="20"/>
          <w:color w:val="auto"/>
        </w:rPr>
      </w:pPr>
    </w:p>
    <w:p>
      <w:pPr>
        <w:ind w:left="780" w:hanging="448"/>
        <w:spacing w:after="0"/>
        <w:tabs>
          <w:tab w:leader="none" w:pos="7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0" w:lineRule="exact"/>
        <w:rPr>
          <w:rFonts w:ascii="Arial" w:cs="Arial" w:eastAsia="Arial" w:hAnsi="Arial"/>
          <w:sz w:val="13"/>
          <w:szCs w:val="13"/>
          <w:color w:val="auto"/>
        </w:rPr>
      </w:pPr>
    </w:p>
    <w:p>
      <w:pPr>
        <w:ind w:left="780" w:hanging="448"/>
        <w:spacing w:after="0"/>
        <w:tabs>
          <w:tab w:leader="none" w:pos="780" w:val="left"/>
        </w:tabs>
        <w:numPr>
          <w:ilvl w:val="0"/>
          <w:numId w:val="18"/>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Arthur H. Penn</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May 8, 2014</w:t>
      </w:r>
    </w:p>
    <w:p>
      <w:pPr>
        <w:sectPr>
          <w:pgSz w:w="11900" w:h="16838" w:orient="portrait"/>
          <w:cols w:equalWidth="0" w:num="1">
            <w:col w:w="11240"/>
          </w:cols>
          <w:pgMar w:left="320" w:top="127"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3"/>
          <w:szCs w:val="13"/>
          <w:b w:val="1"/>
          <w:bCs w:val="1"/>
          <w:color w:val="auto"/>
        </w:rPr>
        <w:t>EXHIBIT 32.2</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w:t>
      </w:r>
    </w:p>
    <w:p>
      <w:pPr>
        <w:jc w:val="center"/>
        <w:spacing w:after="0"/>
        <w:rPr>
          <w:sz w:val="20"/>
          <w:szCs w:val="20"/>
          <w:color w:val="auto"/>
        </w:rPr>
      </w:pPr>
      <w:r>
        <w:rPr>
          <w:rFonts w:ascii="Arial" w:cs="Arial" w:eastAsia="Arial" w:hAnsi="Arial"/>
          <w:sz w:val="13"/>
          <w:szCs w:val="13"/>
          <w:b w:val="1"/>
          <w:bCs w:val="1"/>
          <w:color w:val="auto"/>
        </w:rPr>
        <w:t>SECTION 906 OF THE SARBANES-OXLEY ACT OF 2002 (18 U.S.C. 1350)</w:t>
      </w:r>
    </w:p>
    <w:p>
      <w:pPr>
        <w:spacing w:after="0" w:line="149" w:lineRule="exact"/>
        <w:rPr>
          <w:sz w:val="20"/>
          <w:szCs w:val="20"/>
          <w:color w:val="auto"/>
        </w:rPr>
      </w:pPr>
    </w:p>
    <w:p>
      <w:pPr>
        <w:ind w:left="800"/>
        <w:spacing w:after="0"/>
        <w:rPr>
          <w:sz w:val="20"/>
          <w:szCs w:val="20"/>
          <w:color w:val="auto"/>
        </w:rPr>
      </w:pPr>
      <w:r>
        <w:rPr>
          <w:rFonts w:ascii="Arial" w:cs="Arial" w:eastAsia="Arial" w:hAnsi="Arial"/>
          <w:sz w:val="12"/>
          <w:szCs w:val="12"/>
          <w:color w:val="auto"/>
        </w:rPr>
        <w:t>In connection with this Report on Form 10-Q for the three and six months ended March 31, 2014, or the Report, of PennantPark Floating Rate Capital Ltd., or the Registrant, as filed with the</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Securities and Exchange Commission on the date hereof, I, Aviv Efrat, Chief Financial Officer of the Registrant, hereby certify, to the best of my knowledge, that:</w:t>
      </w:r>
    </w:p>
    <w:p>
      <w:pPr>
        <w:spacing w:after="0" w:line="68" w:lineRule="exact"/>
        <w:rPr>
          <w:sz w:val="20"/>
          <w:szCs w:val="20"/>
          <w:color w:val="auto"/>
        </w:rPr>
      </w:pPr>
    </w:p>
    <w:p>
      <w:pPr>
        <w:ind w:left="780" w:hanging="448"/>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Report fully complies with the requirements of Section 13(a) or 15(d) of the Securities Exchange Act of 1934, as amended; and</w:t>
      </w:r>
    </w:p>
    <w:p>
      <w:pPr>
        <w:spacing w:after="0" w:line="80" w:lineRule="exact"/>
        <w:rPr>
          <w:rFonts w:ascii="Arial" w:cs="Arial" w:eastAsia="Arial" w:hAnsi="Arial"/>
          <w:sz w:val="13"/>
          <w:szCs w:val="13"/>
          <w:color w:val="auto"/>
        </w:rPr>
      </w:pPr>
    </w:p>
    <w:p>
      <w:pPr>
        <w:ind w:left="780" w:hanging="448"/>
        <w:spacing w:after="0"/>
        <w:tabs>
          <w:tab w:leader="none" w:pos="7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The information contained in the Report fairly presents, in all material respects, the financial condition and results of operations of the Registrant.</w:t>
      </w: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4607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Aviv Efrat</w:t>
      </w:r>
    </w:p>
    <w:p>
      <w:pPr>
        <w:spacing w:after="0" w:line="11" w:lineRule="exact"/>
        <w:rPr>
          <w:sz w:val="20"/>
          <w:szCs w:val="20"/>
          <w:color w:val="auto"/>
        </w:rPr>
      </w:pPr>
    </w:p>
    <w:p>
      <w:pPr>
        <w:spacing w:after="0"/>
        <w:rPr>
          <w:sz w:val="20"/>
          <w:szCs w:val="20"/>
          <w:color w:val="auto"/>
        </w:rPr>
      </w:pPr>
      <w:r>
        <w:rPr>
          <w:rFonts w:ascii="Arial" w:cs="Arial" w:eastAsia="Arial" w:hAnsi="Arial"/>
          <w:sz w:val="13"/>
          <w:szCs w:val="13"/>
          <w:color w:val="auto"/>
        </w:rPr>
        <w:t>May 8, 2014</w:t>
      </w:r>
    </w:p>
    <w:sectPr>
      <w:pgSz w:w="11900" w:h="16838" w:orient="portrait"/>
      <w:cols w:equalWidth="0" w:num="1">
        <w:col w:w="11240"/>
      </w:cols>
      <w:pgMar w:left="32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2020-05-05T12:10:38Z</dcterms:created>
  <dcterms:modified xsi:type="dcterms:W3CDTF">2020-05-05T12:10:38Z</dcterms:modified>
</cp:coreProperties>
</file>