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ind w:left="3340" w:right="2000" w:hanging="3332"/>
        <w:spacing w:after="0" w:line="391" w:lineRule="auto"/>
        <w:tabs>
          <w:tab w:leader="none" w:pos="37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2021</w:t>
      </w:r>
    </w:p>
    <w:p>
      <w:pPr>
        <w:spacing w:after="0" w:line="284"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29" w:lineRule="exact"/>
        <w:rPr>
          <w:sz w:val="24"/>
          <w:szCs w:val="24"/>
          <w:color w:val="auto"/>
        </w:rPr>
      </w:pPr>
    </w:p>
    <w:p>
      <w:pPr>
        <w:ind w:left="322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-7620</wp:posOffset>
            </wp:positionV>
            <wp:extent cx="905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05510" cy="8890"/>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PENNANTPARK FLOATING RATE CAPITAL LTD.</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0" w:lineRule="exact"/>
        <w:rPr>
          <w:sz w:val="24"/>
          <w:szCs w:val="24"/>
          <w:color w:val="auto"/>
        </w:rPr>
      </w:pPr>
    </w:p>
    <w:tbl>
      <w:tblPr>
        <w:tblLayout w:type="fixed"/>
        <w:tblInd w:w="1260" w:type="dxa"/>
        <w:tblCellMar>
          <w:top w:w="0" w:type="dxa"/>
          <w:left w:w="0" w:type="dxa"/>
          <w:bottom w:w="0" w:type="dxa"/>
          <w:right w:w="0" w:type="dxa"/>
        </w:tblCellMar>
      </w:tblPr>
      <w:tr>
        <w:trPr>
          <w:trHeight w:val="163"/>
        </w:trPr>
        <w:tc>
          <w:tcPr>
            <w:tcW w:w="6040" w:type="dxa"/>
            <w:vAlign w:val="bottom"/>
          </w:tcPr>
          <w:p>
            <w:pPr>
              <w:jc w:val="center"/>
              <w:ind w:right="2974"/>
              <w:spacing w:after="0"/>
              <w:rPr>
                <w:sz w:val="20"/>
                <w:szCs w:val="20"/>
                <w:color w:val="auto"/>
              </w:rPr>
            </w:pPr>
            <w:r>
              <w:rPr>
                <w:rFonts w:ascii="Arial" w:cs="Arial" w:eastAsia="Arial" w:hAnsi="Arial"/>
                <w:sz w:val="14"/>
                <w:szCs w:val="14"/>
                <w:b w:val="1"/>
                <w:bCs w:val="1"/>
                <w:color w:val="auto"/>
              </w:rPr>
              <w:t>MARYLAND</w:t>
            </w:r>
          </w:p>
        </w:tc>
        <w:tc>
          <w:tcPr>
            <w:tcW w:w="2080" w:type="dxa"/>
            <w:vAlign w:val="bottom"/>
          </w:tcPr>
          <w:p>
            <w:pPr>
              <w:jc w:val="right"/>
              <w:ind w:right="475"/>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50"/>
        </w:trPr>
        <w:tc>
          <w:tcPr>
            <w:tcW w:w="6040" w:type="dxa"/>
            <w:vAlign w:val="bottom"/>
          </w:tcPr>
          <w:p>
            <w:pPr>
              <w:jc w:val="center"/>
              <w:ind w:right="297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267"/>
        </w:trPr>
        <w:tc>
          <w:tcPr>
            <w:tcW w:w="6040" w:type="dxa"/>
            <w:vAlign w:val="bottom"/>
          </w:tcPr>
          <w:p>
            <w:pPr>
              <w:jc w:val="center"/>
              <w:ind w:right="2974"/>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080" w:type="dxa"/>
            <w:vAlign w:val="bottom"/>
            <w:vMerge w:val="restart"/>
          </w:tcPr>
          <w:p>
            <w:pPr>
              <w:jc w:val="right"/>
              <w:ind w:right="63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163"/>
        </w:trPr>
        <w:tc>
          <w:tcPr>
            <w:tcW w:w="6040" w:type="dxa"/>
            <w:vAlign w:val="bottom"/>
          </w:tcPr>
          <w:p>
            <w:pPr>
              <w:jc w:val="center"/>
              <w:ind w:right="2974"/>
              <w:spacing w:after="0"/>
              <w:rPr>
                <w:sz w:val="20"/>
                <w:szCs w:val="20"/>
                <w:color w:val="auto"/>
              </w:rPr>
            </w:pPr>
            <w:r>
              <w:rPr>
                <w:rFonts w:ascii="Arial" w:cs="Arial" w:eastAsia="Arial" w:hAnsi="Arial"/>
                <w:sz w:val="14"/>
                <w:szCs w:val="14"/>
                <w:b w:val="1"/>
                <w:bCs w:val="1"/>
                <w:color w:val="auto"/>
                <w:w w:val="97"/>
              </w:rPr>
              <w:t>New York, N.Y.</w:t>
            </w:r>
          </w:p>
        </w:tc>
        <w:tc>
          <w:tcPr>
            <w:tcW w:w="2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040" w:type="dxa"/>
            <w:vAlign w:val="bottom"/>
          </w:tcPr>
          <w:p>
            <w:pPr>
              <w:jc w:val="center"/>
              <w:ind w:right="297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309"/>
        </w:trPr>
        <w:tc>
          <w:tcPr>
            <w:tcW w:w="6040" w:type="dxa"/>
            <w:vAlign w:val="bottom"/>
          </w:tcPr>
          <w:p>
            <w:pPr>
              <w:jc w:val="right"/>
              <w:ind w:right="1154"/>
              <w:spacing w:after="0"/>
              <w:rPr>
                <w:sz w:val="20"/>
                <w:szCs w:val="20"/>
                <w:color w:val="auto"/>
              </w:rPr>
            </w:pPr>
            <w:r>
              <w:rPr>
                <w:rFonts w:ascii="Arial" w:cs="Arial" w:eastAsia="Arial" w:hAnsi="Arial"/>
                <w:sz w:val="14"/>
                <w:szCs w:val="14"/>
                <w:b w:val="1"/>
                <w:bCs w:val="1"/>
                <w:color w:val="auto"/>
              </w:rPr>
              <w:t>(212) 905-1000</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040" w:type="dxa"/>
            <w:vAlign w:val="bottom"/>
          </w:tcPr>
          <w:p>
            <w:pPr>
              <w:jc w:val="center"/>
              <w:ind w:left="261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7" w:lineRule="exact"/>
        <w:rPr>
          <w:sz w:val="24"/>
          <w:szCs w:val="24"/>
          <w:color w:val="auto"/>
        </w:rPr>
      </w:pPr>
    </w:p>
    <w:p>
      <w:pPr>
        <w:ind w:left="480"/>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160"/>
          </w:cols>
          <w:pgMar w:left="320" w:top="832" w:right="419" w:bottom="1440" w:gutter="0" w:footer="0" w:header="0"/>
        </w:sectPr>
      </w:pPr>
    </w:p>
    <w:p>
      <w:pPr>
        <w:spacing w:after="0" w:line="105" w:lineRule="exact"/>
        <w:rPr>
          <w:sz w:val="24"/>
          <w:szCs w:val="24"/>
          <w:color w:val="auto"/>
        </w:rPr>
      </w:pPr>
    </w:p>
    <w:p>
      <w:pPr>
        <w:jc w:val="center"/>
        <w:ind w:right="580"/>
        <w:spacing w:after="0"/>
        <w:rPr>
          <w:sz w:val="20"/>
          <w:szCs w:val="20"/>
          <w:color w:val="auto"/>
        </w:rPr>
      </w:pPr>
      <w:r>
        <w:rPr>
          <w:rFonts w:ascii="Arial" w:cs="Arial" w:eastAsia="Arial" w:hAnsi="Arial"/>
          <w:sz w:val="14"/>
          <w:szCs w:val="14"/>
          <w:b w:val="1"/>
          <w:bCs w:val="1"/>
          <w:color w:val="auto"/>
        </w:rPr>
        <w:t>Title of Each Class</w:t>
      </w:r>
    </w:p>
    <w:p>
      <w:pPr>
        <w:spacing w:after="0" w:line="4" w:lineRule="exact"/>
        <w:rPr>
          <w:sz w:val="24"/>
          <w:szCs w:val="24"/>
          <w:color w:val="auto"/>
        </w:rPr>
      </w:pPr>
    </w:p>
    <w:p>
      <w:pPr>
        <w:jc w:val="center"/>
        <w:ind w:right="580"/>
        <w:spacing w:after="0"/>
        <w:rPr>
          <w:sz w:val="20"/>
          <w:szCs w:val="20"/>
          <w:color w:val="auto"/>
        </w:rPr>
      </w:pPr>
      <w:r>
        <w:rPr>
          <w:rFonts w:ascii="Arial" w:cs="Arial" w:eastAsia="Arial" w:hAnsi="Arial"/>
          <w:sz w:val="12"/>
          <w:szCs w:val="12"/>
          <w:color w:val="auto"/>
        </w:rPr>
        <w:t>Common Stock, par value $0.001 per share</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jc w:val="center"/>
        <w:ind w:right="1040"/>
        <w:spacing w:after="0"/>
        <w:rPr>
          <w:sz w:val="20"/>
          <w:szCs w:val="20"/>
          <w:color w:val="auto"/>
        </w:rPr>
      </w:pPr>
      <w:r>
        <w:rPr>
          <w:rFonts w:ascii="Arial" w:cs="Arial" w:eastAsia="Arial" w:hAnsi="Arial"/>
          <w:sz w:val="12"/>
          <w:szCs w:val="12"/>
          <w:b w:val="1"/>
          <w:bCs w:val="1"/>
          <w:color w:val="auto"/>
        </w:rPr>
        <w:t>Trading Symbol(s)</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4"/>
          <w:szCs w:val="14"/>
          <w:color w:val="auto"/>
        </w:rPr>
        <w:t>PFLT</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jc w:val="center"/>
        <w:ind w:right="40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4"/>
          <w:szCs w:val="14"/>
          <w:color w:val="auto"/>
        </w:rPr>
        <w:t>The Nasdaq Stock Market LLC</w:t>
      </w:r>
    </w:p>
    <w:p>
      <w:pPr>
        <w:spacing w:after="0" w:line="93" w:lineRule="exact"/>
        <w:rPr>
          <w:sz w:val="24"/>
          <w:szCs w:val="24"/>
          <w:color w:val="auto"/>
        </w:rPr>
      </w:pPr>
    </w:p>
    <w:p>
      <w:pPr>
        <w:sectPr>
          <w:pgSz w:w="11900" w:h="16838" w:orient="portrait"/>
          <w:cols w:equalWidth="0" w:num="3">
            <w:col w:w="4320" w:space="720"/>
            <w:col w:w="2180" w:space="720"/>
            <w:col w:w="3220"/>
          </w:cols>
          <w:pgMar w:left="320" w:top="832" w:right="419" w:bottom="1440" w:gutter="0" w:footer="0" w:header="0"/>
          <w:type w:val="continuous"/>
        </w:sectPr>
      </w:pPr>
    </w:p>
    <w:p>
      <w:pPr>
        <w:jc w:val="center"/>
        <w:ind w:right="-99"/>
        <w:spacing w:after="0"/>
        <w:rPr>
          <w:sz w:val="20"/>
          <w:szCs w:val="20"/>
          <w:color w:val="auto"/>
        </w:rPr>
      </w:pPr>
      <w:r>
        <w:rPr>
          <w:rFonts w:ascii="Arial" w:cs="Arial" w:eastAsia="Arial" w:hAnsi="Arial"/>
          <w:sz w:val="12"/>
          <w:szCs w:val="12"/>
          <w:b w:val="1"/>
          <w:bCs w:val="1"/>
          <w:color w:val="auto"/>
        </w:rPr>
        <w:t>Securities registered pursuant to Section 12(g) of the Act: None</w:t>
      </w:r>
    </w:p>
    <w:p>
      <w:pPr>
        <w:sectPr>
          <w:pgSz w:w="11900" w:h="16838" w:orient="portrait"/>
          <w:cols w:equalWidth="0" w:num="1">
            <w:col w:w="11160"/>
          </w:cols>
          <w:pgMar w:left="320" w:top="832" w:right="419" w:bottom="1440" w:gutter="0" w:footer="0" w:header="0"/>
          <w:type w:val="continuous"/>
        </w:sectPr>
      </w:pPr>
    </w:p>
    <w:p>
      <w:pPr>
        <w:spacing w:after="0" w:line="136" w:lineRule="exact"/>
        <w:rPr>
          <w:sz w:val="24"/>
          <w:szCs w:val="24"/>
          <w:color w:val="auto"/>
        </w:rPr>
      </w:pPr>
    </w:p>
    <w:p>
      <w:pPr>
        <w:ind w:left="4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22" w:lineRule="exact"/>
        <w:rPr>
          <w:sz w:val="24"/>
          <w:szCs w:val="24"/>
          <w:color w:val="auto"/>
        </w:rPr>
      </w:pPr>
    </w:p>
    <w:p>
      <w:pPr>
        <w:sectPr>
          <w:pgSz w:w="11900" w:h="16838" w:orient="portrait"/>
          <w:cols w:equalWidth="0" w:num="2">
            <w:col w:w="7480" w:space="60"/>
            <w:col w:w="3620"/>
          </w:cols>
          <w:pgMar w:left="320" w:top="832" w:right="419" w:bottom="1440" w:gutter="0" w:footer="0" w:header="0"/>
          <w:type w:val="continuous"/>
        </w:sectPr>
      </w:pPr>
    </w:p>
    <w:p>
      <w:pPr>
        <w:spacing w:after="0" w:line="27" w:lineRule="exact"/>
        <w:rPr>
          <w:sz w:val="24"/>
          <w:szCs w:val="24"/>
          <w:color w:val="auto"/>
        </w:rPr>
      </w:pPr>
    </w:p>
    <w:p>
      <w:pPr>
        <w:ind w:left="4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jc w:val="cente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159" w:lineRule="exact"/>
        <w:rPr>
          <w:sz w:val="24"/>
          <w:szCs w:val="24"/>
          <w:color w:val="auto"/>
        </w:rPr>
      </w:pPr>
    </w:p>
    <w:p>
      <w:pPr>
        <w:sectPr>
          <w:pgSz w:w="11900" w:h="16838" w:orient="portrait"/>
          <w:cols w:equalWidth="0" w:num="4">
            <w:col w:w="7600" w:space="80"/>
            <w:col w:w="120" w:space="80"/>
            <w:col w:w="180" w:space="80"/>
            <w:col w:w="3020"/>
          </w:cols>
          <w:pgMar w:left="320" w:top="832" w:right="419" w:bottom="1440" w:gutter="0" w:footer="0" w:header="0"/>
          <w:type w:val="continuous"/>
        </w:sectPr>
      </w:pPr>
    </w:p>
    <w:p>
      <w:pPr>
        <w:ind w:right="100" w:firstLine="43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72" w:lineRule="exact"/>
        <w:rPr>
          <w:sz w:val="24"/>
          <w:szCs w:val="24"/>
          <w:color w:val="auto"/>
        </w:rPr>
      </w:pPr>
    </w:p>
    <w:p>
      <w:pPr>
        <w:ind w:right="80" w:firstLine="43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72" w:lineRule="exact"/>
        <w:rPr>
          <w:sz w:val="24"/>
          <w:szCs w:val="24"/>
          <w:color w:val="auto"/>
        </w:rPr>
      </w:pPr>
    </w:p>
    <w:p>
      <w:pPr>
        <w:ind w:right="140" w:firstLine="43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2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1940"/>
              <w:spacing w:after="0"/>
              <w:rPr>
                <w:sz w:val="20"/>
                <w:szCs w:val="20"/>
                <w:color w:val="auto"/>
              </w:rPr>
            </w:pPr>
            <w:r>
              <w:rPr>
                <w:rFonts w:ascii="Arial" w:cs="Arial" w:eastAsia="Arial" w:hAnsi="Arial"/>
                <w:sz w:val="14"/>
                <w:szCs w:val="14"/>
                <w:color w:val="auto"/>
              </w:rPr>
              <w:t>Accelerated filer</w:t>
            </w:r>
          </w:p>
        </w:tc>
        <w:tc>
          <w:tcPr>
            <w:tcW w:w="136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1"/>
        </w:trPr>
        <w:tc>
          <w:tcPr>
            <w:tcW w:w="2260" w:type="dxa"/>
            <w:vAlign w:val="bottom"/>
          </w:tcPr>
          <w:p>
            <w:pPr>
              <w:spacing w:after="0"/>
              <w:rPr>
                <w:sz w:val="20"/>
                <w:szCs w:val="20"/>
                <w:color w:val="auto"/>
              </w:rPr>
            </w:pPr>
            <w:r>
              <w:rPr>
                <w:rFonts w:ascii="Arial" w:cs="Arial" w:eastAsia="Arial" w:hAnsi="Arial"/>
                <w:sz w:val="14"/>
                <w:szCs w:val="14"/>
                <w:color w:val="auto"/>
              </w:rPr>
              <w:t>Non-accelerated filer</w:t>
            </w:r>
          </w:p>
        </w:tc>
        <w:tc>
          <w:tcPr>
            <w:tcW w:w="27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1940"/>
              <w:spacing w:after="0"/>
              <w:rPr>
                <w:sz w:val="20"/>
                <w:szCs w:val="20"/>
                <w:color w:val="auto"/>
              </w:rPr>
            </w:pPr>
            <w:r>
              <w:rPr>
                <w:rFonts w:ascii="Arial" w:cs="Arial" w:eastAsia="Arial" w:hAnsi="Arial"/>
                <w:sz w:val="14"/>
                <w:szCs w:val="14"/>
                <w:color w:val="auto"/>
              </w:rPr>
              <w:t>Smaller reporting company</w:t>
            </w:r>
          </w:p>
        </w:tc>
        <w:tc>
          <w:tcPr>
            <w:tcW w:w="136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2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7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85" w:lineRule="exact"/>
        <w:rPr>
          <w:sz w:val="24"/>
          <w:szCs w:val="24"/>
          <w:color w:val="auto"/>
        </w:rPr>
      </w:pPr>
    </w:p>
    <w:p>
      <w:pPr>
        <w:ind w:right="60" w:firstLine="43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6" w:lineRule="exact"/>
        <w:rPr>
          <w:sz w:val="24"/>
          <w:szCs w:val="24"/>
          <w:color w:val="auto"/>
        </w:rPr>
      </w:pPr>
    </w:p>
    <w:p>
      <w:pPr>
        <w:ind w:firstLine="438"/>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2"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36" w:lineRule="exact"/>
        <w:rPr>
          <w:sz w:val="24"/>
          <w:szCs w:val="24"/>
          <w:color w:val="auto"/>
        </w:rPr>
      </w:pPr>
    </w:p>
    <w:p>
      <w:pPr>
        <w:ind w:right="40" w:firstLine="438"/>
        <w:spacing w:after="0" w:line="238" w:lineRule="auto"/>
        <w:rPr>
          <w:sz w:val="20"/>
          <w:szCs w:val="20"/>
          <w:color w:val="auto"/>
        </w:rPr>
      </w:pPr>
      <w:r>
        <w:rPr>
          <w:rFonts w:ascii="Arial" w:cs="Arial" w:eastAsia="Arial" w:hAnsi="Arial"/>
          <w:sz w:val="14"/>
          <w:szCs w:val="14"/>
          <w:color w:val="auto"/>
        </w:rPr>
        <w:t>The aggregate market value of common stock held by non-affiliates of the Registrant on March 31, 2021 based on the closing price on that date of $11.88 on The Nasdaq Global Select Market was approximately $453 million. For the purposes of calculating the aggregate market value of common stock held by non-affiliates, all directors and executive officers of the Registrant have been treated as affiliates. There were 38,880,728 shares of the Registrant’s common stock outstanding as of November 17, 2021.</w:t>
      </w:r>
    </w:p>
    <w:p>
      <w:pPr>
        <w:spacing w:after="0" w:line="75" w:lineRule="exact"/>
        <w:rPr>
          <w:sz w:val="24"/>
          <w:szCs w:val="24"/>
          <w:color w:val="auto"/>
        </w:rPr>
      </w:pPr>
    </w:p>
    <w:p>
      <w:pPr>
        <w:ind w:right="80" w:firstLine="438"/>
        <w:spacing w:after="0" w:line="253" w:lineRule="auto"/>
        <w:rPr>
          <w:sz w:val="20"/>
          <w:szCs w:val="20"/>
          <w:color w:val="auto"/>
        </w:rPr>
      </w:pPr>
      <w:r>
        <w:rPr>
          <w:rFonts w:ascii="Arial" w:cs="Arial" w:eastAsia="Arial" w:hAnsi="Arial"/>
          <w:sz w:val="14"/>
          <w:szCs w:val="14"/>
          <w:color w:val="auto"/>
        </w:rPr>
        <w:t>Documents Incorporated by Reference: Portions of the Registrant’s Proxy Statement relating to the Registrant’s 2022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832"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20" w:type="dxa"/>
            <w:vAlign w:val="bottom"/>
            <w:gridSpan w:val="17"/>
          </w:tcPr>
          <w:p>
            <w:pPr>
              <w:jc w:val="center"/>
              <w:ind w:right="1480"/>
              <w:spacing w:after="0"/>
              <w:rPr>
                <w:sz w:val="20"/>
                <w:szCs w:val="20"/>
                <w:color w:val="auto"/>
              </w:rPr>
            </w:pPr>
            <w:r>
              <w:rPr>
                <w:rFonts w:ascii="Arial" w:cs="Arial" w:eastAsia="Arial" w:hAnsi="Arial"/>
                <w:sz w:val="14"/>
                <w:szCs w:val="14"/>
                <w:b w:val="1"/>
                <w:bCs w:val="1"/>
                <w:color w:val="auto"/>
              </w:rPr>
              <w:t>PENNANTPARK FLOATING RATE CAPITAL LTD.</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80" w:type="dxa"/>
            <w:vAlign w:val="bottom"/>
            <w:gridSpan w:val="14"/>
          </w:tcPr>
          <w:p>
            <w:pPr>
              <w:jc w:val="center"/>
              <w:ind w:right="2420"/>
              <w:spacing w:after="0" w:line="149" w:lineRule="exact"/>
              <w:rPr>
                <w:sz w:val="20"/>
                <w:szCs w:val="20"/>
                <w:color w:val="auto"/>
              </w:rPr>
            </w:pPr>
            <w:r>
              <w:rPr>
                <w:rFonts w:ascii="Arial" w:cs="Arial" w:eastAsia="Arial" w:hAnsi="Arial"/>
                <w:sz w:val="14"/>
                <w:szCs w:val="14"/>
                <w:b w:val="1"/>
                <w:bCs w:val="1"/>
                <w:color w:val="auto"/>
              </w:rPr>
              <w:t>FORM 10-K</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20" w:type="dxa"/>
            <w:vAlign w:val="bottom"/>
            <w:gridSpan w:val="17"/>
          </w:tcPr>
          <w:p>
            <w:pPr>
              <w:jc w:val="center"/>
              <w:ind w:right="1480"/>
              <w:spacing w:after="0"/>
              <w:rPr>
                <w:sz w:val="20"/>
                <w:szCs w:val="20"/>
                <w:color w:val="auto"/>
              </w:rPr>
            </w:pPr>
            <w:r>
              <w:rPr>
                <w:rFonts w:ascii="Arial" w:cs="Arial" w:eastAsia="Arial" w:hAnsi="Arial"/>
                <w:sz w:val="14"/>
                <w:szCs w:val="14"/>
                <w:b w:val="1"/>
                <w:bCs w:val="1"/>
                <w:color w:val="auto"/>
              </w:rPr>
              <w:t>FOR THE FISCAL YEAR ENDED SEPTEMBER 30, 2021</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14"/>
          </w:tcPr>
          <w:p>
            <w:pPr>
              <w:jc w:val="center"/>
              <w:ind w:right="2420"/>
              <w:spacing w:after="0"/>
              <w:rPr>
                <w:sz w:val="20"/>
                <w:szCs w:val="20"/>
                <w:color w:val="auto"/>
              </w:rPr>
            </w:pPr>
            <w:r>
              <w:rPr>
                <w:rFonts w:ascii="Arial" w:cs="Arial" w:eastAsia="Arial" w:hAnsi="Arial"/>
                <w:sz w:val="14"/>
                <w:szCs w:val="14"/>
                <w:b w:val="1"/>
                <w:bCs w:val="1"/>
                <w:color w:val="auto"/>
              </w:rPr>
              <w:t>TABLE OF CONTENTS</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760" w:type="dxa"/>
            <w:vAlign w:val="bottom"/>
            <w:gridSpan w:val="9"/>
          </w:tcPr>
          <w:p>
            <w:pPr>
              <w:jc w:val="center"/>
              <w:ind w:right="3300"/>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w:t>
              </w:r>
            </w:hyperlink>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520" w:type="dxa"/>
            <w:vAlign w:val="bottom"/>
            <w:tcBorders>
              <w:bottom w:val="single" w:sz="8" w:color="0000EE"/>
            </w:tcBorders>
          </w:tcPr>
          <w:p>
            <w:pPr>
              <w:spacing w:after="0"/>
              <w:rPr>
                <w:rFonts w:ascii="Arial" w:cs="Arial" w:eastAsia="Arial" w:hAnsi="Arial"/>
                <w:sz w:val="14"/>
                <w:szCs w:val="14"/>
                <w:color w:val="0000EE"/>
                <w:w w:val="87"/>
              </w:rPr>
            </w:pPr>
            <w:hyperlink w:anchor="page4">
              <w:r>
                <w:rPr>
                  <w:rFonts w:ascii="Arial" w:cs="Arial" w:eastAsia="Arial" w:hAnsi="Arial"/>
                  <w:sz w:val="14"/>
                  <w:szCs w:val="14"/>
                  <w:color w:val="0000EE"/>
                  <w:w w:val="87"/>
                </w:rPr>
                <w:t>Business</w:t>
              </w:r>
            </w:hyperlink>
          </w:p>
        </w:tc>
        <w:tc>
          <w:tcPr>
            <w:tcW w:w="4080" w:type="dxa"/>
            <w:vAlign w:val="bottom"/>
            <w:gridSpan w:val="19"/>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300" w:type="dxa"/>
            <w:vAlign w:val="bottom"/>
            <w:gridSpan w:val="8"/>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4"/>
                <w:szCs w:val="14"/>
                <w:b w:val="1"/>
                <w:bCs w:val="1"/>
                <w:color w:val="auto"/>
              </w:rPr>
              <w:t>Item 1A.</w:t>
            </w:r>
          </w:p>
        </w:tc>
        <w:tc>
          <w:tcPr>
            <w:tcW w:w="8360" w:type="dxa"/>
            <w:vAlign w:val="bottom"/>
            <w:gridSpan w:val="29"/>
          </w:tcPr>
          <w:p>
            <w:pPr>
              <w:spacing w:after="0"/>
              <w:rPr>
                <w:rFonts w:ascii="Arial" w:cs="Arial" w:eastAsia="Arial" w:hAnsi="Arial"/>
                <w:sz w:val="14"/>
                <w:szCs w:val="14"/>
                <w:color w:val="0000EE"/>
              </w:rPr>
            </w:pPr>
            <w:hyperlink w:anchor="page18">
              <w:r>
                <w:rPr>
                  <w:rFonts w:ascii="Arial" w:cs="Arial" w:eastAsia="Arial" w:hAnsi="Arial"/>
                  <w:sz w:val="14"/>
                  <w:szCs w:val="14"/>
                  <w:color w:val="0000EE"/>
                </w:rPr>
                <w:t>Risk Factors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Item 1B.</w:t>
            </w:r>
          </w:p>
        </w:tc>
        <w:tc>
          <w:tcPr>
            <w:tcW w:w="5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line="20" w:lineRule="exact"/>
              <w:rPr>
                <w:sz w:val="1"/>
                <w:szCs w:val="1"/>
                <w:color w:val="auto"/>
              </w:rPr>
            </w:pPr>
          </w:p>
        </w:tc>
      </w:tr>
      <w:tr>
        <w:trPr>
          <w:trHeight w:val="277"/>
        </w:trPr>
        <w:tc>
          <w:tcPr>
            <w:tcW w:w="920" w:type="dxa"/>
            <w:vAlign w:val="bottom"/>
            <w:vMerge w:val="continue"/>
          </w:tcPr>
          <w:p>
            <w:pPr>
              <w:spacing w:after="0"/>
              <w:rPr>
                <w:sz w:val="24"/>
                <w:szCs w:val="24"/>
                <w:color w:val="auto"/>
              </w:rPr>
            </w:pPr>
          </w:p>
        </w:tc>
        <w:tc>
          <w:tcPr>
            <w:tcW w:w="8360" w:type="dxa"/>
            <w:vAlign w:val="bottom"/>
            <w:gridSpan w:val="29"/>
          </w:tcPr>
          <w:p>
            <w:pPr>
              <w:spacing w:after="0"/>
              <w:rPr>
                <w:rFonts w:ascii="Arial" w:cs="Arial" w:eastAsia="Arial" w:hAnsi="Arial"/>
                <w:sz w:val="14"/>
                <w:szCs w:val="14"/>
                <w:color w:val="0000EE"/>
              </w:rPr>
            </w:pPr>
            <w:hyperlink w:anchor="page39">
              <w:r>
                <w:rPr>
                  <w:rFonts w:ascii="Arial" w:cs="Arial" w:eastAsia="Arial" w:hAnsi="Arial"/>
                  <w:sz w:val="14"/>
                  <w:szCs w:val="14"/>
                  <w:color w:val="0000EE"/>
                </w:rPr>
                <w:t>Unresolved Staff Comments</w:t>
              </w:r>
            </w:hyperlink>
          </w:p>
        </w:tc>
        <w:tc>
          <w:tcPr>
            <w:tcW w:w="1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4"/>
                <w:szCs w:val="14"/>
                <w:b w:val="1"/>
                <w:bCs w:val="1"/>
                <w:color w:val="auto"/>
              </w:rPr>
              <w:t>Item 2.</w:t>
            </w:r>
          </w:p>
        </w:tc>
        <w:tc>
          <w:tcPr>
            <w:tcW w:w="1640" w:type="dxa"/>
            <w:vAlign w:val="bottom"/>
            <w:tcBorders>
              <w:top w:val="single" w:sz="8" w:color="0000EE"/>
            </w:tcBorders>
            <w:gridSpan w:val="10"/>
          </w:tcPr>
          <w:p>
            <w:pPr>
              <w:spacing w:after="0"/>
              <w:rPr>
                <w:rFonts w:ascii="Arial" w:cs="Arial" w:eastAsia="Arial" w:hAnsi="Arial"/>
                <w:sz w:val="14"/>
                <w:szCs w:val="14"/>
                <w:color w:val="0000EE"/>
              </w:rPr>
            </w:pPr>
            <w:hyperlink w:anchor="page39">
              <w:r>
                <w:rPr>
                  <w:rFonts w:ascii="Arial" w:cs="Arial" w:eastAsia="Arial" w:hAnsi="Arial"/>
                  <w:sz w:val="14"/>
                  <w:szCs w:val="14"/>
                  <w:color w:val="0000EE"/>
                </w:rPr>
                <w:t>Properties</w:t>
              </w:r>
            </w:hyperlink>
          </w:p>
        </w:tc>
        <w:tc>
          <w:tcPr>
            <w:tcW w:w="6720" w:type="dxa"/>
            <w:vAlign w:val="bottom"/>
            <w:gridSpan w:val="19"/>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Item 3.</w:t>
            </w:r>
          </w:p>
        </w:tc>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line="20" w:lineRule="exact"/>
              <w:rPr>
                <w:sz w:val="1"/>
                <w:szCs w:val="1"/>
                <w:color w:val="auto"/>
              </w:rPr>
            </w:pPr>
          </w:p>
        </w:tc>
      </w:tr>
      <w:tr>
        <w:trPr>
          <w:trHeight w:val="277"/>
        </w:trPr>
        <w:tc>
          <w:tcPr>
            <w:tcW w:w="920" w:type="dxa"/>
            <w:vAlign w:val="bottom"/>
            <w:vMerge w:val="continue"/>
          </w:tcPr>
          <w:p>
            <w:pPr>
              <w:spacing w:after="0"/>
              <w:rPr>
                <w:sz w:val="24"/>
                <w:szCs w:val="24"/>
                <w:color w:val="auto"/>
              </w:rPr>
            </w:pPr>
          </w:p>
        </w:tc>
        <w:tc>
          <w:tcPr>
            <w:tcW w:w="1080" w:type="dxa"/>
            <w:vAlign w:val="bottom"/>
            <w:tcBorders>
              <w:bottom w:val="single" w:sz="8" w:color="0000EE"/>
            </w:tcBorders>
            <w:gridSpan w:val="6"/>
          </w:tcPr>
          <w:p>
            <w:pPr>
              <w:spacing w:after="0"/>
              <w:rPr>
                <w:rFonts w:ascii="Arial" w:cs="Arial" w:eastAsia="Arial" w:hAnsi="Arial"/>
                <w:sz w:val="14"/>
                <w:szCs w:val="14"/>
                <w:color w:val="0000EE"/>
                <w:w w:val="91"/>
              </w:rPr>
            </w:pPr>
            <w:hyperlink w:anchor="page39">
              <w:r>
                <w:rPr>
                  <w:rFonts w:ascii="Arial" w:cs="Arial" w:eastAsia="Arial" w:hAnsi="Arial"/>
                  <w:sz w:val="14"/>
                  <w:szCs w:val="14"/>
                  <w:color w:val="0000EE"/>
                  <w:w w:val="91"/>
                </w:rPr>
                <w:t>Legal Proceedings</w:t>
              </w:r>
            </w:hyperlink>
          </w:p>
        </w:tc>
        <w:tc>
          <w:tcPr>
            <w:tcW w:w="7280" w:type="dxa"/>
            <w:vAlign w:val="bottom"/>
            <w:gridSpan w:val="23"/>
          </w:tcPr>
          <w:p>
            <w:pPr>
              <w:spacing w:after="0"/>
              <w:rPr>
                <w:sz w:val="24"/>
                <w:szCs w:val="24"/>
                <w:color w:val="auto"/>
              </w:rPr>
            </w:pPr>
          </w:p>
        </w:tc>
        <w:tc>
          <w:tcPr>
            <w:tcW w:w="1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4"/>
                <w:szCs w:val="14"/>
                <w:b w:val="1"/>
                <w:bCs w:val="1"/>
                <w:color w:val="auto"/>
              </w:rPr>
              <w:t>Item 4.</w:t>
            </w:r>
          </w:p>
        </w:tc>
        <w:tc>
          <w:tcPr>
            <w:tcW w:w="8360" w:type="dxa"/>
            <w:vAlign w:val="bottom"/>
            <w:gridSpan w:val="29"/>
          </w:tcPr>
          <w:p>
            <w:pPr>
              <w:spacing w:after="0"/>
              <w:rPr>
                <w:rFonts w:ascii="Arial" w:cs="Arial" w:eastAsia="Arial" w:hAnsi="Arial"/>
                <w:sz w:val="14"/>
                <w:szCs w:val="14"/>
                <w:color w:val="0000EE"/>
              </w:rPr>
            </w:pPr>
            <w:hyperlink w:anchor="page39">
              <w:r>
                <w:rPr>
                  <w:rFonts w:ascii="Arial" w:cs="Arial" w:eastAsia="Arial" w:hAnsi="Arial"/>
                  <w:sz w:val="14"/>
                  <w:szCs w:val="14"/>
                  <w:color w:val="0000EE"/>
                </w:rPr>
                <w:t>Mine Safety Disclosures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000EE"/>
            </w:tcBorders>
            <w:gridSpan w:val="3"/>
          </w:tcPr>
          <w:p>
            <w:pPr>
              <w:jc w:val="center"/>
              <w:spacing w:after="0"/>
              <w:rPr>
                <w:rFonts w:ascii="Arial" w:cs="Arial" w:eastAsia="Arial" w:hAnsi="Arial"/>
                <w:sz w:val="14"/>
                <w:szCs w:val="14"/>
                <w:b w:val="1"/>
                <w:bCs w:val="1"/>
                <w:color w:val="0000EE"/>
              </w:rPr>
            </w:pPr>
            <w:hyperlink w:anchor="page40">
              <w:r>
                <w:rPr>
                  <w:rFonts w:ascii="Arial" w:cs="Arial" w:eastAsia="Arial" w:hAnsi="Arial"/>
                  <w:sz w:val="14"/>
                  <w:szCs w:val="14"/>
                  <w:b w:val="1"/>
                  <w:bCs w:val="1"/>
                  <w:color w:val="0000EE"/>
                </w:rPr>
                <w:t>PART II</w:t>
              </w:r>
            </w:hyperlink>
          </w:p>
        </w:tc>
        <w:tc>
          <w:tcPr>
            <w:tcW w:w="3260" w:type="dxa"/>
            <w:vAlign w:val="bottom"/>
            <w:gridSpan w:val="7"/>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4"/>
                <w:szCs w:val="14"/>
                <w:b w:val="1"/>
                <w:bCs w:val="1"/>
                <w:color w:val="auto"/>
              </w:rPr>
              <w:t>Item 5.</w:t>
            </w:r>
          </w:p>
        </w:tc>
        <w:tc>
          <w:tcPr>
            <w:tcW w:w="6500" w:type="dxa"/>
            <w:vAlign w:val="bottom"/>
            <w:tcBorders>
              <w:bottom w:val="single" w:sz="8" w:color="0000EE"/>
            </w:tcBorders>
            <w:gridSpan w:val="28"/>
          </w:tcPr>
          <w:p>
            <w:pPr>
              <w:spacing w:after="0"/>
              <w:rPr>
                <w:rFonts w:ascii="Arial" w:cs="Arial" w:eastAsia="Arial" w:hAnsi="Arial"/>
                <w:sz w:val="14"/>
                <w:szCs w:val="14"/>
                <w:color w:val="0000EE"/>
                <w:w w:val="93"/>
              </w:rPr>
            </w:pPr>
            <w:hyperlink w:anchor="page40">
              <w:r>
                <w:rPr>
                  <w:rFonts w:ascii="Arial" w:cs="Arial" w:eastAsia="Arial" w:hAnsi="Arial"/>
                  <w:sz w:val="14"/>
                  <w:szCs w:val="14"/>
                  <w:color w:val="0000EE"/>
                  <w:w w:val="93"/>
                </w:rPr>
                <w:t>Market For Registrant’s Common Equity, Related Stockholder Matters and Issuer Purchases of Equity Securities</w:t>
              </w:r>
            </w:hyperlink>
          </w:p>
        </w:tc>
        <w:tc>
          <w:tcPr>
            <w:tcW w:w="18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1380" w:type="dxa"/>
            <w:vAlign w:val="bottom"/>
            <w:tcBorders>
              <w:bottom w:val="single" w:sz="8" w:color="0000EE"/>
            </w:tcBorders>
            <w:gridSpan w:val="7"/>
          </w:tcPr>
          <w:p>
            <w:pPr>
              <w:spacing w:after="0"/>
              <w:rPr>
                <w:rFonts w:ascii="Arial" w:cs="Arial" w:eastAsia="Arial" w:hAnsi="Arial"/>
                <w:sz w:val="14"/>
                <w:szCs w:val="14"/>
                <w:color w:val="0000EE"/>
                <w:w w:val="91"/>
              </w:rPr>
            </w:pPr>
            <w:hyperlink w:anchor="page42">
              <w:r>
                <w:rPr>
                  <w:rFonts w:ascii="Arial" w:cs="Arial" w:eastAsia="Arial" w:hAnsi="Arial"/>
                  <w:sz w:val="14"/>
                  <w:szCs w:val="14"/>
                  <w:color w:val="0000EE"/>
                  <w:w w:val="91"/>
                </w:rPr>
                <w:t>Selected Financial Data</w:t>
              </w:r>
            </w:hyperlink>
          </w:p>
        </w:tc>
        <w:tc>
          <w:tcPr>
            <w:tcW w:w="6980" w:type="dxa"/>
            <w:vAlign w:val="bottom"/>
            <w:gridSpan w:val="22"/>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4"/>
                <w:szCs w:val="14"/>
                <w:b w:val="1"/>
                <w:bCs w:val="1"/>
                <w:color w:val="auto"/>
              </w:rPr>
              <w:t>Item 7.</w:t>
            </w:r>
          </w:p>
        </w:tc>
        <w:tc>
          <w:tcPr>
            <w:tcW w:w="8360" w:type="dxa"/>
            <w:vAlign w:val="bottom"/>
            <w:gridSpan w:val="29"/>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Management’s Discussion and Analysis of Financial Condition and Results of Operations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4"/>
                <w:szCs w:val="14"/>
                <w:b w:val="1"/>
                <w:bCs w:val="1"/>
                <w:color w:val="auto"/>
              </w:rPr>
              <w:t>Item 7A.</w:t>
            </w:r>
          </w:p>
        </w:tc>
        <w:tc>
          <w:tcPr>
            <w:tcW w:w="5160" w:type="dxa"/>
            <w:vAlign w:val="bottom"/>
            <w:tcBorders>
              <w:top w:val="single" w:sz="8" w:color="0000EE"/>
            </w:tcBorders>
            <w:gridSpan w:val="25"/>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Quantitative and Qualitative Disclosures About Market Risk</w:t>
              </w:r>
            </w:hyperlink>
          </w:p>
        </w:tc>
        <w:tc>
          <w:tcPr>
            <w:tcW w:w="3200" w:type="dxa"/>
            <w:vAlign w:val="bottom"/>
            <w:gridSpan w:val="4"/>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3480" w:type="dxa"/>
            <w:vAlign w:val="bottom"/>
            <w:tcBorders>
              <w:top w:val="single" w:sz="8" w:color="0000EE"/>
            </w:tcBorders>
            <w:gridSpan w:val="15"/>
          </w:tcPr>
          <w:p>
            <w:pPr>
              <w:spacing w:after="0"/>
              <w:rPr>
                <w:rFonts w:ascii="Arial" w:cs="Arial" w:eastAsia="Arial" w:hAnsi="Arial"/>
                <w:sz w:val="14"/>
                <w:szCs w:val="14"/>
                <w:color w:val="0000EE"/>
                <w:w w:val="92"/>
              </w:rPr>
            </w:pPr>
            <w:hyperlink w:anchor="page58">
              <w:r>
                <w:rPr>
                  <w:rFonts w:ascii="Arial" w:cs="Arial" w:eastAsia="Arial" w:hAnsi="Arial"/>
                  <w:sz w:val="14"/>
                  <w:szCs w:val="14"/>
                  <w:color w:val="0000EE"/>
                  <w:w w:val="92"/>
                </w:rPr>
                <w:t>Consolidated Financial Statements and Supplementary Data</w:t>
              </w:r>
            </w:hyperlink>
          </w:p>
        </w:tc>
        <w:tc>
          <w:tcPr>
            <w:tcW w:w="4880" w:type="dxa"/>
            <w:vAlign w:val="bottom"/>
            <w:gridSpan w:val="14"/>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Item 9.</w:t>
            </w:r>
          </w:p>
        </w:tc>
        <w:tc>
          <w:tcPr>
            <w:tcW w:w="6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90</w:t>
            </w:r>
          </w:p>
        </w:tc>
        <w:tc>
          <w:tcPr>
            <w:tcW w:w="0" w:type="dxa"/>
            <w:vAlign w:val="bottom"/>
          </w:tcPr>
          <w:p>
            <w:pPr>
              <w:spacing w:after="0" w:line="20" w:lineRule="exact"/>
              <w:rPr>
                <w:sz w:val="1"/>
                <w:szCs w:val="1"/>
                <w:color w:val="auto"/>
              </w:rPr>
            </w:pPr>
          </w:p>
        </w:tc>
      </w:tr>
      <w:tr>
        <w:trPr>
          <w:trHeight w:val="277"/>
        </w:trPr>
        <w:tc>
          <w:tcPr>
            <w:tcW w:w="920" w:type="dxa"/>
            <w:vAlign w:val="bottom"/>
            <w:vMerge w:val="continue"/>
          </w:tcPr>
          <w:p>
            <w:pPr>
              <w:spacing w:after="0"/>
              <w:rPr>
                <w:sz w:val="24"/>
                <w:szCs w:val="24"/>
                <w:color w:val="auto"/>
              </w:rPr>
            </w:pPr>
          </w:p>
        </w:tc>
        <w:tc>
          <w:tcPr>
            <w:tcW w:w="8360" w:type="dxa"/>
            <w:vAlign w:val="bottom"/>
            <w:gridSpan w:val="29"/>
          </w:tcPr>
          <w:p>
            <w:pPr>
              <w:spacing w:after="0"/>
              <w:rPr>
                <w:rFonts w:ascii="Arial" w:cs="Arial" w:eastAsia="Arial" w:hAnsi="Arial"/>
                <w:sz w:val="14"/>
                <w:szCs w:val="14"/>
                <w:color w:val="0000EE"/>
              </w:rPr>
            </w:pPr>
            <w:hyperlink w:anchor="page92">
              <w:r>
                <w:rPr>
                  <w:rFonts w:ascii="Arial" w:cs="Arial" w:eastAsia="Arial" w:hAnsi="Arial"/>
                  <w:sz w:val="14"/>
                  <w:szCs w:val="14"/>
                  <w:color w:val="0000EE"/>
                </w:rPr>
                <w:t>Changes in and Disagreements with Accountants on Accounting and Financial Disclosure</w:t>
              </w:r>
            </w:hyperlink>
          </w:p>
        </w:tc>
        <w:tc>
          <w:tcPr>
            <w:tcW w:w="1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4"/>
                <w:szCs w:val="14"/>
                <w:b w:val="1"/>
                <w:bCs w:val="1"/>
                <w:color w:val="auto"/>
              </w:rPr>
              <w:t>Item 9A.</w:t>
            </w:r>
          </w:p>
        </w:tc>
        <w:tc>
          <w:tcPr>
            <w:tcW w:w="5180" w:type="dxa"/>
            <w:vAlign w:val="bottom"/>
            <w:tcBorders>
              <w:top w:val="single" w:sz="8" w:color="0000EE"/>
            </w:tcBorders>
            <w:gridSpan w:val="26"/>
          </w:tcPr>
          <w:p>
            <w:pPr>
              <w:spacing w:after="0"/>
              <w:rPr>
                <w:rFonts w:ascii="Arial" w:cs="Arial" w:eastAsia="Arial" w:hAnsi="Arial"/>
                <w:sz w:val="14"/>
                <w:szCs w:val="14"/>
                <w:color w:val="0000EE"/>
              </w:rPr>
            </w:pPr>
            <w:hyperlink w:anchor="page92">
              <w:r>
                <w:rPr>
                  <w:rFonts w:ascii="Arial" w:cs="Arial" w:eastAsia="Arial" w:hAnsi="Arial"/>
                  <w:sz w:val="14"/>
                  <w:szCs w:val="14"/>
                  <w:color w:val="0000EE"/>
                </w:rPr>
                <w:t>Controls and Procedures</w:t>
              </w:r>
            </w:hyperlink>
          </w:p>
        </w:tc>
        <w:tc>
          <w:tcPr>
            <w:tcW w:w="3180" w:type="dxa"/>
            <w:vAlign w:val="bottom"/>
            <w:gridSpan w:val="3"/>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4"/>
                <w:szCs w:val="14"/>
                <w:b w:val="1"/>
                <w:bCs w:val="1"/>
                <w:color w:val="auto"/>
              </w:rPr>
              <w:t>Item 9B.</w:t>
            </w:r>
          </w:p>
        </w:tc>
        <w:tc>
          <w:tcPr>
            <w:tcW w:w="1420" w:type="dxa"/>
            <w:vAlign w:val="bottom"/>
            <w:tcBorders>
              <w:top w:val="single" w:sz="8" w:color="0000EE"/>
            </w:tcBorders>
            <w:gridSpan w:val="8"/>
          </w:tcPr>
          <w:p>
            <w:pPr>
              <w:spacing w:after="0"/>
              <w:rPr>
                <w:rFonts w:ascii="Arial" w:cs="Arial" w:eastAsia="Arial" w:hAnsi="Arial"/>
                <w:sz w:val="14"/>
                <w:szCs w:val="14"/>
                <w:color w:val="0000EE"/>
              </w:rPr>
            </w:pPr>
            <w:hyperlink w:anchor="page92">
              <w:r>
                <w:rPr>
                  <w:rFonts w:ascii="Arial" w:cs="Arial" w:eastAsia="Arial" w:hAnsi="Arial"/>
                  <w:sz w:val="14"/>
                  <w:szCs w:val="14"/>
                  <w:color w:val="0000EE"/>
                </w:rPr>
                <w:t>Other Information</w:t>
              </w:r>
            </w:hyperlink>
          </w:p>
        </w:tc>
        <w:tc>
          <w:tcPr>
            <w:tcW w:w="6940" w:type="dxa"/>
            <w:vAlign w:val="bottom"/>
            <w:gridSpan w:val="21"/>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bottom w:val="single" w:sz="8" w:color="0000EE"/>
            </w:tcBorders>
            <w:gridSpan w:val="7"/>
          </w:tcPr>
          <w:p>
            <w:pPr>
              <w:jc w:val="center"/>
              <w:ind w:right="20"/>
              <w:spacing w:after="0"/>
              <w:rPr>
                <w:rFonts w:ascii="Arial" w:cs="Arial" w:eastAsia="Arial" w:hAnsi="Arial"/>
                <w:sz w:val="14"/>
                <w:szCs w:val="14"/>
                <w:b w:val="1"/>
                <w:bCs w:val="1"/>
                <w:color w:val="0000EE"/>
              </w:rPr>
            </w:pPr>
            <w:hyperlink w:anchor="page93">
              <w:r>
                <w:rPr>
                  <w:rFonts w:ascii="Arial" w:cs="Arial" w:eastAsia="Arial" w:hAnsi="Arial"/>
                  <w:sz w:val="14"/>
                  <w:szCs w:val="14"/>
                  <w:b w:val="1"/>
                  <w:bCs w:val="1"/>
                  <w:color w:val="0000EE"/>
                </w:rPr>
                <w:t>PART III</w:t>
              </w:r>
            </w:hyperlink>
          </w:p>
        </w:tc>
        <w:tc>
          <w:tcPr>
            <w:tcW w:w="3220" w:type="dxa"/>
            <w:vAlign w:val="bottom"/>
            <w:gridSpan w:val="5"/>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4"/>
                <w:szCs w:val="14"/>
                <w:b w:val="1"/>
                <w:bCs w:val="1"/>
                <w:color w:val="auto"/>
              </w:rPr>
              <w:t>Item 10.</w:t>
            </w:r>
          </w:p>
        </w:tc>
        <w:tc>
          <w:tcPr>
            <w:tcW w:w="3280" w:type="dxa"/>
            <w:vAlign w:val="bottom"/>
            <w:tcBorders>
              <w:bottom w:val="single" w:sz="8" w:color="0000EE"/>
            </w:tcBorders>
            <w:gridSpan w:val="13"/>
          </w:tcPr>
          <w:p>
            <w:pPr>
              <w:spacing w:after="0"/>
              <w:rPr>
                <w:rFonts w:ascii="Arial" w:cs="Arial" w:eastAsia="Arial" w:hAnsi="Arial"/>
                <w:sz w:val="14"/>
                <w:szCs w:val="14"/>
                <w:color w:val="0000EE"/>
                <w:w w:val="93"/>
              </w:rPr>
            </w:pPr>
            <w:hyperlink w:anchor="page93">
              <w:r>
                <w:rPr>
                  <w:rFonts w:ascii="Arial" w:cs="Arial" w:eastAsia="Arial" w:hAnsi="Arial"/>
                  <w:sz w:val="14"/>
                  <w:szCs w:val="14"/>
                  <w:color w:val="0000EE"/>
                  <w:w w:val="93"/>
                </w:rPr>
                <w:t>Directors, Executive Officers and Corporate Governance</w:t>
              </w:r>
            </w:hyperlink>
          </w:p>
        </w:tc>
        <w:tc>
          <w:tcPr>
            <w:tcW w:w="5080" w:type="dxa"/>
            <w:vAlign w:val="bottom"/>
            <w:gridSpan w:val="16"/>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4"/>
                <w:szCs w:val="14"/>
                <w:b w:val="1"/>
                <w:bCs w:val="1"/>
                <w:color w:val="auto"/>
              </w:rPr>
              <w:t>Item 11.</w:t>
            </w:r>
          </w:p>
        </w:tc>
        <w:tc>
          <w:tcPr>
            <w:tcW w:w="8360" w:type="dxa"/>
            <w:vAlign w:val="bottom"/>
            <w:gridSpan w:val="29"/>
          </w:tcPr>
          <w:p>
            <w:pPr>
              <w:spacing w:after="0"/>
              <w:rPr>
                <w:rFonts w:ascii="Arial" w:cs="Arial" w:eastAsia="Arial" w:hAnsi="Arial"/>
                <w:sz w:val="14"/>
                <w:szCs w:val="14"/>
                <w:color w:val="0000EE"/>
              </w:rPr>
            </w:pPr>
            <w:hyperlink w:anchor="page93">
              <w:r>
                <w:rPr>
                  <w:rFonts w:ascii="Arial" w:cs="Arial" w:eastAsia="Arial" w:hAnsi="Arial"/>
                  <w:sz w:val="14"/>
                  <w:szCs w:val="14"/>
                  <w:color w:val="0000EE"/>
                </w:rPr>
                <w:t>Executive Compensation</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Item 12.</w:t>
            </w:r>
          </w:p>
        </w:tc>
        <w:tc>
          <w:tcPr>
            <w:tcW w:w="620" w:type="dxa"/>
            <w:vAlign w:val="bottom"/>
            <w:gridSpan w:val="3"/>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line="20" w:lineRule="exact"/>
              <w:rPr>
                <w:sz w:val="1"/>
                <w:szCs w:val="1"/>
                <w:color w:val="auto"/>
              </w:rPr>
            </w:pPr>
          </w:p>
        </w:tc>
      </w:tr>
      <w:tr>
        <w:trPr>
          <w:trHeight w:val="277"/>
        </w:trPr>
        <w:tc>
          <w:tcPr>
            <w:tcW w:w="920" w:type="dxa"/>
            <w:vAlign w:val="bottom"/>
            <w:vMerge w:val="continue"/>
          </w:tcPr>
          <w:p>
            <w:pPr>
              <w:spacing w:after="0"/>
              <w:rPr>
                <w:sz w:val="24"/>
                <w:szCs w:val="24"/>
                <w:color w:val="auto"/>
              </w:rPr>
            </w:pPr>
          </w:p>
        </w:tc>
        <w:tc>
          <w:tcPr>
            <w:tcW w:w="5840" w:type="dxa"/>
            <w:vAlign w:val="bottom"/>
            <w:tcBorders>
              <w:bottom w:val="single" w:sz="8" w:color="0000EE"/>
            </w:tcBorders>
            <w:gridSpan w:val="27"/>
          </w:tcPr>
          <w:p>
            <w:pPr>
              <w:spacing w:after="0"/>
              <w:rPr>
                <w:rFonts w:ascii="Arial" w:cs="Arial" w:eastAsia="Arial" w:hAnsi="Arial"/>
                <w:sz w:val="14"/>
                <w:szCs w:val="14"/>
                <w:color w:val="0000EE"/>
                <w:w w:val="93"/>
              </w:rPr>
            </w:pPr>
            <w:hyperlink w:anchor="page93">
              <w:r>
                <w:rPr>
                  <w:rFonts w:ascii="Arial" w:cs="Arial" w:eastAsia="Arial" w:hAnsi="Arial"/>
                  <w:sz w:val="14"/>
                  <w:szCs w:val="14"/>
                  <w:color w:val="0000EE"/>
                  <w:w w:val="93"/>
                </w:rPr>
                <w:t>Security Ownership of Certain Beneficial Owners and Management and Related Stockholder Matters</w:t>
              </w:r>
            </w:hyperlink>
          </w:p>
        </w:tc>
        <w:tc>
          <w:tcPr>
            <w:tcW w:w="2520" w:type="dxa"/>
            <w:vAlign w:val="bottom"/>
            <w:gridSpan w:val="2"/>
          </w:tcPr>
          <w:p>
            <w:pPr>
              <w:spacing w:after="0"/>
              <w:rPr>
                <w:sz w:val="24"/>
                <w:szCs w:val="24"/>
                <w:color w:val="auto"/>
              </w:rPr>
            </w:pPr>
          </w:p>
        </w:tc>
        <w:tc>
          <w:tcPr>
            <w:tcW w:w="1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4"/>
                <w:szCs w:val="14"/>
                <w:b w:val="1"/>
                <w:bCs w:val="1"/>
                <w:color w:val="auto"/>
              </w:rPr>
              <w:t>Item 13.</w:t>
            </w:r>
          </w:p>
        </w:tc>
        <w:tc>
          <w:tcPr>
            <w:tcW w:w="8360" w:type="dxa"/>
            <w:vAlign w:val="bottom"/>
            <w:gridSpan w:val="29"/>
          </w:tcPr>
          <w:p>
            <w:pPr>
              <w:spacing w:after="0"/>
              <w:rPr>
                <w:rFonts w:ascii="Arial" w:cs="Arial" w:eastAsia="Arial" w:hAnsi="Arial"/>
                <w:sz w:val="14"/>
                <w:szCs w:val="14"/>
                <w:color w:val="0000EE"/>
              </w:rPr>
            </w:pPr>
            <w:hyperlink w:anchor="page93">
              <w:r>
                <w:rPr>
                  <w:rFonts w:ascii="Arial" w:cs="Arial" w:eastAsia="Arial" w:hAnsi="Arial"/>
                  <w:sz w:val="14"/>
                  <w:szCs w:val="14"/>
                  <w:color w:val="0000EE"/>
                </w:rPr>
                <w:t>Certain Relationships and Related Transactions, and Director Independence</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4"/>
                <w:szCs w:val="14"/>
                <w:b w:val="1"/>
                <w:bCs w:val="1"/>
                <w:color w:val="auto"/>
              </w:rPr>
              <w:t>Item 14.</w:t>
            </w:r>
          </w:p>
        </w:tc>
        <w:tc>
          <w:tcPr>
            <w:tcW w:w="4360" w:type="dxa"/>
            <w:vAlign w:val="bottom"/>
            <w:tcBorders>
              <w:top w:val="single" w:sz="8" w:color="0000EE"/>
            </w:tcBorders>
            <w:gridSpan w:val="16"/>
          </w:tcPr>
          <w:p>
            <w:pPr>
              <w:spacing w:after="0"/>
              <w:rPr>
                <w:rFonts w:ascii="Arial" w:cs="Arial" w:eastAsia="Arial" w:hAnsi="Arial"/>
                <w:sz w:val="14"/>
                <w:szCs w:val="14"/>
                <w:color w:val="0000EE"/>
              </w:rPr>
            </w:pPr>
            <w:hyperlink w:anchor="page93">
              <w:r>
                <w:rPr>
                  <w:rFonts w:ascii="Arial" w:cs="Arial" w:eastAsia="Arial" w:hAnsi="Arial"/>
                  <w:sz w:val="14"/>
                  <w:szCs w:val="14"/>
                  <w:color w:val="0000EE"/>
                </w:rPr>
                <w:t>Principal Accountant Fees and Services</w:t>
              </w:r>
            </w:hyperlink>
          </w:p>
        </w:tc>
        <w:tc>
          <w:tcPr>
            <w:tcW w:w="4000" w:type="dxa"/>
            <w:vAlign w:val="bottom"/>
            <w:gridSpan w:val="13"/>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20" w:type="dxa"/>
            <w:vAlign w:val="bottom"/>
            <w:gridSpan w:val="12"/>
          </w:tcPr>
          <w:p>
            <w:pPr>
              <w:jc w:val="center"/>
              <w:ind w:right="3240"/>
              <w:spacing w:after="0"/>
              <w:rPr>
                <w:rFonts w:ascii="Arial" w:cs="Arial" w:eastAsia="Arial" w:hAnsi="Arial"/>
                <w:sz w:val="14"/>
                <w:szCs w:val="14"/>
                <w:b w:val="1"/>
                <w:bCs w:val="1"/>
                <w:color w:val="0000EE"/>
              </w:rPr>
            </w:pPr>
            <w:hyperlink w:anchor="page94">
              <w:r>
                <w:rPr>
                  <w:rFonts w:ascii="Arial" w:cs="Arial" w:eastAsia="Arial" w:hAnsi="Arial"/>
                  <w:sz w:val="14"/>
                  <w:szCs w:val="14"/>
                  <w:b w:val="1"/>
                  <w:bCs w:val="1"/>
                  <w:color w:val="0000EE"/>
                </w:rPr>
                <w:t>PART IV</w:t>
              </w:r>
            </w:hyperlink>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4"/>
                <w:szCs w:val="14"/>
                <w:b w:val="1"/>
                <w:bCs w:val="1"/>
                <w:color w:val="auto"/>
              </w:rPr>
              <w:t>Item 15.</w:t>
            </w:r>
          </w:p>
        </w:tc>
        <w:tc>
          <w:tcPr>
            <w:tcW w:w="2540" w:type="dxa"/>
            <w:vAlign w:val="bottom"/>
            <w:tcBorders>
              <w:bottom w:val="single" w:sz="8" w:color="0000EE"/>
            </w:tcBorders>
            <w:gridSpan w:val="12"/>
          </w:tcPr>
          <w:p>
            <w:pPr>
              <w:spacing w:after="0"/>
              <w:rPr>
                <w:rFonts w:ascii="Arial" w:cs="Arial" w:eastAsia="Arial" w:hAnsi="Arial"/>
                <w:sz w:val="14"/>
                <w:szCs w:val="14"/>
                <w:color w:val="0000EE"/>
                <w:w w:val="92"/>
              </w:rPr>
            </w:pPr>
            <w:hyperlink w:anchor="page94">
              <w:r>
                <w:rPr>
                  <w:rFonts w:ascii="Arial" w:cs="Arial" w:eastAsia="Arial" w:hAnsi="Arial"/>
                  <w:sz w:val="14"/>
                  <w:szCs w:val="14"/>
                  <w:color w:val="0000EE"/>
                  <w:w w:val="92"/>
                </w:rPr>
                <w:t>Exhibits and Financial Statement Schedules</w:t>
              </w:r>
            </w:hyperlink>
          </w:p>
        </w:tc>
        <w:tc>
          <w:tcPr>
            <w:tcW w:w="2020" w:type="dxa"/>
            <w:vAlign w:val="bottom"/>
            <w:gridSpan w:val="6"/>
          </w:tcPr>
          <w:p>
            <w:pPr>
              <w:spacing w:after="0"/>
              <w:rPr>
                <w:sz w:val="24"/>
                <w:szCs w:val="24"/>
                <w:color w:val="auto"/>
              </w:rPr>
            </w:pPr>
          </w:p>
        </w:tc>
        <w:tc>
          <w:tcPr>
            <w:tcW w:w="560" w:type="dxa"/>
            <w:vAlign w:val="bottom"/>
            <w:tcBorders>
              <w:top w:val="single" w:sz="8" w:color="0000EE"/>
            </w:tcBorders>
            <w:gridSpan w:val="5"/>
          </w:tcPr>
          <w:p>
            <w:pPr>
              <w:spacing w:after="0"/>
              <w:rPr>
                <w:sz w:val="24"/>
                <w:szCs w:val="24"/>
                <w:color w:val="auto"/>
              </w:rPr>
            </w:pPr>
          </w:p>
        </w:tc>
        <w:tc>
          <w:tcPr>
            <w:tcW w:w="3240" w:type="dxa"/>
            <w:vAlign w:val="bottom"/>
            <w:gridSpan w:val="6"/>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8360" w:type="dxa"/>
            <w:vAlign w:val="bottom"/>
            <w:gridSpan w:val="29"/>
          </w:tcPr>
          <w:p>
            <w:pPr>
              <w:spacing w:after="0"/>
              <w:rPr>
                <w:rFonts w:ascii="Arial" w:cs="Arial" w:eastAsia="Arial" w:hAnsi="Arial"/>
                <w:sz w:val="14"/>
                <w:szCs w:val="14"/>
                <w:color w:val="0000EE"/>
              </w:rPr>
            </w:pPr>
            <w:hyperlink w:anchor="page96">
              <w:r>
                <w:rPr>
                  <w:rFonts w:ascii="Arial" w:cs="Arial" w:eastAsia="Arial" w:hAnsi="Arial"/>
                  <w:sz w:val="14"/>
                  <w:szCs w:val="14"/>
                  <w:color w:val="0000EE"/>
                </w:rPr>
                <w:t>Signatures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0" w:type="dxa"/>
            <w:vAlign w:val="bottom"/>
          </w:tcPr>
          <w:p>
            <w:pPr>
              <w:spacing w:after="0"/>
              <w:rPr>
                <w:sz w:val="1"/>
                <w:szCs w:val="1"/>
                <w:color w:val="auto"/>
              </w:rPr>
            </w:pPr>
          </w:p>
        </w:tc>
      </w:tr>
      <w:tr>
        <w:trPr>
          <w:trHeight w:val="1445"/>
        </w:trPr>
        <w:tc>
          <w:tcPr>
            <w:tcW w:w="920" w:type="dxa"/>
            <w:vAlign w:val="bottom"/>
            <w:tcBorders>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82"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4"/>
          <w:szCs w:val="14"/>
          <w:b w:val="1"/>
          <w:bCs w:val="1"/>
          <w:color w:val="auto"/>
        </w:rPr>
        <w:t>PART I</w:t>
      </w:r>
    </w:p>
    <w:p>
      <w:pPr>
        <w:spacing w:after="0" w:line="275" w:lineRule="exact"/>
        <w:rPr>
          <w:sz w:val="20"/>
          <w:szCs w:val="20"/>
          <w:color w:val="auto"/>
        </w:rPr>
      </w:pPr>
    </w:p>
    <w:p>
      <w:pPr>
        <w:ind w:firstLine="438"/>
        <w:spacing w:after="0" w:line="270" w:lineRule="auto"/>
        <w:rPr>
          <w:sz w:val="20"/>
          <w:szCs w:val="20"/>
          <w:color w:val="auto"/>
        </w:rPr>
      </w:pPr>
      <w:r>
        <w:rPr>
          <w:rFonts w:ascii="Arial" w:cs="Arial" w:eastAsia="Arial" w:hAnsi="Arial"/>
          <w:sz w:val="12"/>
          <w:szCs w:val="12"/>
          <w:b w:val="1"/>
          <w:bCs w:val="1"/>
          <w:i w:val="1"/>
          <w:iCs w:val="1"/>
          <w:color w:val="auto"/>
        </w:rPr>
        <w:t>In this annual report on Form 10-K, or the Report, except where the context suggests otherwise, the terms “Company,” “we,” “our” or “us”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“PTSF” refers to PennantPark-TSO Senior Loan Fund, LP, an unconsolidated limited partnership; “PennantPark Investment Advisers” or “Investment Adviser” refer to PennantPark Investment Advisers, LLC; “PennantPark Investment Administration” or “Administrator” refers to PennantPark Investment Administration, LLC; “2023 Notes” refers to our 4.3% Series A notes due 2023; “2026 Notes” refers to our 4.25% Notes due 2026; “1940 Act” refers to the Investment Company Act of 1940, as amended; “SBCAA” refers to the Small Business Credit Availability Act; “Code” refers to the Internal Revenue Code of 1986, as</w:t>
      </w:r>
    </w:p>
    <w:p>
      <w:pPr>
        <w:spacing w:after="0"/>
        <w:rPr>
          <w:sz w:val="20"/>
          <w:szCs w:val="20"/>
          <w:color w:val="auto"/>
        </w:rPr>
      </w:pPr>
      <w:r>
        <w:rPr>
          <w:rFonts w:ascii="Arial" w:cs="Arial" w:eastAsia="Arial" w:hAnsi="Arial"/>
          <w:sz w:val="13"/>
          <w:szCs w:val="13"/>
          <w:b w:val="1"/>
          <w:bCs w:val="1"/>
          <w:i w:val="1"/>
          <w:iCs w:val="1"/>
          <w:color w:val="auto"/>
        </w:rPr>
        <w:t>amended; “RIC” refers to a regulated investment company under the Code; “BDC” refers to a business development company under the 1940 Act; “MCG” refers to MCG Capital</w:t>
      </w:r>
    </w:p>
    <w:p>
      <w:pPr>
        <w:spacing w:after="0" w:line="33" w:lineRule="exact"/>
        <w:rPr>
          <w:sz w:val="20"/>
          <w:szCs w:val="20"/>
          <w:color w:val="auto"/>
        </w:rPr>
      </w:pPr>
    </w:p>
    <w:p>
      <w:pPr>
        <w:ind w:right="20"/>
        <w:spacing w:after="0" w:line="149" w:lineRule="exact"/>
        <w:rPr>
          <w:sz w:val="20"/>
          <w:szCs w:val="20"/>
          <w:color w:val="auto"/>
        </w:rPr>
      </w:pPr>
      <w:r>
        <w:rPr>
          <w:rFonts w:ascii="Arial" w:cs="Arial" w:eastAsia="Arial" w:hAnsi="Arial"/>
          <w:sz w:val="13"/>
          <w:szCs w:val="13"/>
          <w:b w:val="1"/>
          <w:bCs w:val="1"/>
          <w:i w:val="1"/>
          <w:iCs w:val="1"/>
          <w:color w:val="auto"/>
        </w:rPr>
        <w:t>Corporation; “Prior Credit Facility” refers to our multi-currency senior secured revolving credit facility, as amended and restated with Truist Bank (formerly SunTrust Bank) and other lenders, originally entered into on June 23, 2011 and terminated on August 12, 2021;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w:t>
      </w:r>
      <w:r>
        <w:rPr>
          <w:rFonts w:ascii="MS PGothic" w:cs="MS PGothic" w:eastAsia="MS PGothic" w:hAnsi="MS PGothic"/>
          <w:sz w:val="13"/>
          <w:szCs w:val="13"/>
          <w:b w:val="1"/>
          <w:bCs w:val="1"/>
          <w:i w:val="1"/>
          <w:iCs w:val="1"/>
          <w:color w:val="auto"/>
        </w:rPr>
        <w:t>‑</w:t>
      </w:r>
      <w:r>
        <w:rPr>
          <w:rFonts w:ascii="Arial" w:cs="Arial" w:eastAsia="Arial" w:hAnsi="Arial"/>
          <w:sz w:val="13"/>
          <w:szCs w:val="13"/>
          <w:b w:val="1"/>
          <w:bCs w:val="1"/>
          <w:i w:val="1"/>
          <w:iCs w:val="1"/>
          <w:color w:val="auto"/>
        </w:rPr>
        <w:t>1 Senior Secured Floating Rate Notes due 2031 by the Securitization Issuers in connection with the Debt Securitization; and “Depositor” refers to PennantPark CLO I Depositor, LLC. References to our portfolio, our investments, our multi-currency, senior secured revolving credit facility, as amended and restated, or the Credit Facility, and our business include investments we make through our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Summary of Risk Factors</w:t>
      </w:r>
    </w:p>
    <w:p>
      <w:pPr>
        <w:spacing w:after="0" w:line="124" w:lineRule="exact"/>
        <w:rPr>
          <w:sz w:val="20"/>
          <w:szCs w:val="20"/>
          <w:color w:val="auto"/>
        </w:rPr>
      </w:pPr>
    </w:p>
    <w:p>
      <w:pPr>
        <w:ind w:left="740"/>
        <w:spacing w:after="0"/>
        <w:rPr>
          <w:sz w:val="20"/>
          <w:szCs w:val="20"/>
          <w:color w:val="auto"/>
        </w:rPr>
      </w:pPr>
      <w:r>
        <w:rPr>
          <w:rFonts w:ascii="Arial" w:cs="Arial" w:eastAsia="Arial" w:hAnsi="Arial"/>
          <w:sz w:val="14"/>
          <w:szCs w:val="14"/>
          <w:color w:val="auto"/>
        </w:rPr>
        <w:t>Investing in our common stock involves a high degree of risk. Some, but not all, of the risks and uncertainties that we face are related to:</w:t>
      </w:r>
    </w:p>
    <w:p>
      <w:pPr>
        <w:spacing w:after="0" w:line="136" w:lineRule="exact"/>
        <w:rPr>
          <w:sz w:val="20"/>
          <w:szCs w:val="20"/>
          <w:color w:val="auto"/>
        </w:rPr>
      </w:pPr>
    </w:p>
    <w:p>
      <w:pPr>
        <w:ind w:left="740" w:right="180" w:hanging="368"/>
        <w:spacing w:after="0" w:line="253" w:lineRule="auto"/>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remain in compliance with the financial and operational covenants of our Credit Facility, as well as the risks associated with our wholly owned subsidiary, Funding I, and the restrictions imposed on Funding I by the Credit Facility;</w:t>
      </w:r>
    </w:p>
    <w:p>
      <w:pPr>
        <w:spacing w:after="0" w:line="106"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operate in a highly competitive market for investment opportunities;</w:t>
      </w:r>
    </w:p>
    <w:p>
      <w:pPr>
        <w:spacing w:after="0" w:line="203" w:lineRule="exact"/>
        <w:rPr>
          <w:rFonts w:ascii="Arial" w:cs="Arial" w:eastAsia="Arial" w:hAnsi="Arial"/>
          <w:sz w:val="14"/>
          <w:szCs w:val="14"/>
          <w:color w:val="auto"/>
        </w:rPr>
      </w:pPr>
    </w:p>
    <w:p>
      <w:pPr>
        <w:ind w:left="740" w:right="100" w:hanging="368"/>
        <w:spacing w:after="0" w:line="253" w:lineRule="auto"/>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prospects of our portfolio companies and the ability of our portfolio companies to achieve their objectives, the decline or failure of which may result in our borrowers defaulting on their payments to us;</w:t>
      </w:r>
    </w:p>
    <w:p>
      <w:pPr>
        <w:spacing w:after="0" w:line="106"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ability of our Investment Adviser to hire and retain qualified personnel, to monitor and administer our investments and to manage our future growth effectively;</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to the interest rate environment, including the phasing out of LIBOR and the uncertainties associated therewith;</w:t>
      </w:r>
    </w:p>
    <w:p>
      <w:pPr>
        <w:spacing w:after="0" w:line="203" w:lineRule="exact"/>
        <w:rPr>
          <w:rFonts w:ascii="Arial" w:cs="Arial" w:eastAsia="Arial" w:hAnsi="Arial"/>
          <w:sz w:val="14"/>
          <w:szCs w:val="14"/>
          <w:color w:val="auto"/>
        </w:rPr>
      </w:pPr>
    </w:p>
    <w:p>
      <w:pPr>
        <w:ind w:left="740" w:right="80" w:hanging="368"/>
        <w:spacing w:after="0" w:line="253" w:lineRule="auto"/>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reliance on information systems, the failure of which could result in delays or other problems with our business activities, and the susceptibility of such systems to cybersecurity threats;</w:t>
      </w:r>
    </w:p>
    <w:p>
      <w:pPr>
        <w:spacing w:after="0" w:line="106"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replicate historical performance of other investment companies and funds with which our professionals have been affiliated;</w:t>
      </w:r>
    </w:p>
    <w:p>
      <w:pPr>
        <w:spacing w:after="0" w:line="244" w:lineRule="exact"/>
        <w:rPr>
          <w:rFonts w:ascii="Arial" w:cs="Arial" w:eastAsia="Arial" w:hAnsi="Arial"/>
          <w:sz w:val="14"/>
          <w:szCs w:val="14"/>
          <w:color w:val="auto"/>
        </w:rPr>
      </w:pPr>
    </w:p>
    <w:p>
      <w:pPr>
        <w:ind w:left="740" w:right="120" w:hanging="368"/>
        <w:spacing w:after="0" w:line="182" w:lineRule="auto"/>
        <w:tabs>
          <w:tab w:leader="none" w:pos="740" w:val="left"/>
        </w:tabs>
        <w:numPr>
          <w:ilvl w:val="0"/>
          <w:numId w:val="3"/>
        </w:numPr>
        <w:rPr>
          <w:rFonts w:ascii="Arial" w:cs="Arial" w:eastAsia="Arial" w:hAnsi="Arial"/>
          <w:sz w:val="27"/>
          <w:szCs w:val="27"/>
          <w:color w:val="auto"/>
          <w:vertAlign w:val="superscript"/>
        </w:rPr>
      </w:pPr>
      <w:r>
        <w:rPr>
          <w:rFonts w:ascii="Arial" w:cs="Arial" w:eastAsia="Arial" w:hAnsi="Arial"/>
          <w:sz w:val="14"/>
          <w:szCs w:val="14"/>
          <w:color w:val="auto"/>
        </w:rPr>
        <w:t>our ability to raise additional capital while remaining in compliance with certain annual distribution, asset coverage, asset composition and other regulatory requirements needed to maintain our status as a BDC and a RIC;</w:t>
      </w:r>
    </w:p>
    <w:p>
      <w:pPr>
        <w:spacing w:after="0" w:line="114" w:lineRule="exact"/>
        <w:rPr>
          <w:rFonts w:ascii="Arial" w:cs="Arial" w:eastAsia="Arial" w:hAnsi="Arial"/>
          <w:sz w:val="27"/>
          <w:szCs w:val="27"/>
          <w:color w:val="auto"/>
          <w:vertAlign w:val="superscript"/>
        </w:rPr>
      </w:pPr>
    </w:p>
    <w:p>
      <w:pPr>
        <w:ind w:left="740" w:right="60" w:hanging="368"/>
        <w:spacing w:after="0" w:line="253" w:lineRule="auto"/>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use of leverage to fund our investments, including the indebtedness resulting from our Credit Facility, 2023 Notes, 2026 Notes and 2031 Asset-Backed Debt, and the risk that we may fail to comply with the terms governing such indebtedness or maintain certain asset coverage ratio requirements;</w:t>
      </w:r>
    </w:p>
    <w:p>
      <w:pPr>
        <w:spacing w:after="0" w:line="106"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issuance of debt or other securities and the impact of such issuances on the value of our common stock or NAV;</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market conditions that may make it difficult for us to refinance or extend the maturity of our existing indebtedness;</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potential conflicts of interest of our Investment Adviser and Administrator;</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potential dilution caused by any future issuances of subscription rights or warrants;</w:t>
      </w:r>
    </w:p>
    <w:p>
      <w:pPr>
        <w:spacing w:after="0" w:line="203" w:lineRule="exact"/>
        <w:rPr>
          <w:rFonts w:ascii="Arial" w:cs="Arial" w:eastAsia="Arial" w:hAnsi="Arial"/>
          <w:sz w:val="14"/>
          <w:szCs w:val="14"/>
          <w:color w:val="auto"/>
        </w:rPr>
      </w:pPr>
    </w:p>
    <w:p>
      <w:pPr>
        <w:ind w:left="740" w:right="440" w:hanging="368"/>
        <w:spacing w:after="0" w:line="253" w:lineRule="auto"/>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recent financial reform legislation, uncertainty about presidential administration initiatives and any future laws and regulations on our business and our portfolio companies;</w:t>
      </w:r>
    </w:p>
    <w:p>
      <w:pPr>
        <w:spacing w:after="0" w:line="106" w:lineRule="exact"/>
        <w:rPr>
          <w:rFonts w:ascii="Arial" w:cs="Arial" w:eastAsia="Arial" w:hAnsi="Arial"/>
          <w:sz w:val="14"/>
          <w:szCs w:val="14"/>
          <w:color w:val="auto"/>
        </w:rPr>
      </w:pPr>
    </w:p>
    <w:p>
      <w:pPr>
        <w:ind w:left="740" w:right="260" w:hanging="368"/>
        <w:spacing w:after="0" w:line="253" w:lineRule="auto"/>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investment objectives and decisions advanced by the board of directors or the Investment Adviser which are not subject to stockholder approval and potential activism by our shareholders;</w:t>
      </w:r>
    </w:p>
    <w:p>
      <w:pPr>
        <w:spacing w:after="0" w:line="106"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illiquid nature of the assets in which we invest and our valuation procedures with respect to such assets;</w:t>
      </w:r>
    </w:p>
    <w:p>
      <w:pPr>
        <w:spacing w:after="0" w:line="203" w:lineRule="exact"/>
        <w:rPr>
          <w:rFonts w:ascii="Arial" w:cs="Arial" w:eastAsia="Arial" w:hAnsi="Arial"/>
          <w:sz w:val="14"/>
          <w:szCs w:val="14"/>
          <w:color w:val="auto"/>
        </w:rPr>
      </w:pPr>
    </w:p>
    <w:p>
      <w:pPr>
        <w:ind w:left="740" w:right="160" w:hanging="368"/>
        <w:spacing w:after="0" w:line="253" w:lineRule="auto"/>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making investments in loans bearing a variable-rate of interest, or Floating Rate Loans, first lien secured debt, second lien secured debt, subordinated debt and the equity of certain portfolio companies, and the risks of making such investments in privately held middle-market companies;</w:t>
      </w:r>
    </w:p>
    <w:p>
      <w:pPr>
        <w:spacing w:after="0" w:line="106" w:lineRule="exact"/>
        <w:rPr>
          <w:rFonts w:ascii="Arial" w:cs="Arial" w:eastAsia="Arial" w:hAnsi="Arial"/>
          <w:sz w:val="14"/>
          <w:szCs w:val="14"/>
          <w:color w:val="auto"/>
        </w:rPr>
      </w:pPr>
    </w:p>
    <w:p>
      <w:pPr>
        <w:ind w:left="740" w:right="440" w:hanging="368"/>
        <w:spacing w:after="0" w:line="253" w:lineRule="auto"/>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Investment Adviser’s incentive to make speculative investments to earn a greater incentive fee and, in some instances, our obligation to pay incentive compensation to our Investment Adviser even after we incur a loss;</w:t>
      </w:r>
    </w:p>
    <w:p>
      <w:pPr>
        <w:spacing w:after="0" w:line="106" w:lineRule="exact"/>
        <w:rPr>
          <w:rFonts w:ascii="Arial" w:cs="Arial" w:eastAsia="Arial" w:hAnsi="Arial"/>
          <w:sz w:val="14"/>
          <w:szCs w:val="14"/>
          <w:color w:val="auto"/>
        </w:rPr>
      </w:pPr>
    </w:p>
    <w:p>
      <w:pPr>
        <w:ind w:left="740" w:hanging="368"/>
        <w:spacing w:after="0"/>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potential dilution of our common stock which may result from issuances of our common stock below the then current NAV per share;</w:t>
      </w:r>
    </w:p>
    <w:p>
      <w:pPr>
        <w:spacing w:after="0" w:line="203" w:lineRule="exact"/>
        <w:rPr>
          <w:rFonts w:ascii="Arial" w:cs="Arial" w:eastAsia="Arial" w:hAnsi="Arial"/>
          <w:sz w:val="14"/>
          <w:szCs w:val="14"/>
          <w:color w:val="auto"/>
        </w:rPr>
      </w:pPr>
    </w:p>
    <w:p>
      <w:pPr>
        <w:ind w:left="740" w:right="380" w:hanging="368"/>
        <w:spacing w:after="0" w:line="253" w:lineRule="auto"/>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allocation of net proceeds from offering in ways which you may not agree and our inability to invest proceeds from offerings in new investment opportunities, which could negatively affect our financial performance;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3" w:name="page4"/>
    <w:bookmarkEnd w:id="3"/>
    <w:p>
      <w:pPr>
        <w:ind w:left="740" w:hanging="368"/>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tax liabilities resulting from receiving our stock as a distribution;</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measures we have taken to deter takeover attempts, which may adversely impact the price of our common stock;</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exchange rate fluctuations which may adversely impact holders of our 2023 Notes that receive payments of principal and interest in New Israeli Shekels;</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interests in connection with the Debt Securitization and the offering of the 2031 Asset-Backed Debt by the Securitization Issuers;</w:t>
      </w:r>
    </w:p>
    <w:p>
      <w:pPr>
        <w:spacing w:after="0" w:line="203" w:lineRule="exact"/>
        <w:rPr>
          <w:rFonts w:ascii="Arial" w:cs="Arial" w:eastAsia="Arial" w:hAnsi="Arial"/>
          <w:sz w:val="14"/>
          <w:szCs w:val="14"/>
          <w:color w:val="auto"/>
        </w:rPr>
      </w:pPr>
    </w:p>
    <w:p>
      <w:pPr>
        <w:ind w:left="740" w:right="80" w:hanging="368"/>
        <w:spacing w:after="0" w:line="253" w:lineRule="auto"/>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changes to political, economic or industry conditions or conditions affecting the financial and capital markets, including changes caused by the COVID-19 pandemic and Brexit, that could cause volatility or prolonged disruption of the capital markets and impact the value of our assets;</w:t>
      </w:r>
    </w:p>
    <w:p>
      <w:pPr>
        <w:spacing w:after="0" w:line="106" w:lineRule="exact"/>
        <w:rPr>
          <w:rFonts w:ascii="Arial" w:cs="Arial" w:eastAsia="Arial" w:hAnsi="Arial"/>
          <w:sz w:val="14"/>
          <w:szCs w:val="14"/>
          <w:color w:val="auto"/>
        </w:rPr>
      </w:pPr>
    </w:p>
    <w:p>
      <w:pPr>
        <w:ind w:left="740" w:hanging="368"/>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COVID-19 pandemic and its effect on our results of operations and the operations of our portfolio companies;</w:t>
      </w:r>
    </w:p>
    <w:p>
      <w:pPr>
        <w:spacing w:after="0" w:line="203" w:lineRule="exact"/>
        <w:rPr>
          <w:rFonts w:ascii="Arial" w:cs="Arial" w:eastAsia="Arial" w:hAnsi="Arial"/>
          <w:sz w:val="14"/>
          <w:szCs w:val="14"/>
          <w:color w:val="auto"/>
        </w:rPr>
      </w:pPr>
    </w:p>
    <w:p>
      <w:pPr>
        <w:ind w:left="740" w:right="280" w:hanging="368"/>
        <w:spacing w:after="0" w:line="253" w:lineRule="auto"/>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impact of economic sanction laws in the United States and other jurisdictions which may prohibit us and our affiliates from transacting with certain countries, individuals and companies;</w:t>
      </w:r>
    </w:p>
    <w:p>
      <w:pPr>
        <w:spacing w:after="0" w:line="106" w:lineRule="exact"/>
        <w:rPr>
          <w:rFonts w:ascii="Arial" w:cs="Arial" w:eastAsia="Arial" w:hAnsi="Arial"/>
          <w:sz w:val="14"/>
          <w:szCs w:val="14"/>
          <w:color w:val="auto"/>
        </w:rPr>
      </w:pPr>
    </w:p>
    <w:p>
      <w:pPr>
        <w:ind w:left="740" w:right="240" w:hanging="368"/>
        <w:spacing w:after="0" w:line="253" w:lineRule="auto"/>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potential litigation, whether initiated by shareholders or other parties, and, with respect to the holders of our 2023 Notes and our 2026 Notes, the ability to enforce civil judgments against us and our directors, officers and experts; and</w:t>
      </w:r>
    </w:p>
    <w:p>
      <w:pPr>
        <w:spacing w:after="0" w:line="106" w:lineRule="exact"/>
        <w:rPr>
          <w:rFonts w:ascii="Arial" w:cs="Arial" w:eastAsia="Arial" w:hAnsi="Arial"/>
          <w:sz w:val="14"/>
          <w:szCs w:val="14"/>
          <w:color w:val="auto"/>
        </w:rPr>
      </w:pPr>
    </w:p>
    <w:p>
      <w:pPr>
        <w:ind w:left="740" w:hanging="368"/>
        <w:spacing w:after="0"/>
        <w:tabs>
          <w:tab w:leader="none" w:pos="7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impact of global climate change on the operations of our portfolio companies.</w:t>
      </w:r>
    </w:p>
    <w:p>
      <w:pPr>
        <w:spacing w:after="0" w:line="204" w:lineRule="exact"/>
        <w:rPr>
          <w:sz w:val="20"/>
          <w:szCs w:val="20"/>
          <w:color w:val="auto"/>
        </w:rPr>
      </w:pPr>
    </w:p>
    <w:p>
      <w:pPr>
        <w:ind w:firstLine="496"/>
        <w:spacing w:after="0" w:line="253" w:lineRule="auto"/>
        <w:rPr>
          <w:sz w:val="20"/>
          <w:szCs w:val="20"/>
          <w:color w:val="auto"/>
        </w:rPr>
      </w:pPr>
      <w:r>
        <w:rPr>
          <w:rFonts w:ascii="Arial" w:cs="Arial" w:eastAsia="Arial" w:hAnsi="Arial"/>
          <w:sz w:val="14"/>
          <w:szCs w:val="14"/>
          <w:color w:val="auto"/>
        </w:rPr>
        <w:t>Additional risks and uncertainties not currently known to us or that we currently deem to be immaterial may also have a material adverse effect on our business, financial condition and/or operating results. For a more detailed discussion of the risks that you should consider prior to investing in our securities, see Item “1A. Risk Factors” below.</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Business of PennantPark Floating Rate Capital Ltd.</w:t>
      </w:r>
    </w:p>
    <w:p>
      <w:pPr>
        <w:spacing w:after="0" w:line="123"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right="60" w:firstLine="438"/>
        <w:spacing w:after="0" w:line="228" w:lineRule="auto"/>
        <w:rPr>
          <w:sz w:val="20"/>
          <w:szCs w:val="20"/>
          <w:color w:val="auto"/>
        </w:rPr>
      </w:pPr>
      <w:r>
        <w:rPr>
          <w:rFonts w:ascii="Arial" w:cs="Arial" w:eastAsia="Arial" w:hAnsi="Arial"/>
          <w:sz w:val="14"/>
          <w:szCs w:val="14"/>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7"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03"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71" w:lineRule="exact"/>
        <w:rPr>
          <w:sz w:val="20"/>
          <w:szCs w:val="20"/>
          <w:color w:val="auto"/>
        </w:rPr>
      </w:pPr>
    </w:p>
    <w:p>
      <w:pPr>
        <w:ind w:right="220" w:firstLine="438"/>
        <w:spacing w:after="0" w:line="238" w:lineRule="auto"/>
        <w:rPr>
          <w:sz w:val="20"/>
          <w:szCs w:val="20"/>
          <w:color w:val="auto"/>
        </w:rPr>
      </w:pPr>
      <w:r>
        <w:rPr>
          <w:rFonts w:ascii="Arial" w:cs="Arial" w:eastAsia="Arial" w:hAnsi="Arial"/>
          <w:sz w:val="14"/>
          <w:szCs w:val="14"/>
          <w:color w:val="auto"/>
        </w:rPr>
        <w:t>Funding I, our wholly-owned subsidiary and a special purpose entity, was organized in Delaware as a limited liability company in May 2011. We formed Funding I in order to establish our Prior Credit Facility. On August 12, 2021, we terminated the Prior Credit Facility, and Funding I, as borrower, entered into the Credit Facility, which provides the ability for Funding I to borrow up to $300 million. The Credit Facility is secured by all of the assets of Funding I.</w:t>
      </w:r>
    </w:p>
    <w:p>
      <w:pPr>
        <w:spacing w:after="0" w:line="115"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06" w:lineRule="exact"/>
        <w:rPr>
          <w:sz w:val="20"/>
          <w:szCs w:val="20"/>
          <w:color w:val="auto"/>
        </w:rPr>
      </w:pPr>
    </w:p>
    <w:p>
      <w:pPr>
        <w:ind w:right="820" w:firstLine="438"/>
        <w:spacing w:after="0" w:line="253" w:lineRule="auto"/>
        <w:rPr>
          <w:sz w:val="20"/>
          <w:szCs w:val="20"/>
          <w:color w:val="auto"/>
        </w:rPr>
      </w:pPr>
      <w:r>
        <w:rPr>
          <w:rFonts w:ascii="Arial" w:cs="Arial" w:eastAsia="Arial" w:hAnsi="Arial"/>
          <w:sz w:val="14"/>
          <w:szCs w:val="14"/>
          <w:color w:val="auto"/>
        </w:rPr>
        <w:t>In April 2019, our wholly-owned subsidiary, the Securitization Issuer, was incorporated in the Cayman Islands as an exempted company with limited liability. We formed the Securitization Issuer in order to complete the Debt Securitization.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 Adviser and Administrator</w:t>
      </w:r>
    </w:p>
    <w:p>
      <w:pPr>
        <w:spacing w:after="0" w:line="136"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$13.8 billion in 585 companies with more than 195 different financial sponsors through its managed funds.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 w:name="page5"/>
    <w:bookmarkEnd w:id="4"/>
    <w:p>
      <w:pPr>
        <w:ind w:right="20" w:firstLine="438"/>
        <w:spacing w:after="0" w:line="229" w:lineRule="auto"/>
        <w:rPr>
          <w:sz w:val="20"/>
          <w:szCs w:val="20"/>
          <w:color w:val="auto"/>
        </w:rPr>
      </w:pPr>
      <w:r>
        <w:rPr>
          <w:rFonts w:ascii="Arial" w:cs="Arial" w:eastAsia="Arial" w:hAnsi="Arial"/>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Opportunity</w:t>
      </w:r>
    </w:p>
    <w:p>
      <w:pPr>
        <w:spacing w:after="0" w:line="136" w:lineRule="exact"/>
        <w:rPr>
          <w:sz w:val="20"/>
          <w:szCs w:val="20"/>
          <w:color w:val="auto"/>
        </w:rPr>
      </w:pPr>
    </w:p>
    <w:p>
      <w:pPr>
        <w:ind w:right="460" w:firstLine="438"/>
        <w:spacing w:after="0" w:line="253"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102" w:lineRule="exact"/>
        <w:rPr>
          <w:sz w:val="20"/>
          <w:szCs w:val="20"/>
          <w:color w:val="auto"/>
        </w:rPr>
      </w:pPr>
    </w:p>
    <w:p>
      <w:pPr>
        <w:ind w:left="920" w:hanging="359"/>
        <w:spacing w:after="0" w:line="297" w:lineRule="auto"/>
        <w:tabs>
          <w:tab w:leader="none" w:pos="920"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 xml:space="preserve">We believe middle-market companies have faced difficulty raising debt in private markets. </w:t>
      </w:r>
      <w:r>
        <w:rPr>
          <w:rFonts w:ascii="Arial" w:cs="Arial" w:eastAsia="Arial" w:hAnsi="Arial"/>
          <w:sz w:val="13"/>
          <w:szCs w:val="13"/>
          <w:color w:val="auto"/>
        </w:rPr>
        <w:t>From time to time, banks, finance companies, hedge funds and collateralized loan</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 or CLO, funds have withdrawn, and may again withdraw, capital from the middle-market, resulting in opportunities for alternative funding sources.</w:t>
      </w:r>
    </w:p>
    <w:p>
      <w:pPr>
        <w:spacing w:after="0" w:line="75" w:lineRule="exact"/>
        <w:rPr>
          <w:rFonts w:ascii="Arial" w:cs="Arial" w:eastAsia="Arial" w:hAnsi="Arial"/>
          <w:sz w:val="13"/>
          <w:szCs w:val="13"/>
          <w:color w:val="auto"/>
        </w:rPr>
      </w:pPr>
    </w:p>
    <w:p>
      <w:pPr>
        <w:ind w:left="920" w:right="40" w:hanging="359"/>
        <w:spacing w:after="0"/>
        <w:tabs>
          <w:tab w:leader="none" w:pos="92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in raising debt through the capital markets. </w:t>
      </w:r>
      <w:r>
        <w:rPr>
          <w:rFonts w:ascii="Arial" w:cs="Arial" w:eastAsia="Arial" w:hAnsi="Arial"/>
          <w:sz w:val="14"/>
          <w:szCs w:val="14"/>
          <w:color w:val="auto"/>
        </w:rPr>
        <w:t>Many middle-market companies 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111" w:lineRule="exact"/>
        <w:rPr>
          <w:rFonts w:ascii="Arial" w:cs="Arial" w:eastAsia="Arial" w:hAnsi="Arial"/>
          <w:sz w:val="14"/>
          <w:szCs w:val="14"/>
          <w:color w:val="auto"/>
        </w:rPr>
      </w:pPr>
    </w:p>
    <w:p>
      <w:pPr>
        <w:ind w:left="920" w:right="20" w:hanging="359"/>
        <w:spacing w:after="0"/>
        <w:tabs>
          <w:tab w:leader="none" w:pos="92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credit market dislocation for middle-market companies improves the risk-reward on our investments. </w:t>
      </w:r>
      <w:r>
        <w:rPr>
          <w:rFonts w:ascii="Arial" w:cs="Arial" w:eastAsia="Arial" w:hAnsi="Arial"/>
          <w:sz w:val="14"/>
          <w:szCs w:val="14"/>
          <w:color w:val="auto"/>
        </w:rPr>
        <w:t>From time to time, market participants have reduced</w:t>
      </w:r>
      <w:r>
        <w:rPr>
          <w:rFonts w:ascii="Arial" w:cs="Arial" w:eastAsia="Arial" w:hAnsi="Arial"/>
          <w:sz w:val="14"/>
          <w:szCs w:val="14"/>
          <w:b w:val="1"/>
          <w:bCs w:val="1"/>
          <w:color w:val="auto"/>
        </w:rPr>
        <w:t xml:space="preserve"> </w:t>
      </w:r>
      <w:r>
        <w:rPr>
          <w:rFonts w:ascii="Arial" w:cs="Arial" w:eastAsia="Arial" w:hAnsi="Arial"/>
          <w:sz w:val="14"/>
          <w:szCs w:val="14"/>
          <w:color w:val="auto"/>
        </w:rPr>
        <w:t>lending to middle-market and non-investment grade borrowers. As a result, we believe there is less competition in our market, more conservative capital structures, higher yields and stronger covenants.</w:t>
      </w:r>
    </w:p>
    <w:p>
      <w:pPr>
        <w:spacing w:after="0" w:line="111" w:lineRule="exact"/>
        <w:rPr>
          <w:rFonts w:ascii="Arial" w:cs="Arial" w:eastAsia="Arial" w:hAnsi="Arial"/>
          <w:sz w:val="14"/>
          <w:szCs w:val="14"/>
          <w:color w:val="auto"/>
        </w:rPr>
      </w:pPr>
    </w:p>
    <w:p>
      <w:pPr>
        <w:ind w:left="920" w:right="140" w:hanging="359"/>
        <w:spacing w:after="0" w:line="267" w:lineRule="auto"/>
        <w:tabs>
          <w:tab w:leader="none" w:pos="920"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3"/>
          <w:szCs w:val="13"/>
          <w:color w:val="auto"/>
        </w:rPr>
        <w:t>We expect that private equity firms will continue to be active investors in middle-market companies. These private equity funds generally seek to leverage their investments by combining their capital with loans provided by other sources, and we believe that we are well-positioned to partner with such equity investors.</w:t>
      </w:r>
    </w:p>
    <w:p>
      <w:pPr>
        <w:spacing w:after="0" w:line="95" w:lineRule="exact"/>
        <w:rPr>
          <w:rFonts w:ascii="Arial" w:cs="Arial" w:eastAsia="Arial" w:hAnsi="Arial"/>
          <w:sz w:val="13"/>
          <w:szCs w:val="13"/>
          <w:color w:val="auto"/>
        </w:rPr>
      </w:pPr>
    </w:p>
    <w:p>
      <w:pPr>
        <w:ind w:left="920" w:right="240" w:hanging="359"/>
        <w:spacing w:after="0" w:line="232" w:lineRule="auto"/>
        <w:tabs>
          <w:tab w:leader="none" w:pos="92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substantial supply of opportunities resulting from maturing loans that seek refinancing. </w:t>
      </w:r>
      <w:r>
        <w:rPr>
          <w:rFonts w:ascii="Arial" w:cs="Arial" w:eastAsia="Arial" w:hAnsi="Arial"/>
          <w:sz w:val="14"/>
          <w:szCs w:val="14"/>
          <w:color w:val="auto"/>
        </w:rPr>
        <w:t>A high volume of financings will come due in the next few</w:t>
      </w:r>
      <w:r>
        <w:rPr>
          <w:rFonts w:ascii="Arial" w:cs="Arial" w:eastAsia="Arial" w:hAnsi="Arial"/>
          <w:sz w:val="14"/>
          <w:szCs w:val="14"/>
          <w:b w:val="1"/>
          <w:bCs w:val="1"/>
          <w:color w:val="auto"/>
        </w:rPr>
        <w:t xml:space="preserve"> </w:t>
      </w:r>
      <w:r>
        <w:rPr>
          <w:rFonts w:ascii="Arial" w:cs="Arial" w:eastAsia="Arial" w:hAnsi="Arial"/>
          <w:sz w:val="14"/>
          <w:szCs w:val="14"/>
          <w:color w:val="auto"/>
        </w:rPr>
        <w:t>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Competitive Advantages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believe that we have the following competitive advantages over other capital providers to middle-market companies:</w:t>
      </w:r>
    </w:p>
    <w:p>
      <w:pPr>
        <w:spacing w:after="0" w:line="136" w:lineRule="exact"/>
        <w:rPr>
          <w:sz w:val="20"/>
          <w:szCs w:val="20"/>
          <w:color w:val="auto"/>
        </w:rPr>
      </w:pPr>
    </w:p>
    <w:p>
      <w:pPr>
        <w:ind w:left="920" w:hanging="359"/>
        <w:spacing w:after="0"/>
        <w:tabs>
          <w:tab w:leader="none" w:pos="92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Experienced Management Team</w:t>
      </w:r>
    </w:p>
    <w:p>
      <w:pPr>
        <w:spacing w:after="0" w:line="204" w:lineRule="exact"/>
        <w:rPr>
          <w:sz w:val="20"/>
          <w:szCs w:val="20"/>
          <w:color w:val="auto"/>
        </w:rPr>
      </w:pPr>
    </w:p>
    <w:p>
      <w:pPr>
        <w:ind w:right="340" w:firstLine="438"/>
        <w:spacing w:after="0" w:line="233" w:lineRule="auto"/>
        <w:rPr>
          <w:sz w:val="20"/>
          <w:szCs w:val="20"/>
          <w:color w:val="auto"/>
        </w:rPr>
      </w:pPr>
      <w:r>
        <w:rPr>
          <w:rFonts w:ascii="Arial" w:cs="Arial" w:eastAsia="Arial" w:hAnsi="Arial"/>
          <w:sz w:val="14"/>
          <w:szCs w:val="14"/>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have resulted in a strong reputation across the capital markets.</w:t>
      </w:r>
    </w:p>
    <w:p>
      <w:pPr>
        <w:spacing w:after="0" w:line="117" w:lineRule="exact"/>
        <w:rPr>
          <w:sz w:val="20"/>
          <w:szCs w:val="20"/>
          <w:color w:val="auto"/>
        </w:rPr>
      </w:pPr>
    </w:p>
    <w:p>
      <w:pPr>
        <w:ind w:right="220" w:firstLine="438"/>
        <w:spacing w:after="0" w:line="233" w:lineRule="auto"/>
        <w:rPr>
          <w:sz w:val="20"/>
          <w:szCs w:val="20"/>
          <w:color w:val="auto"/>
        </w:rPr>
      </w:pPr>
      <w:r>
        <w:rPr>
          <w:rFonts w:ascii="Arial" w:cs="Arial" w:eastAsia="Arial" w:hAnsi="Arial"/>
          <w:sz w:val="14"/>
          <w:szCs w:val="14"/>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104" w:lineRule="exact"/>
        <w:rPr>
          <w:sz w:val="20"/>
          <w:szCs w:val="20"/>
          <w:color w:val="auto"/>
        </w:rPr>
      </w:pPr>
    </w:p>
    <w:p>
      <w:pPr>
        <w:ind w:left="920" w:hanging="359"/>
        <w:spacing w:after="0"/>
        <w:tabs>
          <w:tab w:leader="none" w:pos="92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Disciplined Investment Approach with Strong Value Orientation</w:t>
      </w:r>
    </w:p>
    <w:p>
      <w:pPr>
        <w:spacing w:after="0" w:line="204"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17"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123" w:lineRule="exact"/>
        <w:rPr>
          <w:sz w:val="20"/>
          <w:szCs w:val="20"/>
          <w:color w:val="auto"/>
        </w:rPr>
      </w:pPr>
    </w:p>
    <w:p>
      <w:pPr>
        <w:ind w:left="920" w:hanging="372"/>
        <w:spacing w:after="0"/>
        <w:tabs>
          <w:tab w:leader="none" w:pos="9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1"/>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Ability to Source and Evaluate Transactions through our Investment Adviser’s Proactive Research Capability and Established Network</w:t>
      </w:r>
    </w:p>
    <w:p>
      <w:pPr>
        <w:spacing w:after="0" w:line="204"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5" w:name="page6"/>
    <w:bookmarkEnd w:id="5"/>
    <w:p>
      <w:pPr>
        <w:ind w:left="920" w:hanging="359"/>
        <w:spacing w:after="0"/>
        <w:tabs>
          <w:tab w:leader="none" w:pos="92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Flexible Transaction Structuring</w:t>
      </w:r>
    </w:p>
    <w:p>
      <w:pPr>
        <w:spacing w:after="0" w:line="135" w:lineRule="exact"/>
        <w:rPr>
          <w:sz w:val="20"/>
          <w:szCs w:val="20"/>
          <w:color w:val="auto"/>
        </w:rPr>
      </w:pPr>
    </w:p>
    <w:p>
      <w:pPr>
        <w:ind w:right="120" w:firstLine="438"/>
        <w:spacing w:after="0" w:line="290" w:lineRule="auto"/>
        <w:rPr>
          <w:sz w:val="20"/>
          <w:szCs w:val="20"/>
          <w:color w:val="auto"/>
        </w:rPr>
      </w:pPr>
      <w:r>
        <w:rPr>
          <w:rFonts w:ascii="Arial" w:cs="Arial" w:eastAsia="Arial" w:hAnsi="Arial"/>
          <w:sz w:val="13"/>
          <w:szCs w:val="13"/>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71"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106"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Competition</w:t>
      </w:r>
    </w:p>
    <w:p>
      <w:pPr>
        <w:spacing w:after="0" w:line="123"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Our primary competitors provide financing to middle-market companies and include other BDCs, commercial and investment banks, commercial finance companies, CLO funds, private direct lending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07"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Leverage</w:t>
      </w:r>
    </w:p>
    <w:p>
      <w:pPr>
        <w:spacing w:after="0" w:line="136"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As of September 30, 2021, we maintained a $300 million Credit Facility, which matures in August 2026, with the Lenders. The Credit Facility currently bears interest at LIBOR (or an alternative risk-free floating interest rate index) plus 225 basis points and, after the revolving period ends in August 2024, the rate will reset to Base Rate (or an alternative risk-free floating interest rate index) plus 250 basis points. The Credit Facility is secured by all of the assets held by Funding I, under which we had $219.4 million outstanding as of September 30, 2021. The Credit Facility had a weighted average interest rate of 2.3%, exclusive of the fee on undrawn commitments as of September 30, 2021 . The Prior Credit Facility had a weighted average interest rate of 2.2%, exclusive of the fee on undrawn commitments as of September 30, 2020. As of September 30, 2021 and 2020, we had $80.6 million of unused borrowing capacity under our Credit Facility and $211.4 million of unused borrowing capacity under our Prior Credit Facility, respectively, subject to the regulatory restrictions. We believe that our capital resources will provide us with the flexibility to take advantage of market opportunities when they arise. Our use of leverage, as calculated under the asset coverage requirements of the 1940 Act, may generally range between 140% and 170% of our net assets, or approximately 60% to 65% of our managed assets. We cannot assure investors that our leverage will remain within the range. The amount of leverage that we employ will depend on our assessment of the market and other factors at the time of any proposed borrowing.</w:t>
      </w:r>
    </w:p>
    <w:p>
      <w:pPr>
        <w:spacing w:after="0" w:line="117"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As of September 30, 2021 we had $117.8 million in aggregate principal amount of 2023 Notes outstanding. The 2023 Notes were issued pursuant to a deed of trust between the Company and Mishmeret Trust Company, Ltd. as trustee. The 2023 Notes pay interest at a rate of 4.3% per year. As a result of the downgrade of the 2023 Notes from “ilA+” to “ilA-” in March 2020, the interest rate of the 2023 Notes was increased to 4.3% from 3.8%.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9" w:lineRule="exact"/>
        <w:rPr>
          <w:sz w:val="20"/>
          <w:szCs w:val="20"/>
          <w:color w:val="auto"/>
        </w:rPr>
      </w:pPr>
    </w:p>
    <w:p>
      <w:pPr>
        <w:ind w:right="80" w:firstLine="483"/>
        <w:spacing w:after="0" w:line="244" w:lineRule="auto"/>
        <w:rPr>
          <w:sz w:val="20"/>
          <w:szCs w:val="20"/>
          <w:color w:val="auto"/>
        </w:rPr>
      </w:pPr>
      <w:r>
        <w:rPr>
          <w:rFonts w:ascii="Arial" w:cs="Arial" w:eastAsia="Arial" w:hAnsi="Arial"/>
          <w:sz w:val="13"/>
          <w:szCs w:val="13"/>
          <w:color w:val="auto"/>
        </w:rPr>
        <w:t>In March 2021, we issued $100.0 million in aggregate principal amount of our 2026 Notes at a public offering price per note of 99.4%. As of September 30, 2021, we had $100.0 million in aggregate principal amount of 2026 Notes outstanding. The 2026 Notes were issued pursuant to the Base Indenture, dated March 23, 2021 (the “Base Indenture”), between the Company and American Stock Transfer &amp; Trust Company, LLC (the “Trustee”), as supplemented by the First Supplemental Indenture, dated March 23, 2021, between the Company and the Trustee. The 2026 Notes are due on April 1, 2026 and may be redeemed in whole or in part at the Company’s option. The 2026 Notes bear interest at a rate of 4.25% per year payable semi-annually on April 1 and October 1 of each year. The 2026 Notes are the Company’s direct unsecured obligations and rank pari passu in right of payment with the Company’s current and future unsecured unsubordinated indebtedness, senior to any of the Company’s future indebtedness that expressly states it is subordinated in right of payment to the 2026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 We do not intend to list the 2026 Notes on any securities exchange or automated dealer quotation system.</w:t>
      </w:r>
    </w:p>
    <w:p>
      <w:pPr>
        <w:spacing w:after="0" w:line="117"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In September 2019, the Securitization Issuers completed the Debt Securitization. The 2031 Asset-Backed Debt is secured by the middle market loans, participation interests in middle market loans and other assets of the Securitization Issuer.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As of both September 30, 2021 and 2020, the Company had $228.0 million of 2031 Asset-Backed Debt outstanding with a weighted average interest rate of 2.6% and 2.7%, respectively. See “Management’s Discussion and Analysis of Financial Condition and Results of Operations—Liquidity and Capital Resources” for more information.</w:t>
      </w:r>
    </w:p>
    <w:p>
      <w:pPr>
        <w:spacing w:after="0" w:line="131" w:lineRule="exact"/>
        <w:rPr>
          <w:sz w:val="20"/>
          <w:szCs w:val="20"/>
          <w:color w:val="auto"/>
        </w:rPr>
      </w:pPr>
    </w:p>
    <w:p>
      <w:pPr>
        <w:ind w:right="260" w:firstLine="483"/>
        <w:spacing w:after="0" w:line="233" w:lineRule="auto"/>
        <w:rPr>
          <w:sz w:val="20"/>
          <w:szCs w:val="20"/>
          <w:color w:val="auto"/>
        </w:rPr>
      </w:pPr>
      <w:r>
        <w:rPr>
          <w:rFonts w:ascii="Arial" w:cs="Arial" w:eastAsia="Arial" w:hAnsi="Arial"/>
          <w:sz w:val="14"/>
          <w:szCs w:val="14"/>
          <w:color w:val="auto"/>
        </w:rPr>
        <w:t>In April 2021, we formed PTSF, an unconsolidated limited partnership, organized as a Delaware limited liability partnership. We sold $81.4 million in investments to a wholly-owned subsidiary of PTSF in exchange for cash in the amount of $69.5 million and an $11.9 million equity interest in PTSF representing 23.08% of the total outstanding Class A Units of PTSF. We recognized $0.4 million of realized gain upon the formation of PTSF. As of September 30, 2021, our capital commitment of $15.3 million is fully funded and we hold 23.08% of the total outstanding Class A Units of PTSF and a 4.99% voting interest in the general partner which manages PTSF.</w:t>
      </w:r>
    </w:p>
    <w:p>
      <w:pPr>
        <w:spacing w:after="0" w:line="11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See “Management’s Discussion and Analysis of Financial Condition and Results of Operations” for more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Policy Overview</w:t>
      </w:r>
    </w:p>
    <w:p>
      <w:pPr>
        <w:spacing w:after="0" w:line="136"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We seek to create a diversified portfolio primarily of Floating Rate Loans by generally targeting an investment size of $5 million to $30 million in securities, on average, of middle-market companies. We expect this investment size to vary proportionately with the size of our capital base. We generally expect that first lien secured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line="251" w:lineRule="auto"/>
        <w:rPr>
          <w:sz w:val="20"/>
          <w:szCs w:val="20"/>
          <w:color w:val="auto"/>
        </w:rPr>
      </w:pPr>
      <w:r>
        <w:rPr>
          <w:rFonts w:ascii="Arial" w:cs="Arial" w:eastAsia="Arial" w:hAnsi="Arial"/>
          <w:sz w:val="13"/>
          <w:szCs w:val="13"/>
          <w:color w:val="auto"/>
        </w:rPr>
        <w:t>debt will represent at least 65% of our overall portfolio. We also generally expect to invest up to 35% of our overall portfolio opportunistically in other types of investments, including second lien secured debt, subordinated debt and, to a lesser extent, equity investments.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09"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“Regulation—Qualifying Assets” and “Investment Selection Criteria” for more information.</w:t>
      </w:r>
    </w:p>
    <w:p>
      <w:pPr>
        <w:spacing w:after="0" w:line="10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of changes to our operating policies and strategies may adversely affect our business, our ability to make distributions and the value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First Lien Secured Debt</w:t>
      </w:r>
    </w:p>
    <w:p>
      <w:pPr>
        <w:spacing w:after="0" w:line="13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debt lenders receive opportunities to invest directly in the equity securities of borrowers and from time to time may also receive warrants to purchase equity securities. We evaluate these investment opportunities on a case-by-case basis.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Second Lien Secured Debt</w:t>
      </w:r>
    </w:p>
    <w:p>
      <w:pPr>
        <w:spacing w:after="0" w:line="13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 debt investors receive opportunities to invest directly in the equity securities of borrowers and from time to time may also receive warrants to purchase equity securities. We evaluate these investment opportunities on a case-by-case basis.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Subordinated Debt</w:t>
      </w:r>
    </w:p>
    <w:p>
      <w:pPr>
        <w:spacing w:after="0" w:line="13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Structurally, subordinated debt usually ranks junior in priority of payment to first lien secured debt and second lien secured debt, and is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Selection Criteria</w:t>
      </w:r>
    </w:p>
    <w:p>
      <w:pPr>
        <w:spacing w:after="0" w:line="136"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We are committed to a value-oriented philosophy used by the senior investment professionals of our Investment Adviser who manage our portfolio and seek to minimize the risk of capital loss without foregoing potential for capital appreciation.</w:t>
      </w:r>
    </w:p>
    <w:p>
      <w:pPr>
        <w:spacing w:after="0" w:line="10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102" w:lineRule="exact"/>
        <w:rPr>
          <w:sz w:val="20"/>
          <w:szCs w:val="20"/>
          <w:color w:val="auto"/>
        </w:rPr>
      </w:pPr>
    </w:p>
    <w:p>
      <w:pPr>
        <w:ind w:left="920" w:hanging="359"/>
        <w:spacing w:after="0"/>
        <w:tabs>
          <w:tab w:leader="none" w:pos="92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Leading and defensible competitive market positions</w:t>
      </w:r>
    </w:p>
    <w:p>
      <w:pPr>
        <w:spacing w:after="0" w:line="136" w:lineRule="exact"/>
        <w:rPr>
          <w:sz w:val="20"/>
          <w:szCs w:val="20"/>
          <w:color w:val="auto"/>
        </w:rPr>
      </w:pPr>
    </w:p>
    <w:p>
      <w:pPr>
        <w:jc w:val="both"/>
        <w:ind w:right="340" w:firstLine="438"/>
        <w:spacing w:after="0" w:line="238"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The Investment Adviser also seeks to invest in portfolio companies that it believes possess competitive advantages in, for example, scale, scope, customer loyalty, product pricing or product quality as compared to their competitors to protect their market position.</w:t>
      </w:r>
    </w:p>
    <w:p>
      <w:pPr>
        <w:spacing w:after="0" w:line="115" w:lineRule="exact"/>
        <w:rPr>
          <w:sz w:val="20"/>
          <w:szCs w:val="20"/>
          <w:color w:val="auto"/>
        </w:rPr>
      </w:pPr>
    </w:p>
    <w:p>
      <w:pPr>
        <w:ind w:left="920" w:hanging="359"/>
        <w:spacing w:after="0"/>
        <w:tabs>
          <w:tab w:leader="none" w:pos="92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Investing in stable borrowers with positive cash flow</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17" w:lineRule="exact"/>
        <w:rPr>
          <w:sz w:val="20"/>
          <w:szCs w:val="20"/>
          <w:color w:val="auto"/>
        </w:rPr>
      </w:pPr>
    </w:p>
    <w:p>
      <w:pPr>
        <w:ind w:left="920" w:hanging="359"/>
        <w:spacing w:after="0"/>
        <w:tabs>
          <w:tab w:leader="none" w:pos="92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Proven management teams</w:t>
      </w:r>
    </w:p>
    <w:p>
      <w:pPr>
        <w:spacing w:after="0" w:line="136"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93" w:lineRule="exact"/>
        <w:rPr>
          <w:sz w:val="20"/>
          <w:szCs w:val="20"/>
          <w:color w:val="auto"/>
        </w:rPr>
      </w:pPr>
    </w:p>
    <w:p>
      <w:pPr>
        <w:ind w:left="920" w:hanging="359"/>
        <w:spacing w:after="0"/>
        <w:tabs>
          <w:tab w:leader="none" w:pos="92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Financial sponsorship</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7" w:name="page8"/>
    <w:bookmarkEnd w:id="7"/>
    <w:p>
      <w:pPr>
        <w:ind w:left="920" w:hanging="359"/>
        <w:spacing w:after="0"/>
        <w:tabs>
          <w:tab w:leader="none" w:pos="920" w:val="left"/>
        </w:tabs>
        <w:numPr>
          <w:ilvl w:val="0"/>
          <w:numId w:val="1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Investments in different borrowers, industries and geographies</w:t>
      </w:r>
    </w:p>
    <w:p>
      <w:pPr>
        <w:spacing w:after="0" w:line="135"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102" w:lineRule="exact"/>
        <w:rPr>
          <w:sz w:val="20"/>
          <w:szCs w:val="20"/>
          <w:color w:val="auto"/>
        </w:rPr>
      </w:pPr>
    </w:p>
    <w:p>
      <w:pPr>
        <w:ind w:left="920" w:hanging="359"/>
        <w:spacing w:after="0"/>
        <w:tabs>
          <w:tab w:leader="none" w:pos="920" w:val="left"/>
        </w:tabs>
        <w:numPr>
          <w:ilvl w:val="0"/>
          <w:numId w:val="1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Viable exit strategy</w:t>
      </w:r>
    </w:p>
    <w:p>
      <w:pPr>
        <w:spacing w:after="0" w:line="136" w:lineRule="exact"/>
        <w:rPr>
          <w:sz w:val="20"/>
          <w:szCs w:val="20"/>
          <w:color w:val="auto"/>
        </w:rPr>
      </w:pPr>
    </w:p>
    <w:p>
      <w:pPr>
        <w:ind w:right="180" w:firstLine="438"/>
        <w:spacing w:after="0" w:line="231" w:lineRule="auto"/>
        <w:rPr>
          <w:sz w:val="20"/>
          <w:szCs w:val="20"/>
          <w:color w:val="auto"/>
        </w:rPr>
      </w:pPr>
      <w:r>
        <w:rPr>
          <w:rFonts w:ascii="Arial" w:cs="Arial" w:eastAsia="Arial" w:hAnsi="Arial"/>
          <w:sz w:val="14"/>
          <w:szCs w:val="14"/>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Diligence</w:t>
      </w:r>
    </w:p>
    <w:p>
      <w:pPr>
        <w:spacing w:after="0" w:line="136" w:lineRule="exact"/>
        <w:rPr>
          <w:sz w:val="20"/>
          <w:szCs w:val="20"/>
          <w:color w:val="auto"/>
        </w:rPr>
      </w:pPr>
    </w:p>
    <w:p>
      <w:pPr>
        <w:jc w:val="both"/>
        <w:ind w:right="320" w:firstLine="438"/>
        <w:spacing w:after="0" w:line="233" w:lineRule="auto"/>
        <w:rPr>
          <w:sz w:val="20"/>
          <w:szCs w:val="20"/>
          <w:color w:val="auto"/>
        </w:rPr>
      </w:pPr>
      <w:r>
        <w:rPr>
          <w:rFonts w:ascii="Arial" w:cs="Arial" w:eastAsia="Arial" w:hAnsi="Arial"/>
          <w:sz w:val="14"/>
          <w:szCs w:val="14"/>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due diligence may include:</w:t>
      </w:r>
    </w:p>
    <w:p>
      <w:pPr>
        <w:spacing w:after="0" w:line="136" w:lineRule="exact"/>
        <w:rPr>
          <w:sz w:val="20"/>
          <w:szCs w:val="20"/>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research relating to the portfolio company’s management, industry, markets, products and services and competitors;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 of loan documents; and</w:t>
      </w:r>
    </w:p>
    <w:p>
      <w:pPr>
        <w:spacing w:after="0" w:line="203" w:lineRule="exact"/>
        <w:rPr>
          <w:rFonts w:ascii="Arial" w:cs="Arial" w:eastAsia="Arial" w:hAnsi="Arial"/>
          <w:sz w:val="14"/>
          <w:szCs w:val="14"/>
          <w:color w:val="auto"/>
        </w:rPr>
      </w:pPr>
    </w:p>
    <w:p>
      <w:pPr>
        <w:ind w:left="920" w:hanging="372"/>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background checks.</w:t>
      </w:r>
    </w:p>
    <w:p>
      <w:pPr>
        <w:spacing w:after="0" w:line="204"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accountants prior to the closing of the investment, as well as other outside advisers, as appropriate.</w:t>
      </w:r>
    </w:p>
    <w:p>
      <w:pPr>
        <w:spacing w:after="0" w:line="10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Structure</w:t>
      </w:r>
    </w:p>
    <w:p>
      <w:pPr>
        <w:spacing w:after="0" w:line="136" w:lineRule="exact"/>
        <w:rPr>
          <w:sz w:val="20"/>
          <w:szCs w:val="20"/>
          <w:color w:val="auto"/>
        </w:rPr>
      </w:pPr>
    </w:p>
    <w:p>
      <w:pPr>
        <w:jc w:val="both"/>
        <w:ind w:right="300" w:firstLine="438"/>
        <w:spacing w:after="0" w:line="238" w:lineRule="auto"/>
        <w:rPr>
          <w:sz w:val="20"/>
          <w:szCs w:val="20"/>
          <w:color w:val="auto"/>
        </w:rPr>
      </w:pPr>
      <w:r>
        <w:rPr>
          <w:rFonts w:ascii="Arial" w:cs="Arial" w:eastAsia="Arial" w:hAnsi="Arial"/>
          <w:sz w:val="14"/>
          <w:szCs w:val="14"/>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15"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93"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107"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115" w:lineRule="exact"/>
        <w:rPr>
          <w:sz w:val="20"/>
          <w:szCs w:val="20"/>
          <w:color w:val="auto"/>
        </w:rPr>
      </w:pPr>
    </w:p>
    <w:p>
      <w:pPr>
        <w:ind w:left="920" w:hanging="359"/>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in the form of a floor and potential equity appreciation) that compensates us for credit risk;</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203" w:lineRule="exact"/>
        <w:rPr>
          <w:rFonts w:ascii="Arial" w:cs="Arial" w:eastAsia="Arial" w:hAnsi="Arial"/>
          <w:sz w:val="14"/>
          <w:szCs w:val="14"/>
          <w:color w:val="auto"/>
        </w:rPr>
      </w:pPr>
    </w:p>
    <w:p>
      <w:pPr>
        <w:jc w:val="both"/>
        <w:ind w:left="920" w:right="280" w:hanging="359"/>
        <w:spacing w:after="0" w:line="238" w:lineRule="auto"/>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15"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03" w:lineRule="exact"/>
        <w:rPr>
          <w:sz w:val="20"/>
          <w:szCs w:val="20"/>
          <w:color w:val="auto"/>
        </w:rPr>
      </w:pPr>
    </w:p>
    <w:p>
      <w:pPr>
        <w:ind w:right="380" w:firstLine="438"/>
        <w:spacing w:after="0" w:line="253" w:lineRule="auto"/>
        <w:rPr>
          <w:sz w:val="20"/>
          <w:szCs w:val="20"/>
          <w:color w:val="auto"/>
        </w:rPr>
      </w:pPr>
      <w:r>
        <w:rPr>
          <w:rFonts w:ascii="Arial" w:cs="Arial" w:eastAsia="Arial" w:hAnsi="Arial"/>
          <w:sz w:val="14"/>
          <w:szCs w:val="14"/>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i w:val="1"/>
          <w:iCs w:val="1"/>
          <w:color w:val="auto"/>
        </w:rPr>
        <w:t>Ongoing Relationships with Portfolio Companies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Monitoring</w:t>
      </w:r>
    </w:p>
    <w:p>
      <w:pPr>
        <w:spacing w:after="0" w:line="136"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123" w:lineRule="exact"/>
        <w:rPr>
          <w:sz w:val="20"/>
          <w:szCs w:val="20"/>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assessment of success in adhering to a portfolio company’s business plan and compliance with covenants;</w:t>
      </w:r>
    </w:p>
    <w:p>
      <w:pPr>
        <w:spacing w:after="0" w:line="203" w:lineRule="exact"/>
        <w:rPr>
          <w:rFonts w:ascii="Arial" w:cs="Arial" w:eastAsia="Arial" w:hAnsi="Arial"/>
          <w:sz w:val="14"/>
          <w:szCs w:val="14"/>
          <w:color w:val="auto"/>
        </w:rPr>
      </w:pPr>
    </w:p>
    <w:p>
      <w:pPr>
        <w:ind w:left="920" w:right="720" w:hanging="359"/>
        <w:spacing w:after="0" w:line="253" w:lineRule="auto"/>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periodic or regular contact with portfolio company management and, if appropriate, the financial or strategic sponsor, to discuss financial position, requirements and accomplishments;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review of periodic financial statements and financial projections for portfolio companies.</w:t>
      </w:r>
    </w:p>
    <w:p>
      <w:pPr>
        <w:spacing w:after="0" w:line="204" w:lineRule="exact"/>
        <w:rPr>
          <w:sz w:val="20"/>
          <w:szCs w:val="20"/>
          <w:color w:val="auto"/>
        </w:rPr>
      </w:pPr>
    </w:p>
    <w:p>
      <w:pPr>
        <w:ind w:right="60" w:firstLine="438"/>
        <w:spacing w:after="0" w:line="244" w:lineRule="auto"/>
        <w:rPr>
          <w:sz w:val="20"/>
          <w:szCs w:val="20"/>
          <w:color w:val="auto"/>
        </w:rPr>
      </w:pPr>
      <w:r>
        <w:rPr>
          <w:rFonts w:ascii="Arial" w:cs="Arial" w:eastAsia="Arial" w:hAnsi="Arial"/>
          <w:sz w:val="13"/>
          <w:szCs w:val="13"/>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2" w:lineRule="exact"/>
        <w:rPr>
          <w:sz w:val="20"/>
          <w:szCs w:val="20"/>
          <w:color w:val="auto"/>
        </w:rPr>
      </w:pPr>
    </w:p>
    <w:p>
      <w:pPr>
        <w:ind w:right="40" w:firstLine="8"/>
        <w:spacing w:after="0" w:line="237" w:lineRule="auto"/>
        <w:tabs>
          <w:tab w:leader="none" w:pos="204"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136"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We offer significant managerial assistance to our portfolio companies. As a BDC, we are required to make available such significant managerial assistance within the meaning of Section 2(a)(47) of the 1940 Act. See “Regulation” for more information.</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Staffing</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Corporate Information</w:t>
      </w:r>
    </w:p>
    <w:p>
      <w:pPr>
        <w:spacing w:after="0" w:line="123"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 xml:space="preserve">Our administrative and principal executive offices are located at 590 Madison Avenue, 15th Floor, New York, NY 10022. Our common stock is quoted on The Nasdaq Global Select Market and the Tel Aviv Stock Exchange, or TASE, under the symbol “PFLT.” Our phone number is (212) 905-1000, and our Internet website address is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In addition, the SEC maintains an Internet website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that contains material that we file with the SEC on the Electronic Data Gathering, Analysis and Retrieval, or EDGAR, Database.</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269" w:right="45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i w:val="1"/>
          <w:iCs w:val="1"/>
          <w:color w:val="auto"/>
        </w:rPr>
        <w:t>Our Portfolio</w:t>
      </w:r>
    </w:p>
    <w:p>
      <w:pPr>
        <w:spacing w:after="0" w:line="123"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0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60"/>
              <w:spacing w:after="0"/>
              <w:rPr>
                <w:sz w:val="20"/>
                <w:szCs w:val="20"/>
                <w:color w:val="auto"/>
              </w:rPr>
            </w:pPr>
            <w:r>
              <w:rPr>
                <w:rFonts w:ascii="Arial" w:cs="Arial" w:eastAsia="Arial" w:hAnsi="Arial"/>
                <w:sz w:val="14"/>
                <w:szCs w:val="14"/>
                <w:color w:val="auto"/>
              </w:rPr>
              <w:t>Aerospace and Defense</w:t>
            </w:r>
          </w:p>
        </w:tc>
        <w:tc>
          <w:tcPr>
            <w:tcW w:w="1020" w:type="dxa"/>
            <w:vAlign w:val="bottom"/>
          </w:tcPr>
          <w:p>
            <w:pPr>
              <w:ind w:left="900"/>
              <w:spacing w:after="0"/>
              <w:rPr>
                <w:sz w:val="20"/>
                <w:szCs w:val="20"/>
                <w:color w:val="auto"/>
              </w:rPr>
            </w:pPr>
            <w:r>
              <w:rPr>
                <w:rFonts w:ascii="Arial" w:cs="Arial" w:eastAsia="Arial" w:hAnsi="Arial"/>
                <w:sz w:val="14"/>
                <w:szCs w:val="14"/>
                <w:color w:val="auto"/>
              </w:rPr>
              <w:t>•</w:t>
            </w:r>
          </w:p>
        </w:tc>
        <w:tc>
          <w:tcPr>
            <w:tcW w:w="4280" w:type="dxa"/>
            <w:vAlign w:val="bottom"/>
          </w:tcPr>
          <w:p>
            <w:pPr>
              <w:ind w:left="80"/>
              <w:spacing w:after="0"/>
              <w:rPr>
                <w:sz w:val="20"/>
                <w:szCs w:val="20"/>
                <w:color w:val="auto"/>
              </w:rPr>
            </w:pPr>
            <w:r>
              <w:rPr>
                <w:rFonts w:ascii="Arial" w:cs="Arial" w:eastAsia="Arial" w:hAnsi="Arial"/>
                <w:sz w:val="14"/>
                <w:szCs w:val="14"/>
                <w:color w:val="auto"/>
              </w:rPr>
              <w:t>Energy/Utilities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60"/>
              <w:spacing w:after="0" w:line="149" w:lineRule="exact"/>
              <w:rPr>
                <w:sz w:val="20"/>
                <w:szCs w:val="20"/>
                <w:color w:val="auto"/>
              </w:rPr>
            </w:pPr>
            <w:r>
              <w:rPr>
                <w:rFonts w:ascii="Arial" w:cs="Arial" w:eastAsia="Arial" w:hAnsi="Arial"/>
                <w:sz w:val="14"/>
                <w:szCs w:val="14"/>
                <w:color w:val="auto"/>
              </w:rPr>
              <w:t>Auto Sector</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Environmental Services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Beverage, Food and Tobacco</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Financial Services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Broadcasting and Entertainment</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Grocery</w:t>
            </w:r>
          </w:p>
        </w:tc>
      </w:tr>
      <w:tr>
        <w:trPr>
          <w:trHeight w:val="176"/>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80"/>
              <w:spacing w:after="0"/>
              <w:rPr>
                <w:sz w:val="20"/>
                <w:szCs w:val="20"/>
                <w:color w:val="auto"/>
              </w:rPr>
            </w:pPr>
            <w:r>
              <w:rPr>
                <w:rFonts w:ascii="Arial" w:cs="Arial" w:eastAsia="Arial" w:hAnsi="Arial"/>
                <w:sz w:val="14"/>
                <w:szCs w:val="14"/>
                <w:color w:val="auto"/>
              </w:rPr>
              <w:t>Buildings and Real Estate</w:t>
            </w:r>
          </w:p>
        </w:tc>
        <w:tc>
          <w:tcPr>
            <w:tcW w:w="5300" w:type="dxa"/>
            <w:vAlign w:val="bottom"/>
            <w:gridSpan w:val="2"/>
          </w:tcPr>
          <w:p>
            <w:pPr>
              <w:ind w:left="900"/>
              <w:spacing w:after="0"/>
              <w:rPr>
                <w:sz w:val="20"/>
                <w:szCs w:val="20"/>
                <w:color w:val="auto"/>
              </w:rPr>
            </w:pPr>
            <w:r>
              <w:rPr>
                <w:rFonts w:ascii="Arial" w:cs="Arial" w:eastAsia="Arial" w:hAnsi="Arial"/>
                <w:sz w:val="14"/>
                <w:szCs w:val="14"/>
                <w:color w:val="auto"/>
              </w:rPr>
              <w:t>•  Healthcare, Education and Childcare</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Building Materials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Business Services</w:t>
            </w:r>
          </w:p>
        </w:tc>
        <w:tc>
          <w:tcPr>
            <w:tcW w:w="5300" w:type="dxa"/>
            <w:vAlign w:val="bottom"/>
            <w:gridSpan w:val="2"/>
          </w:tcPr>
          <w:p>
            <w:pPr>
              <w:ind w:left="900"/>
              <w:spacing w:after="0" w:line="149" w:lineRule="exact"/>
              <w:rPr>
                <w:sz w:val="20"/>
                <w:szCs w:val="20"/>
                <w:color w:val="auto"/>
              </w:rPr>
            </w:pPr>
            <w:r>
              <w:rPr>
                <w:rFonts w:ascii="Arial" w:cs="Arial" w:eastAsia="Arial" w:hAnsi="Arial"/>
                <w:sz w:val="14"/>
                <w:szCs w:val="14"/>
                <w:color w:val="auto"/>
                <w:w w:val="95"/>
              </w:rPr>
              <w:t>•  Home &amp; Office Furnishings, Housewares &amp; Durable Consumer Products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Cable Television</w:t>
            </w:r>
          </w:p>
        </w:tc>
        <w:tc>
          <w:tcPr>
            <w:tcW w:w="53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  Hotels, Motels, Inns and Gaming</w:t>
            </w: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Capital Equipment</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Insurance</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Cargo Transportation</w:t>
            </w:r>
          </w:p>
        </w:tc>
        <w:tc>
          <w:tcPr>
            <w:tcW w:w="53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  Leisure, Amusement, Motion Picture, Entertainment</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Chemicals, Plastics and Rubber</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Logistics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Communications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Manufacturing/Basic Industries</w:t>
            </w:r>
          </w:p>
        </w:tc>
      </w:tr>
      <w:tr>
        <w:trPr>
          <w:trHeight w:val="176"/>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80"/>
              <w:spacing w:after="0"/>
              <w:rPr>
                <w:sz w:val="20"/>
                <w:szCs w:val="20"/>
                <w:color w:val="auto"/>
              </w:rPr>
            </w:pPr>
            <w:r>
              <w:rPr>
                <w:rFonts w:ascii="Arial" w:cs="Arial" w:eastAsia="Arial" w:hAnsi="Arial"/>
                <w:sz w:val="14"/>
                <w:szCs w:val="14"/>
                <w:color w:val="auto"/>
              </w:rPr>
              <w:t>Consumer Products</w:t>
            </w:r>
          </w:p>
        </w:tc>
        <w:tc>
          <w:tcPr>
            <w:tcW w:w="1020" w:type="dxa"/>
            <w:vAlign w:val="bottom"/>
          </w:tcPr>
          <w:p>
            <w:pPr>
              <w:ind w:left="900"/>
              <w:spacing w:after="0"/>
              <w:rPr>
                <w:sz w:val="20"/>
                <w:szCs w:val="20"/>
                <w:color w:val="auto"/>
              </w:rPr>
            </w:pPr>
            <w:r>
              <w:rPr>
                <w:rFonts w:ascii="Arial" w:cs="Arial" w:eastAsia="Arial" w:hAnsi="Arial"/>
                <w:sz w:val="14"/>
                <w:szCs w:val="14"/>
                <w:color w:val="auto"/>
              </w:rPr>
              <w:t>•</w:t>
            </w:r>
          </w:p>
        </w:tc>
        <w:tc>
          <w:tcPr>
            <w:tcW w:w="4280" w:type="dxa"/>
            <w:vAlign w:val="bottom"/>
          </w:tcPr>
          <w:p>
            <w:pPr>
              <w:ind w:left="80"/>
              <w:spacing w:after="0"/>
              <w:rPr>
                <w:sz w:val="20"/>
                <w:szCs w:val="20"/>
                <w:color w:val="auto"/>
              </w:rPr>
            </w:pPr>
            <w:r>
              <w:rPr>
                <w:rFonts w:ascii="Arial" w:cs="Arial" w:eastAsia="Arial" w:hAnsi="Arial"/>
                <w:sz w:val="14"/>
                <w:szCs w:val="14"/>
                <w:color w:val="auto"/>
              </w:rPr>
              <w:t>Media</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53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  Mining, Steel, Iron and Non-Precious Metals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Containers Packaging &amp; Glass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Oil and Gas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Distribution</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Other Media</w:t>
            </w:r>
          </w:p>
        </w:tc>
      </w:tr>
      <w:tr>
        <w:trPr>
          <w:trHeight w:val="176"/>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80"/>
              <w:spacing w:after="0"/>
              <w:rPr>
                <w:sz w:val="20"/>
                <w:szCs w:val="20"/>
                <w:color w:val="auto"/>
              </w:rPr>
            </w:pPr>
            <w:r>
              <w:rPr>
                <w:rFonts w:ascii="Arial" w:cs="Arial" w:eastAsia="Arial" w:hAnsi="Arial"/>
                <w:sz w:val="14"/>
                <w:szCs w:val="14"/>
                <w:color w:val="auto"/>
              </w:rPr>
              <w:t>Diversified/Conglomerate Manufacturing</w:t>
            </w:r>
          </w:p>
        </w:tc>
        <w:tc>
          <w:tcPr>
            <w:tcW w:w="5300" w:type="dxa"/>
            <w:vAlign w:val="bottom"/>
            <w:gridSpan w:val="2"/>
          </w:tcPr>
          <w:p>
            <w:pPr>
              <w:ind w:left="900"/>
              <w:spacing w:after="0"/>
              <w:rPr>
                <w:sz w:val="20"/>
                <w:szCs w:val="20"/>
                <w:color w:val="auto"/>
              </w:rPr>
            </w:pPr>
            <w:r>
              <w:rPr>
                <w:rFonts w:ascii="Arial" w:cs="Arial" w:eastAsia="Arial" w:hAnsi="Arial"/>
                <w:sz w:val="14"/>
                <w:szCs w:val="14"/>
                <w:color w:val="auto"/>
              </w:rPr>
              <w:t>•  Personal, Food and Miscellaneous Services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Diversified/Conglomerate Services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Printing and Publishing</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Diversified Natural Resources, Precious Metals and Minerals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Retail</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Education</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Wholesale</w:t>
            </w:r>
          </w:p>
        </w:tc>
      </w:tr>
      <w:tr>
        <w:trPr>
          <w:trHeight w:val="182"/>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80"/>
              <w:spacing w:after="0"/>
              <w:rPr>
                <w:sz w:val="20"/>
                <w:szCs w:val="20"/>
                <w:color w:val="auto"/>
              </w:rPr>
            </w:pPr>
            <w:r>
              <w:rPr>
                <w:rFonts w:ascii="Arial" w:cs="Arial" w:eastAsia="Arial" w:hAnsi="Arial"/>
                <w:sz w:val="14"/>
                <w:szCs w:val="14"/>
                <w:color w:val="auto"/>
              </w:rPr>
              <w:t>Electronics</w:t>
            </w:r>
          </w:p>
        </w:tc>
        <w:tc>
          <w:tcPr>
            <w:tcW w:w="1020" w:type="dxa"/>
            <w:vAlign w:val="bottom"/>
          </w:tcPr>
          <w:p>
            <w:pPr>
              <w:spacing w:after="0"/>
              <w:rPr>
                <w:sz w:val="15"/>
                <w:szCs w:val="15"/>
                <w:color w:val="auto"/>
              </w:rPr>
            </w:pPr>
          </w:p>
        </w:tc>
        <w:tc>
          <w:tcPr>
            <w:tcW w:w="4280" w:type="dxa"/>
            <w:vAlign w:val="bottom"/>
          </w:tcPr>
          <w:p>
            <w:pPr>
              <w:spacing w:after="0"/>
              <w:rPr>
                <w:sz w:val="15"/>
                <w:szCs w:val="15"/>
                <w:color w:val="auto"/>
              </w:rPr>
            </w:pPr>
          </w:p>
        </w:tc>
      </w:tr>
    </w:tbl>
    <w:p>
      <w:pPr>
        <w:spacing w:after="0" w:line="1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Listed below are our top ten portfolio companies and industries represented as a percentage of our consolidated portfolio assets (excluding cash and cash equivalents) as of September 30:</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Borders>
              <w:bottom w:val="single" w:sz="8" w:color="CCECFF"/>
            </w:tcBorders>
          </w:tcPr>
          <w:p>
            <w:pPr>
              <w:spacing w:after="0"/>
              <w:rPr>
                <w:sz w:val="14"/>
                <w:szCs w:val="14"/>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2"/>
                <w:szCs w:val="12"/>
                <w:b w:val="1"/>
                <w:bCs w:val="1"/>
                <w:color w:val="auto"/>
              </w:rPr>
              <w:t>(1)</w:t>
            </w:r>
          </w:p>
        </w:tc>
        <w:tc>
          <w:tcPr>
            <w:tcW w:w="280" w:type="dxa"/>
            <w:vAlign w:val="bottom"/>
            <w:tcBorders>
              <w:bottom w:val="single" w:sz="8" w:color="CCECFF"/>
            </w:tcBorders>
          </w:tcPr>
          <w:p>
            <w:pPr>
              <w:spacing w:after="0"/>
              <w:rPr>
                <w:sz w:val="14"/>
                <w:szCs w:val="1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Borders>
              <w:bottom w:val="single" w:sz="8" w:color="CCECFF"/>
            </w:tcBorders>
          </w:tcPr>
          <w:p>
            <w:pPr>
              <w:spacing w:after="0"/>
              <w:rPr>
                <w:sz w:val="14"/>
                <w:szCs w:val="14"/>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2"/>
                <w:szCs w:val="12"/>
                <w:b w:val="1"/>
                <w:bCs w:val="1"/>
                <w:color w:val="auto"/>
              </w:rPr>
              <w:t>(1)</w:t>
            </w:r>
          </w:p>
        </w:tc>
        <w:tc>
          <w:tcPr>
            <w:tcW w:w="140" w:type="dxa"/>
            <w:vAlign w:val="bottom"/>
            <w:tcBorders>
              <w:bottom w:val="single" w:sz="8" w:color="CCECFF"/>
            </w:tcBorders>
          </w:tcPr>
          <w:p>
            <w:pPr>
              <w:spacing w:after="0"/>
              <w:rPr>
                <w:sz w:val="14"/>
                <w:szCs w:val="14"/>
                <w:color w:val="auto"/>
              </w:rPr>
            </w:pPr>
          </w:p>
        </w:tc>
      </w:tr>
      <w:tr>
        <w:trPr>
          <w:trHeight w:val="156"/>
        </w:trPr>
        <w:tc>
          <w:tcPr>
            <w:tcW w:w="45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By Light Professional IT Services, LLC</w:t>
            </w:r>
          </w:p>
        </w:tc>
        <w:tc>
          <w:tcPr>
            <w:tcW w:w="160" w:type="dxa"/>
            <w:vAlign w:val="bottom"/>
            <w:shd w:val="clear" w:color="auto" w:fill="CCECFF"/>
          </w:tcPr>
          <w:p>
            <w:pPr>
              <w:spacing w:after="0"/>
              <w:rPr>
                <w:sz w:val="13"/>
                <w:szCs w:val="13"/>
                <w:color w:val="auto"/>
              </w:rPr>
            </w:pPr>
          </w:p>
        </w:tc>
        <w:tc>
          <w:tcPr>
            <w:tcW w:w="1280" w:type="dxa"/>
            <w:vAlign w:val="bottom"/>
            <w:gridSpan w:val="2"/>
            <w:shd w:val="clear" w:color="auto" w:fill="CCECFF"/>
          </w:tcPr>
          <w:p>
            <w:pPr>
              <w:ind w:left="900"/>
              <w:spacing w:after="0" w:line="155" w:lineRule="exact"/>
              <w:rPr>
                <w:sz w:val="20"/>
                <w:szCs w:val="20"/>
                <w:color w:val="auto"/>
              </w:rPr>
            </w:pPr>
            <w:r>
              <w:rPr>
                <w:rFonts w:ascii="Arial" w:cs="Arial" w:eastAsia="Arial" w:hAnsi="Arial"/>
                <w:sz w:val="14"/>
                <w:szCs w:val="14"/>
                <w:color w:val="auto"/>
              </w:rPr>
              <w:t>4%</w:t>
            </w:r>
          </w:p>
        </w:tc>
        <w:tc>
          <w:tcPr>
            <w:tcW w:w="40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By Light Professional IT Services, LLC</w:t>
            </w:r>
          </w:p>
        </w:tc>
        <w:tc>
          <w:tcPr>
            <w:tcW w:w="16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ind w:left="900"/>
              <w:spacing w:after="0" w:line="155" w:lineRule="exact"/>
              <w:rPr>
                <w:sz w:val="20"/>
                <w:szCs w:val="20"/>
                <w:color w:val="auto"/>
              </w:rPr>
            </w:pPr>
            <w:r>
              <w:rPr>
                <w:rFonts w:ascii="Arial" w:cs="Arial" w:eastAsia="Arial" w:hAnsi="Arial"/>
                <w:sz w:val="14"/>
                <w:szCs w:val="14"/>
                <w:color w:val="auto"/>
              </w:rPr>
              <w:t>4%</w:t>
            </w: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Lilly Lashes</w:t>
            </w:r>
          </w:p>
        </w:tc>
        <w:tc>
          <w:tcPr>
            <w:tcW w:w="1000" w:type="dxa"/>
            <w:vAlign w:val="bottom"/>
          </w:tcPr>
          <w:p>
            <w:pPr>
              <w:ind w:left="900"/>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Lightspeed Buyer Inc.</w:t>
            </w:r>
          </w:p>
        </w:tc>
        <w:tc>
          <w:tcPr>
            <w:tcW w:w="1000" w:type="dxa"/>
            <w:vAlign w:val="bottom"/>
          </w:tcPr>
          <w:p>
            <w:pPr>
              <w:ind w:left="90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Marketplace Events LLC</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4</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GSM Holdings, Inc.</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Lightspeed Buyer Inc.</w:t>
            </w:r>
          </w:p>
        </w:tc>
        <w:tc>
          <w:tcPr>
            <w:tcW w:w="1000" w:type="dxa"/>
            <w:vAlign w:val="bottom"/>
          </w:tcPr>
          <w:p>
            <w:pPr>
              <w:ind w:left="900"/>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MeritDirect, LLC</w:t>
            </w:r>
          </w:p>
        </w:tc>
        <w:tc>
          <w:tcPr>
            <w:tcW w:w="1000" w:type="dxa"/>
            <w:vAlign w:val="bottom"/>
          </w:tcPr>
          <w:p>
            <w:pPr>
              <w:ind w:left="90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MeritDirect, LLC</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Datalot Inc.</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Ox Two, LLC</w:t>
            </w:r>
          </w:p>
        </w:tc>
        <w:tc>
          <w:tcPr>
            <w:tcW w:w="1000" w:type="dxa"/>
            <w:vAlign w:val="bottom"/>
          </w:tcPr>
          <w:p>
            <w:pPr>
              <w:ind w:left="900"/>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GCOM Software LLC</w:t>
            </w:r>
          </w:p>
        </w:tc>
        <w:tc>
          <w:tcPr>
            <w:tcW w:w="1000" w:type="dxa"/>
            <w:vAlign w:val="bottom"/>
          </w:tcPr>
          <w:p>
            <w:pPr>
              <w:ind w:left="90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TVC Enterprises, LLC</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Integrative Nutrition, LLC</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57"/>
        </w:trPr>
        <w:tc>
          <w:tcPr>
            <w:tcW w:w="4660" w:type="dxa"/>
            <w:vAlign w:val="bottom"/>
            <w:gridSpan w:val="2"/>
          </w:tcPr>
          <w:p>
            <w:pPr>
              <w:spacing w:after="0" w:line="157" w:lineRule="exact"/>
              <w:rPr>
                <w:sz w:val="20"/>
                <w:szCs w:val="20"/>
                <w:color w:val="auto"/>
              </w:rPr>
            </w:pPr>
            <w:r>
              <w:rPr>
                <w:rFonts w:ascii="Arial" w:cs="Arial" w:eastAsia="Arial" w:hAnsi="Arial"/>
                <w:sz w:val="14"/>
                <w:szCs w:val="14"/>
                <w:color w:val="auto"/>
              </w:rPr>
              <w:t>GCOM Software LLC</w:t>
            </w:r>
          </w:p>
        </w:tc>
        <w:tc>
          <w:tcPr>
            <w:tcW w:w="1000" w:type="dxa"/>
            <w:vAlign w:val="bottom"/>
          </w:tcPr>
          <w:p>
            <w:pPr>
              <w:ind w:left="900"/>
              <w:spacing w:after="0" w:line="157"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3"/>
                <w:szCs w:val="13"/>
                <w:color w:val="auto"/>
              </w:rPr>
            </w:pPr>
          </w:p>
        </w:tc>
        <w:tc>
          <w:tcPr>
            <w:tcW w:w="4160" w:type="dxa"/>
            <w:vAlign w:val="bottom"/>
            <w:gridSpan w:val="2"/>
          </w:tcPr>
          <w:p>
            <w:pPr>
              <w:spacing w:after="0" w:line="157" w:lineRule="exact"/>
              <w:rPr>
                <w:sz w:val="20"/>
                <w:szCs w:val="20"/>
                <w:color w:val="auto"/>
              </w:rPr>
            </w:pPr>
            <w:r>
              <w:rPr>
                <w:rFonts w:ascii="Arial" w:cs="Arial" w:eastAsia="Arial" w:hAnsi="Arial"/>
                <w:sz w:val="14"/>
                <w:szCs w:val="14"/>
                <w:color w:val="auto"/>
              </w:rPr>
              <w:t>Research Now Group, Inc. and Survey</w:t>
            </w:r>
          </w:p>
        </w:tc>
        <w:tc>
          <w:tcPr>
            <w:tcW w:w="1000" w:type="dxa"/>
            <w:vAlign w:val="bottom"/>
          </w:tcPr>
          <w:p>
            <w:pPr>
              <w:ind w:left="900"/>
              <w:spacing w:after="0" w:line="157"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3"/>
                <w:szCs w:val="13"/>
                <w:color w:val="auto"/>
              </w:rPr>
            </w:pPr>
          </w:p>
        </w:tc>
      </w:tr>
      <w:tr>
        <w:trPr>
          <w:trHeight w:val="167"/>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60" w:type="dxa"/>
            <w:vAlign w:val="bottom"/>
            <w:gridSpan w:val="2"/>
          </w:tcPr>
          <w:p>
            <w:pPr>
              <w:ind w:left="160"/>
              <w:spacing w:after="0"/>
              <w:rPr>
                <w:sz w:val="20"/>
                <w:szCs w:val="20"/>
                <w:color w:val="auto"/>
              </w:rPr>
            </w:pPr>
            <w:r>
              <w:rPr>
                <w:rFonts w:ascii="Arial" w:cs="Arial" w:eastAsia="Arial" w:hAnsi="Arial"/>
                <w:sz w:val="14"/>
                <w:szCs w:val="14"/>
                <w:color w:val="auto"/>
              </w:rPr>
              <w:t>Sampling International LLC</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Lombart Brothers, Inc.</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Tensar Corporation</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82"/>
        </w:trPr>
        <w:tc>
          <w:tcPr>
            <w:tcW w:w="4660" w:type="dxa"/>
            <w:vAlign w:val="bottom"/>
            <w:gridSpan w:val="2"/>
          </w:tcPr>
          <w:p>
            <w:pPr>
              <w:spacing w:after="0"/>
              <w:rPr>
                <w:sz w:val="20"/>
                <w:szCs w:val="20"/>
                <w:color w:val="auto"/>
              </w:rPr>
            </w:pPr>
            <w:r>
              <w:rPr>
                <w:rFonts w:ascii="Arial" w:cs="Arial" w:eastAsia="Arial" w:hAnsi="Arial"/>
                <w:sz w:val="14"/>
                <w:szCs w:val="14"/>
                <w:color w:val="auto"/>
              </w:rPr>
              <w:t>UBEO, LLC</w:t>
            </w:r>
          </w:p>
        </w:tc>
        <w:tc>
          <w:tcPr>
            <w:tcW w:w="1000" w:type="dxa"/>
            <w:vAlign w:val="bottom"/>
          </w:tcPr>
          <w:p>
            <w:pPr>
              <w:ind w:left="900"/>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The Infosoft Group, LLC</w:t>
            </w:r>
          </w:p>
        </w:tc>
        <w:tc>
          <w:tcPr>
            <w:tcW w:w="1000" w:type="dxa"/>
            <w:vAlign w:val="bottom"/>
          </w:tcPr>
          <w:p>
            <w:pPr>
              <w:ind w:left="90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r>
      <w:tr>
        <w:trPr>
          <w:trHeight w:val="371"/>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160" w:type="dxa"/>
            <w:vAlign w:val="bottom"/>
            <w:tcBorders>
              <w:bottom w:val="single" w:sz="8" w:color="CCECFF"/>
            </w:tcBorders>
          </w:tcPr>
          <w:p>
            <w:pPr>
              <w:spacing w:after="0"/>
              <w:rPr>
                <w:sz w:val="24"/>
                <w:szCs w:val="24"/>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2"/>
                <w:szCs w:val="12"/>
                <w:b w:val="1"/>
                <w:bCs w:val="1"/>
                <w:color w:val="auto"/>
              </w:rPr>
              <w:t>(1)</w:t>
            </w:r>
          </w:p>
        </w:tc>
        <w:tc>
          <w:tcPr>
            <w:tcW w:w="280" w:type="dxa"/>
            <w:vAlign w:val="bottom"/>
            <w:tcBorders>
              <w:bottom w:val="single" w:sz="8" w:color="CCECFF"/>
            </w:tcBorders>
          </w:tcPr>
          <w:p>
            <w:pPr>
              <w:spacing w:after="0"/>
              <w:rPr>
                <w:sz w:val="24"/>
                <w:szCs w:val="2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160" w:type="dxa"/>
            <w:vAlign w:val="bottom"/>
            <w:tcBorders>
              <w:bottom w:val="single" w:sz="8" w:color="CCECFF"/>
            </w:tcBorders>
          </w:tcPr>
          <w:p>
            <w:pPr>
              <w:spacing w:after="0"/>
              <w:rPr>
                <w:sz w:val="24"/>
                <w:szCs w:val="24"/>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2"/>
                <w:szCs w:val="12"/>
                <w:b w:val="1"/>
                <w:bCs w:val="1"/>
                <w:color w:val="auto"/>
              </w:rPr>
              <w:t>(1)</w:t>
            </w:r>
          </w:p>
        </w:tc>
        <w:tc>
          <w:tcPr>
            <w:tcW w:w="140" w:type="dxa"/>
            <w:vAlign w:val="bottom"/>
            <w:tcBorders>
              <w:bottom w:val="single" w:sz="8" w:color="CCECFF"/>
            </w:tcBorders>
          </w:tcPr>
          <w:p>
            <w:pPr>
              <w:spacing w:after="0"/>
              <w:rPr>
                <w:sz w:val="24"/>
                <w:szCs w:val="24"/>
                <w:color w:val="auto"/>
              </w:rPr>
            </w:pPr>
          </w:p>
        </w:tc>
      </w:tr>
      <w:tr>
        <w:trPr>
          <w:trHeight w:val="155"/>
        </w:trPr>
        <w:tc>
          <w:tcPr>
            <w:tcW w:w="45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Media</w:t>
            </w:r>
          </w:p>
        </w:tc>
        <w:tc>
          <w:tcPr>
            <w:tcW w:w="160" w:type="dxa"/>
            <w:vAlign w:val="bottom"/>
            <w:shd w:val="clear" w:color="auto" w:fill="CCECFF"/>
          </w:tcPr>
          <w:p>
            <w:pPr>
              <w:spacing w:after="0"/>
              <w:rPr>
                <w:sz w:val="13"/>
                <w:szCs w:val="13"/>
                <w:color w:val="auto"/>
              </w:rPr>
            </w:pPr>
          </w:p>
        </w:tc>
        <w:tc>
          <w:tcPr>
            <w:tcW w:w="1280" w:type="dxa"/>
            <w:vAlign w:val="bottom"/>
            <w:gridSpan w:val="2"/>
            <w:shd w:val="clear" w:color="auto" w:fill="CCECFF"/>
          </w:tcPr>
          <w:p>
            <w:pPr>
              <w:ind w:left="900"/>
              <w:spacing w:after="0" w:line="155" w:lineRule="exact"/>
              <w:rPr>
                <w:sz w:val="20"/>
                <w:szCs w:val="20"/>
                <w:color w:val="auto"/>
              </w:rPr>
            </w:pPr>
            <w:r>
              <w:rPr>
                <w:rFonts w:ascii="Arial" w:cs="Arial" w:eastAsia="Arial" w:hAnsi="Arial"/>
                <w:sz w:val="14"/>
                <w:szCs w:val="14"/>
                <w:color w:val="auto"/>
              </w:rPr>
              <w:t>9%</w:t>
            </w:r>
          </w:p>
        </w:tc>
        <w:tc>
          <w:tcPr>
            <w:tcW w:w="40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Professional Services</w:t>
            </w:r>
          </w:p>
        </w:tc>
        <w:tc>
          <w:tcPr>
            <w:tcW w:w="16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ind w:left="900"/>
              <w:spacing w:after="0" w:line="155" w:lineRule="exact"/>
              <w:rPr>
                <w:sz w:val="20"/>
                <w:szCs w:val="20"/>
                <w:color w:val="auto"/>
              </w:rPr>
            </w:pPr>
            <w:r>
              <w:rPr>
                <w:rFonts w:ascii="Arial" w:cs="Arial" w:eastAsia="Arial" w:hAnsi="Arial"/>
                <w:sz w:val="14"/>
                <w:szCs w:val="14"/>
                <w:color w:val="auto"/>
              </w:rPr>
              <w:t>8%</w:t>
            </w: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Professional Services</w:t>
            </w:r>
          </w:p>
        </w:tc>
        <w:tc>
          <w:tcPr>
            <w:tcW w:w="1000" w:type="dxa"/>
            <w:vAlign w:val="bottom"/>
          </w:tcPr>
          <w:p>
            <w:pPr>
              <w:ind w:left="900"/>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High Tech Industries</w:t>
            </w:r>
          </w:p>
        </w:tc>
        <w:tc>
          <w:tcPr>
            <w:tcW w:w="1000" w:type="dxa"/>
            <w:vAlign w:val="bottom"/>
          </w:tcPr>
          <w:p>
            <w:pPr>
              <w:ind w:left="900"/>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Personal Products</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7</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Aerospace and Defense</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Capital Equipment</w:t>
            </w:r>
          </w:p>
        </w:tc>
        <w:tc>
          <w:tcPr>
            <w:tcW w:w="1000" w:type="dxa"/>
            <w:vAlign w:val="bottom"/>
          </w:tcPr>
          <w:p>
            <w:pPr>
              <w:ind w:left="900"/>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1000" w:type="dxa"/>
            <w:vAlign w:val="bottom"/>
          </w:tcPr>
          <w:p>
            <w:pPr>
              <w:ind w:left="900"/>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Commercial Services &amp; Supplies</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5</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Capital Equipment</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IT Services</w:t>
            </w:r>
          </w:p>
        </w:tc>
        <w:tc>
          <w:tcPr>
            <w:tcW w:w="1000" w:type="dxa"/>
            <w:vAlign w:val="bottom"/>
          </w:tcPr>
          <w:p>
            <w:pPr>
              <w:ind w:left="900"/>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Media</w:t>
            </w:r>
          </w:p>
        </w:tc>
        <w:tc>
          <w:tcPr>
            <w:tcW w:w="1000" w:type="dxa"/>
            <w:vAlign w:val="bottom"/>
          </w:tcPr>
          <w:p>
            <w:pPr>
              <w:ind w:left="900"/>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 Diversified and Production</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5</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Construction and Building</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1000" w:type="dxa"/>
            <w:vAlign w:val="bottom"/>
          </w:tcPr>
          <w:p>
            <w:pPr>
              <w:ind w:left="900"/>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Healthcare and Pharmaceuticals</w:t>
            </w:r>
          </w:p>
        </w:tc>
        <w:tc>
          <w:tcPr>
            <w:tcW w:w="1000" w:type="dxa"/>
            <w:vAlign w:val="bottom"/>
          </w:tcPr>
          <w:p>
            <w:pPr>
              <w:ind w:left="90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Healthcare Technology</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4</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Healthcare Technology</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82"/>
        </w:trPr>
        <w:tc>
          <w:tcPr>
            <w:tcW w:w="4660" w:type="dxa"/>
            <w:vAlign w:val="bottom"/>
            <w:gridSpan w:val="2"/>
          </w:tcPr>
          <w:p>
            <w:pPr>
              <w:spacing w:after="0"/>
              <w:rPr>
                <w:sz w:val="20"/>
                <w:szCs w:val="20"/>
                <w:color w:val="auto"/>
              </w:rPr>
            </w:pPr>
            <w:r>
              <w:rPr>
                <w:rFonts w:ascii="Arial" w:cs="Arial" w:eastAsia="Arial" w:hAnsi="Arial"/>
                <w:sz w:val="14"/>
                <w:szCs w:val="14"/>
                <w:color w:val="auto"/>
              </w:rPr>
              <w:t>High Tech Industries</w:t>
            </w:r>
          </w:p>
        </w:tc>
        <w:tc>
          <w:tcPr>
            <w:tcW w:w="1000" w:type="dxa"/>
            <w:vAlign w:val="bottom"/>
          </w:tcPr>
          <w:p>
            <w:pPr>
              <w:ind w:left="900"/>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Hotel, Gaming and Leisure</w:t>
            </w:r>
          </w:p>
        </w:tc>
        <w:tc>
          <w:tcPr>
            <w:tcW w:w="1000" w:type="dxa"/>
            <w:vAlign w:val="bottom"/>
          </w:tcPr>
          <w:p>
            <w:pPr>
              <w:ind w:left="90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3455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53"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b w:val="1"/>
          <w:bCs w:val="1"/>
          <w:color w:val="auto"/>
        </w:rPr>
        <w:t>(1)</w:t>
      </w:r>
      <w:r>
        <w:rPr>
          <w:sz w:val="20"/>
          <w:szCs w:val="20"/>
          <w:color w:val="auto"/>
        </w:rPr>
        <w:tab/>
      </w:r>
      <w:r>
        <w:rPr>
          <w:rFonts w:ascii="Arial" w:cs="Arial" w:eastAsia="Arial" w:hAnsi="Arial"/>
          <w:sz w:val="12"/>
          <w:szCs w:val="12"/>
          <w:color w:val="auto"/>
        </w:rPr>
        <w:t>Excludes investments in PSSL.</w:t>
      </w:r>
    </w:p>
    <w:p>
      <w:pPr>
        <w:spacing w:after="0" w:line="142"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17"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i w:val="1"/>
          <w:iCs w:val="1"/>
          <w:color w:val="auto"/>
        </w:rPr>
        <w:t>Investment Management Agreement</w:t>
      </w:r>
    </w:p>
    <w:p>
      <w:pPr>
        <w:spacing w:after="0" w:line="123"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Floating Rate Capital Ltd.,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the Investment Adviser:</w:t>
      </w:r>
    </w:p>
    <w:p>
      <w:pPr>
        <w:spacing w:after="0" w:line="109" w:lineRule="exact"/>
        <w:rPr>
          <w:sz w:val="20"/>
          <w:szCs w:val="20"/>
          <w:color w:val="auto"/>
        </w:rPr>
      </w:pPr>
    </w:p>
    <w:p>
      <w:pPr>
        <w:ind w:left="920" w:hanging="359"/>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closes and monitors the investments we make; and</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provides us with such other investment advisory, research and related services as we may need from time to time.</w:t>
      </w:r>
    </w:p>
    <w:p>
      <w:pPr>
        <w:spacing w:after="0" w:line="204" w:lineRule="exact"/>
        <w:rPr>
          <w:sz w:val="20"/>
          <w:szCs w:val="20"/>
          <w:color w:val="auto"/>
        </w:rPr>
      </w:pPr>
    </w:p>
    <w:p>
      <w:pPr>
        <w:ind w:right="280" w:firstLine="438"/>
        <w:spacing w:after="0" w:line="233" w:lineRule="auto"/>
        <w:rPr>
          <w:sz w:val="20"/>
          <w:szCs w:val="20"/>
          <w:color w:val="auto"/>
        </w:rPr>
      </w:pPr>
      <w:r>
        <w:rPr>
          <w:rFonts w:ascii="Arial" w:cs="Arial" w:eastAsia="Arial" w:hAnsi="Arial"/>
          <w:sz w:val="14"/>
          <w:szCs w:val="14"/>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123"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2021, 2020 and 2019, the Investment Adviser earned a base management fee of $10.7 million, $11.4 million and $10.2 million, respectively, from us.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Gross assets as of December 31, 20XX = $160 million</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U.S. Treasury bills and temporary draws on credit facilities as of December 31, 20XX = $10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Adjusted gross assets as of December 31, 20XX = $150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Gross assets as of March 31, 20XX = $200 million</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U.S. Treasury bills and temporary draws on credit facilities as of March 31, 20XX = $20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Adjusted gross assets as of March 31, 20XX = $180 million</w:t>
      </w:r>
    </w:p>
    <w:p>
      <w:pPr>
        <w:spacing w:after="0" w:line="136"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Average value of adjusted gross assets as of March 31, 20XX and December 31, 20XX, which are the two most recently completed calendar quarters, and appropriately adjusted for any share issuances or repurchases during the current calendar quarter equals ($150 million + $180 million) / 2 = $165 million.</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4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2021, 2020 and 2019, the Investment Adviser earned $5.3 million, $9.3 million and $7.6 million, respectively, in incentive fees on net investment income from us.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is a graphical representation of the calculation of quarterly incentive fee based on Pre-Incentive Fee Net Investment Income: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296545</wp:posOffset>
            </wp:positionV>
            <wp:extent cx="2254250"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542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5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259"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2021, 2020 and 2019, we accrued an incentive fee on capital gains of approximately zero, respectively, as calculated under the Investment Management Agreement (as described above).</w:t>
      </w:r>
    </w:p>
    <w:p>
      <w:pPr>
        <w:spacing w:after="0" w:line="107"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or accrued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2021, 2020 and 2019 was zero, zero, and $(1.4) million,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1.25%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0.25%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0.80%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 does not exceed hurdle; therefore, there is no incentive fee.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2.70%</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0.25%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2.25%</w:t>
      </w:r>
    </w:p>
    <w:p>
      <w:pPr>
        <w:spacing w:after="0" w:line="136" w:lineRule="exact"/>
        <w:rPr>
          <w:sz w:val="20"/>
          <w:szCs w:val="20"/>
          <w:color w:val="auto"/>
        </w:rPr>
      </w:pPr>
    </w:p>
    <w:p>
      <w:pPr>
        <w:ind w:left="1140"/>
        <w:spacing w:after="0"/>
        <w:tabs>
          <w:tab w:leader="none" w:pos="236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3"/>
          <w:szCs w:val="13"/>
          <w:color w:val="auto"/>
        </w:rPr>
        <w:t>= 50% X Pre-Incentive Fee Net Investment Income, subject to “catch-up”</w:t>
      </w:r>
    </w:p>
    <w:p>
      <w:pPr>
        <w:ind w:left="2480" w:hanging="110"/>
        <w:spacing w:after="0" w:line="221" w:lineRule="auto"/>
        <w:tabs>
          <w:tab w:leader="none" w:pos="2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50% X (2.25% - 1.75%)</w:t>
      </w:r>
    </w:p>
    <w:p>
      <w:pPr>
        <w:ind w:left="2480" w:hanging="110"/>
        <w:spacing w:after="0"/>
        <w:tabs>
          <w:tab w:leader="none" w:pos="2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0.25%</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98" w:right="37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Alternative 3:</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4.00%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0.25%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3.55%</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Arial" w:cs="Arial" w:eastAsia="Arial" w:hAnsi="Arial"/>
                <w:sz w:val="14"/>
                <w:szCs w:val="14"/>
                <w:color w:val="auto"/>
              </w:rPr>
              <w:t>Incentive fee</w:t>
            </w:r>
          </w:p>
        </w:tc>
        <w:tc>
          <w:tcPr>
            <w:tcW w:w="640" w:type="dxa"/>
            <w:vAlign w:val="bottom"/>
          </w:tcPr>
          <w:p>
            <w:pPr>
              <w:ind w:left="260"/>
              <w:spacing w:after="0"/>
              <w:rPr>
                <w:sz w:val="20"/>
                <w:szCs w:val="20"/>
                <w:color w:val="auto"/>
              </w:rPr>
            </w:pPr>
            <w:r>
              <w:rPr>
                <w:rFonts w:ascii="Arial" w:cs="Arial" w:eastAsia="Arial" w:hAnsi="Arial"/>
                <w:sz w:val="14"/>
                <w:szCs w:val="14"/>
                <w:color w:val="auto"/>
                <w:w w:val="89"/>
              </w:rPr>
              <w:t>= 20%</w:t>
            </w:r>
          </w:p>
        </w:tc>
        <w:tc>
          <w:tcPr>
            <w:tcW w:w="4580" w:type="dxa"/>
            <w:vAlign w:val="bottom"/>
          </w:tcPr>
          <w:p>
            <w:pPr>
              <w:ind w:left="20"/>
              <w:spacing w:after="0"/>
              <w:rPr>
                <w:sz w:val="20"/>
                <w:szCs w:val="20"/>
                <w:color w:val="auto"/>
              </w:rPr>
            </w:pPr>
            <w:r>
              <w:rPr>
                <w:rFonts w:ascii="Arial" w:cs="Arial" w:eastAsia="Arial" w:hAnsi="Arial"/>
                <w:sz w:val="14"/>
                <w:szCs w:val="14"/>
                <w:color w:val="auto"/>
              </w:rPr>
              <w:t xml:space="preserve">X Pre-Incentive Fee Net Investment Income, subject to “catch-up” </w:t>
            </w:r>
            <w:r>
              <w:rPr>
                <w:rFonts w:ascii="Arial" w:cs="Arial" w:eastAsia="Arial" w:hAnsi="Arial"/>
                <w:sz w:val="12"/>
                <w:szCs w:val="12"/>
                <w:color w:val="auto"/>
              </w:rPr>
              <w:t>(3)</w:t>
            </w:r>
          </w:p>
        </w:tc>
      </w:tr>
      <w:tr>
        <w:trPr>
          <w:trHeight w:val="149"/>
        </w:trPr>
        <w:tc>
          <w:tcPr>
            <w:tcW w:w="980" w:type="dxa"/>
            <w:vAlign w:val="bottom"/>
          </w:tcPr>
          <w:p>
            <w:pPr>
              <w:spacing w:after="0" w:line="149" w:lineRule="exact"/>
              <w:rPr>
                <w:sz w:val="20"/>
                <w:szCs w:val="20"/>
                <w:color w:val="auto"/>
              </w:rPr>
            </w:pPr>
            <w:r>
              <w:rPr>
                <w:rFonts w:ascii="Arial" w:cs="Arial" w:eastAsia="Arial" w:hAnsi="Arial"/>
                <w:sz w:val="14"/>
                <w:szCs w:val="14"/>
                <w:color w:val="auto"/>
              </w:rPr>
              <w:t>Incentive fee</w:t>
            </w:r>
          </w:p>
        </w:tc>
        <w:tc>
          <w:tcPr>
            <w:tcW w:w="640" w:type="dxa"/>
            <w:vAlign w:val="bottom"/>
          </w:tcPr>
          <w:p>
            <w:pPr>
              <w:ind w:left="260"/>
              <w:spacing w:after="0" w:line="149" w:lineRule="exact"/>
              <w:rPr>
                <w:sz w:val="20"/>
                <w:szCs w:val="20"/>
                <w:color w:val="auto"/>
              </w:rPr>
            </w:pPr>
            <w:r>
              <w:rPr>
                <w:rFonts w:ascii="Arial" w:cs="Arial" w:eastAsia="Arial" w:hAnsi="Arial"/>
                <w:sz w:val="14"/>
                <w:szCs w:val="14"/>
                <w:color w:val="auto"/>
                <w:w w:val="89"/>
              </w:rPr>
              <w:t>= 50%</w:t>
            </w:r>
          </w:p>
        </w:tc>
        <w:tc>
          <w:tcPr>
            <w:tcW w:w="4580" w:type="dxa"/>
            <w:vAlign w:val="bottom"/>
          </w:tcPr>
          <w:p>
            <w:pPr>
              <w:ind w:left="20"/>
              <w:spacing w:after="0" w:line="149" w:lineRule="exact"/>
              <w:rPr>
                <w:sz w:val="20"/>
                <w:szCs w:val="20"/>
                <w:color w:val="auto"/>
              </w:rPr>
            </w:pPr>
            <w:r>
              <w:rPr>
                <w:rFonts w:ascii="Arial" w:cs="Arial" w:eastAsia="Arial" w:hAnsi="Arial"/>
                <w:sz w:val="14"/>
                <w:szCs w:val="14"/>
                <w:color w:val="auto"/>
                <w:w w:val="94"/>
              </w:rPr>
              <w:t>X “catch-up” + (20% x (Pre-Incentive Fee Net Investment Income - 2.9167%))</w:t>
            </w:r>
          </w:p>
        </w:tc>
      </w:tr>
      <w:tr>
        <w:trPr>
          <w:trHeight w:val="160"/>
        </w:trPr>
        <w:tc>
          <w:tcPr>
            <w:tcW w:w="980" w:type="dxa"/>
            <w:vAlign w:val="bottom"/>
          </w:tcPr>
          <w:p>
            <w:pPr>
              <w:spacing w:after="0"/>
              <w:rPr>
                <w:sz w:val="20"/>
                <w:szCs w:val="20"/>
                <w:color w:val="auto"/>
              </w:rPr>
            </w:pPr>
            <w:r>
              <w:rPr>
                <w:rFonts w:ascii="Arial" w:cs="Arial" w:eastAsia="Arial" w:hAnsi="Arial"/>
                <w:sz w:val="14"/>
                <w:szCs w:val="14"/>
                <w:color w:val="auto"/>
              </w:rPr>
              <w:t>Catch-up</w:t>
            </w:r>
          </w:p>
        </w:tc>
        <w:tc>
          <w:tcPr>
            <w:tcW w:w="5220" w:type="dxa"/>
            <w:vAlign w:val="bottom"/>
            <w:gridSpan w:val="2"/>
          </w:tcPr>
          <w:p>
            <w:pPr>
              <w:ind w:left="260"/>
              <w:spacing w:after="0"/>
              <w:rPr>
                <w:sz w:val="20"/>
                <w:szCs w:val="20"/>
                <w:color w:val="auto"/>
              </w:rPr>
            </w:pPr>
            <w:r>
              <w:rPr>
                <w:rFonts w:ascii="Arial" w:cs="Arial" w:eastAsia="Arial" w:hAnsi="Arial"/>
                <w:sz w:val="14"/>
                <w:szCs w:val="14"/>
                <w:color w:val="auto"/>
              </w:rPr>
              <w:t>= 2.9167% - 1.75%</w:t>
            </w:r>
          </w:p>
        </w:tc>
      </w:tr>
    </w:tbl>
    <w:p>
      <w:pPr>
        <w:ind w:left="2480" w:hanging="110"/>
        <w:spacing w:after="0" w:line="221" w:lineRule="auto"/>
        <w:tabs>
          <w:tab w:leader="none" w:pos="24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1.1667%</w:t>
      </w:r>
    </w:p>
    <w:p>
      <w:pPr>
        <w:ind w:left="2480" w:hanging="110"/>
        <w:spacing w:after="0" w:line="221" w:lineRule="auto"/>
        <w:tabs>
          <w:tab w:leader="none" w:pos="24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(50% X 1.1667%) + (20% X (3.55% - 2.9167%))</w:t>
      </w:r>
    </w:p>
    <w:p>
      <w:pPr>
        <w:ind w:left="2480" w:hanging="110"/>
        <w:spacing w:after="0" w:line="221" w:lineRule="auto"/>
        <w:tabs>
          <w:tab w:leader="none" w:pos="24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0.5833% + (20% X 0.6333%)</w:t>
      </w:r>
    </w:p>
    <w:p>
      <w:pPr>
        <w:ind w:left="2480" w:hanging="110"/>
        <w:spacing w:after="0" w:line="221" w:lineRule="auto"/>
        <w:tabs>
          <w:tab w:leader="none" w:pos="24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0.5833% + 0.1267%</w:t>
      </w:r>
    </w:p>
    <w:p>
      <w:pPr>
        <w:ind w:left="2480" w:hanging="110"/>
        <w:spacing w:after="0"/>
        <w:tabs>
          <w:tab w:leader="none" w:pos="2480" w:val="left"/>
        </w:tabs>
        <w:numPr>
          <w:ilvl w:val="1"/>
          <w:numId w:val="22"/>
        </w:numPr>
        <w:rPr>
          <w:rFonts w:ascii="Arial" w:cs="Arial" w:eastAsia="Arial" w:hAnsi="Arial"/>
          <w:sz w:val="14"/>
          <w:szCs w:val="14"/>
          <w:color w:val="auto"/>
        </w:rPr>
      </w:pPr>
      <w:r>
        <w:rPr>
          <w:rFonts w:ascii="Arial" w:cs="Arial" w:eastAsia="Arial" w:hAnsi="Arial"/>
          <w:sz w:val="14"/>
          <w:szCs w:val="14"/>
          <w:color w:val="auto"/>
        </w:rPr>
        <w:t>0.71%</w:t>
      </w:r>
    </w:p>
    <w:p>
      <w:pPr>
        <w:spacing w:after="0" w:line="16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3455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380" w:hanging="372"/>
        <w:spacing w:after="0" w:line="221" w:lineRule="auto"/>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Represents 1.0% annualized base management fee.</w:t>
      </w:r>
    </w:p>
    <w:p>
      <w:pPr>
        <w:ind w:left="380" w:right="200" w:hanging="372"/>
        <w:spacing w:after="0" w:line="237" w:lineRule="auto"/>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1: $20 million investment made in Company A (“Investment A”), and $30 million investment made in Company B (“Investment B”)</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2: Investment A sold for $50 million and fair market value (“FMV”) of Investment B determined to be $32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3: FMV of Investment B determined to be $25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4: Investment B sold for $31 million</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1: None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2: $6 million capital gains incentive fee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$30 million realized capital gains on sale of Investment A multiplied by 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3: None</w:t>
      </w:r>
    </w:p>
    <w:p>
      <w:pPr>
        <w:spacing w:after="0" w:line="123" w:lineRule="exact"/>
        <w:rPr>
          <w:sz w:val="20"/>
          <w:szCs w:val="20"/>
          <w:color w:val="auto"/>
        </w:rPr>
      </w:pPr>
    </w:p>
    <w:p>
      <w:pPr>
        <w:ind w:left="160"/>
        <w:spacing w:after="0" w:line="253" w:lineRule="auto"/>
        <w:rPr>
          <w:sz w:val="20"/>
          <w:szCs w:val="20"/>
          <w:color w:val="auto"/>
        </w:rPr>
      </w:pPr>
      <w:r>
        <w:rPr>
          <w:rFonts w:ascii="Arial" w:cs="Arial" w:eastAsia="Arial" w:hAnsi="Arial"/>
          <w:sz w:val="14"/>
          <w:szCs w:val="14"/>
          <w:color w:val="auto"/>
        </w:rPr>
        <w:t>$5 million cumulative fee (20% multiplied by $25 million ($30 million cumulative capital gains less $5 million cumulative capital depreciation)) less $6 million (previous capital gains fee paid in Year 2)</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4: $200,000 capital gains incentive fee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$6.2 million cumulative fee ($31 million cumulative realized capital gains multiplied by 20%) less $6 million (previous capital gains fee paid in Year 2).</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right="520"/>
        <w:spacing w:after="0" w:line="253" w:lineRule="auto"/>
        <w:rPr>
          <w:sz w:val="20"/>
          <w:szCs w:val="20"/>
          <w:color w:val="auto"/>
        </w:rPr>
      </w:pPr>
      <w:r>
        <w:rPr>
          <w:rFonts w:ascii="Arial" w:cs="Arial" w:eastAsia="Arial" w:hAnsi="Arial"/>
          <w:sz w:val="14"/>
          <w:szCs w:val="14"/>
          <w:color w:val="auto"/>
        </w:rPr>
        <w:t>Year 1: $20 million investment made in Company A (“Investment A”), $30 million investment made in Company B (“Investment B”) and $25 million investment made in Company C (“Investment C”)</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2: Investment A sold for $50 million, FMV of Investment B determined to be $25 million and FMV of Investment C determined to be $25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3: FMV of Investment B determined to be $27 million and Investment C sold for $30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4: FMV of Investment B determined to be $35 million</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5: Investment B sold for $20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1: None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2: $5 million capital gains incentive fee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13" w:name="page14"/>
    <w:bookmarkEnd w:id="13"/>
    <w:p>
      <w:pPr>
        <w:ind w:left="160"/>
        <w:spacing w:after="0"/>
        <w:rPr>
          <w:sz w:val="20"/>
          <w:szCs w:val="20"/>
          <w:color w:val="auto"/>
        </w:rPr>
      </w:pPr>
      <w:r>
        <w:rPr>
          <w:rFonts w:ascii="Arial" w:cs="Arial" w:eastAsia="Arial" w:hAnsi="Arial"/>
          <w:sz w:val="14"/>
          <w:szCs w:val="14"/>
          <w:color w:val="auto"/>
        </w:rPr>
        <w:t>20% multiplied by $25 million ($30 million realized capital gains on sale of Investment A less $5 million unrealized capital depreciation on Investment B)</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Year 3: $1.4 million capital gains incentive fee </w:t>
      </w:r>
      <w:r>
        <w:rPr>
          <w:rFonts w:ascii="Arial" w:cs="Arial" w:eastAsia="Arial" w:hAnsi="Arial"/>
          <w:sz w:val="12"/>
          <w:szCs w:val="12"/>
          <w:color w:val="auto"/>
        </w:rPr>
        <w:t>(1)</w:t>
      </w:r>
    </w:p>
    <w:p>
      <w:pPr>
        <w:spacing w:after="0" w:line="136" w:lineRule="exact"/>
        <w:rPr>
          <w:sz w:val="20"/>
          <w:szCs w:val="20"/>
          <w:color w:val="auto"/>
        </w:rPr>
      </w:pPr>
    </w:p>
    <w:p>
      <w:pPr>
        <w:ind w:left="160" w:right="300"/>
        <w:spacing w:after="0" w:line="253" w:lineRule="auto"/>
        <w:rPr>
          <w:sz w:val="20"/>
          <w:szCs w:val="20"/>
          <w:color w:val="auto"/>
        </w:rPr>
      </w:pPr>
      <w:r>
        <w:rPr>
          <w:rFonts w:ascii="Arial" w:cs="Arial" w:eastAsia="Arial" w:hAnsi="Arial"/>
          <w:sz w:val="14"/>
          <w:szCs w:val="14"/>
          <w:color w:val="auto"/>
        </w:rPr>
        <w:t>$6.4 million cumulative fee (20% multiplied by $32 million ($35 million cumulative realized capital gains less $3 million unrealized capital depreciation)) less $5 million (previous capital gains fee paid in Year 2)</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4: $0.6 million capital gains incentive fee</w:t>
      </w:r>
    </w:p>
    <w:p>
      <w:pPr>
        <w:spacing w:after="0" w:line="123" w:lineRule="exact"/>
        <w:rPr>
          <w:sz w:val="20"/>
          <w:szCs w:val="20"/>
          <w:color w:val="auto"/>
        </w:rPr>
      </w:pPr>
    </w:p>
    <w:p>
      <w:pPr>
        <w:ind w:left="160" w:right="200"/>
        <w:spacing w:after="0" w:line="253" w:lineRule="auto"/>
        <w:rPr>
          <w:sz w:val="20"/>
          <w:szCs w:val="20"/>
          <w:color w:val="auto"/>
        </w:rPr>
      </w:pPr>
      <w:r>
        <w:rPr>
          <w:rFonts w:ascii="Arial" w:cs="Arial" w:eastAsia="Arial" w:hAnsi="Arial"/>
          <w:sz w:val="14"/>
          <w:szCs w:val="14"/>
          <w:color w:val="auto"/>
        </w:rPr>
        <w:t>$7 million cumulative fee (20% multiplied by $35 million ($35 million cumulative realized capital gains without regard to $5 million of unrealized appreciation)) less $6.4 million (previous cumulative capital gains fee paid in Year 2 of $5 million and Year 3 of $1.4 million)</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5: None</w:t>
      </w:r>
    </w:p>
    <w:p>
      <w:pPr>
        <w:spacing w:after="0" w:line="136" w:lineRule="exact"/>
        <w:rPr>
          <w:sz w:val="20"/>
          <w:szCs w:val="20"/>
          <w:color w:val="auto"/>
        </w:rPr>
      </w:pPr>
    </w:p>
    <w:p>
      <w:pPr>
        <w:ind w:left="160" w:right="420"/>
        <w:spacing w:after="0" w:line="253" w:lineRule="auto"/>
        <w:rPr>
          <w:sz w:val="20"/>
          <w:szCs w:val="20"/>
          <w:color w:val="auto"/>
        </w:rPr>
      </w:pPr>
      <w:r>
        <w:rPr>
          <w:rFonts w:ascii="Arial" w:cs="Arial" w:eastAsia="Arial" w:hAnsi="Arial"/>
          <w:sz w:val="14"/>
          <w:szCs w:val="14"/>
          <w:color w:val="auto"/>
        </w:rPr>
        <w:t>$7 million cumulative fee (20% multiplied by $35 million ($35 million cumulative realized capital gains without regard to $10 million realized capital losses in subsequent year)) less $7 million (previous cumulative capital gains fee paid in Years 2, 3 and Year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3455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40" w:lineRule="exact"/>
        <w:rPr>
          <w:sz w:val="20"/>
          <w:szCs w:val="20"/>
          <w:color w:val="auto"/>
        </w:rPr>
      </w:pPr>
    </w:p>
    <w:p>
      <w:pPr>
        <w:ind w:left="380" w:right="20" w:hanging="372"/>
        <w:spacing w:after="0" w:line="253" w:lineRule="auto"/>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As illustrated in Year 3 of Alternative 2 above, if we were to be wound up on a date other than December 31 of any year after year 3, we may have paid aggregate capital gain incentive fees that are more than the amount of such fees that would be payable if we had been wound up on December 31 of such year.</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123" w:lineRule="exact"/>
        <w:rPr>
          <w:sz w:val="20"/>
          <w:szCs w:val="20"/>
          <w:color w:val="auto"/>
        </w:rPr>
      </w:pPr>
    </w:p>
    <w:p>
      <w:pPr>
        <w:ind w:right="680" w:firstLine="438"/>
        <w:spacing w:after="0" w:line="253"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Investment Management Agreement</w:t>
      </w:r>
    </w:p>
    <w:p>
      <w:pPr>
        <w:spacing w:after="0" w:line="136"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The Investment Management Agreement was reapproved by our board of directors, including a majority of our directors who are not interested persons of us or the Investment Adviser, in February 2021. Unless terminated earlier as described below, the Investment Management Agreement will continue in effect for a period of one year through February 2022.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00"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Administration Agreement</w:t>
      </w:r>
    </w:p>
    <w:p>
      <w:pPr>
        <w:spacing w:after="0" w:line="136"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years ended September 30, 2021, 2020 and 2019, we reimbursed the Investment Adviser approximately $1.1 million, $1.6 million and $1.9 million, respectively, including expenses the Investment Adviser incurred on behalf of the Administrator, for services described above.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Administration Agreement</w:t>
      </w:r>
    </w:p>
    <w:p>
      <w:pPr>
        <w:spacing w:after="0" w:line="136"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The Administration Agreement was reapproved by our board of directors, including a majority of our directors who are not interested persons of us, in February 2021. Unless terminated earlier as described below, our Administration Agreement will continue in effect for a period of one year through February 2022.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136" w:lineRule="exact"/>
        <w:rPr>
          <w:sz w:val="20"/>
          <w:szCs w:val="20"/>
          <w:color w:val="auto"/>
        </w:rPr>
      </w:pPr>
    </w:p>
    <w:p>
      <w:pPr>
        <w:ind w:right="260" w:firstLine="438"/>
        <w:spacing w:after="0" w:line="251"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w:t>
      </w:r>
    </w:p>
    <w:p>
      <w:pPr>
        <w:spacing w:after="0" w:line="123"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i w:val="1"/>
          <w:iCs w:val="1"/>
          <w:color w:val="auto"/>
        </w:rPr>
        <w:t>PennantPark Senior Secured Loan Fund I LLC</w:t>
      </w:r>
    </w:p>
    <w:p>
      <w:pPr>
        <w:spacing w:after="0" w:line="13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September 30, 2021, PSSL had total assets of $603.6 million. As of the same date, we and Kemper had remaining commitments to fund first lien secured debt and equity interests in PSSL in an aggregate of $48.0 million. PSSL’s portfolio consisted of debt investments in 74 portfolio companies as of September 30, 2021. As of September 30, 2021, at fair value, the largest investment in a single portfolio company in PSSL was $18.9 million and the five largest investments totaled $84.3 million. PSSL invests in portfolio companies in the same industries in which we may directly invest.</w:t>
      </w:r>
    </w:p>
    <w:p>
      <w:pPr>
        <w:spacing w:after="0" w:line="11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September 30, 2021 and 2020, we and Kemper owned 87.5% and 12.5%, respectively, of each of the outstanding first lien secured debt and equity interests. As of the same dates, our investment made in PSSL consisted of first lien secured debt of $140.9 million (additional $29.4 million unfunded) and $125.4 million (additional $15.5 million unfunded), respectively, and equity interests of $60.4 million (additional $12.6 million unfunded) and $53.7 million (additional $6.6 million unfunded),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Development Company and Regulated Investment Company Regulations</w:t>
      </w:r>
    </w:p>
    <w:p>
      <w:pPr>
        <w:spacing w:after="0" w:line="13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94"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Qualifying Assets</w:t>
      </w:r>
    </w:p>
    <w:p>
      <w:pPr>
        <w:spacing w:after="0" w:line="136" w:lineRule="exact"/>
        <w:rPr>
          <w:sz w:val="20"/>
          <w:szCs w:val="20"/>
          <w:color w:val="auto"/>
        </w:rPr>
      </w:pPr>
    </w:p>
    <w:p>
      <w:pPr>
        <w:ind w:firstLine="438"/>
        <w:spacing w:after="0" w:line="290" w:lineRule="auto"/>
        <w:rPr>
          <w:sz w:val="20"/>
          <w:szCs w:val="20"/>
          <w:color w:val="auto"/>
        </w:rPr>
      </w:pPr>
      <w:r>
        <w:rPr>
          <w:rFonts w:ascii="Arial" w:cs="Arial" w:eastAsia="Arial" w:hAnsi="Arial"/>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71" w:lineRule="exact"/>
        <w:rPr>
          <w:sz w:val="20"/>
          <w:szCs w:val="20"/>
          <w:color w:val="auto"/>
        </w:rPr>
      </w:pPr>
    </w:p>
    <w:p>
      <w:pPr>
        <w:ind w:left="920" w:right="20" w:hanging="359"/>
        <w:spacing w:after="0" w:line="238" w:lineRule="auto"/>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115" w:lineRule="exact"/>
        <w:rPr>
          <w:rFonts w:ascii="Arial" w:cs="Arial" w:eastAsia="Arial" w:hAnsi="Arial"/>
          <w:sz w:val="14"/>
          <w:szCs w:val="14"/>
          <w:color w:val="auto"/>
        </w:rPr>
      </w:pPr>
    </w:p>
    <w:p>
      <w:pPr>
        <w:ind w:left="1480" w:hanging="365"/>
        <w:spacing w:after="0"/>
        <w:tabs>
          <w:tab w:leader="none" w:pos="1480" w:val="left"/>
        </w:tabs>
        <w:numPr>
          <w:ilvl w:val="1"/>
          <w:numId w:val="25"/>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136" w:lineRule="exact"/>
        <w:rPr>
          <w:rFonts w:ascii="Arial" w:cs="Arial" w:eastAsia="Arial" w:hAnsi="Arial"/>
          <w:sz w:val="14"/>
          <w:szCs w:val="14"/>
          <w:color w:val="auto"/>
        </w:rPr>
      </w:pPr>
    </w:p>
    <w:p>
      <w:pPr>
        <w:ind w:left="1480" w:right="100" w:hanging="365"/>
        <w:spacing w:after="0" w:line="253" w:lineRule="auto"/>
        <w:tabs>
          <w:tab w:leader="none" w:pos="1480" w:val="left"/>
        </w:tabs>
        <w:numPr>
          <w:ilvl w:val="1"/>
          <w:numId w:val="25"/>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06" w:lineRule="exact"/>
        <w:rPr>
          <w:rFonts w:ascii="Arial" w:cs="Arial" w:eastAsia="Arial" w:hAnsi="Arial"/>
          <w:sz w:val="14"/>
          <w:szCs w:val="14"/>
          <w:color w:val="auto"/>
        </w:rPr>
      </w:pPr>
    </w:p>
    <w:p>
      <w:pPr>
        <w:ind w:left="1480" w:hanging="365"/>
        <w:spacing w:after="0"/>
        <w:tabs>
          <w:tab w:leader="none" w:pos="1480" w:val="left"/>
        </w:tabs>
        <w:numPr>
          <w:ilvl w:val="1"/>
          <w:numId w:val="25"/>
        </w:numPr>
        <w:rPr>
          <w:rFonts w:ascii="Arial" w:cs="Arial" w:eastAsia="Arial" w:hAnsi="Arial"/>
          <w:sz w:val="14"/>
          <w:szCs w:val="14"/>
          <w:color w:val="auto"/>
        </w:rPr>
      </w:pPr>
      <w:r>
        <w:rPr>
          <w:rFonts w:ascii="Arial" w:cs="Arial" w:eastAsia="Arial" w:hAnsi="Arial"/>
          <w:sz w:val="14"/>
          <w:szCs w:val="14"/>
          <w:color w:val="auto"/>
        </w:rPr>
        <w:t>satisfies any of the following:</w:t>
      </w:r>
    </w:p>
    <w:p>
      <w:pPr>
        <w:spacing w:after="0" w:line="136" w:lineRule="exact"/>
        <w:rPr>
          <w:rFonts w:ascii="Arial" w:cs="Arial" w:eastAsia="Arial" w:hAnsi="Arial"/>
          <w:sz w:val="14"/>
          <w:szCs w:val="14"/>
          <w:color w:val="auto"/>
        </w:rPr>
      </w:pPr>
    </w:p>
    <w:p>
      <w:pPr>
        <w:ind w:left="2040" w:hanging="372"/>
        <w:spacing w:after="0"/>
        <w:tabs>
          <w:tab w:leader="none" w:pos="2040" w:val="left"/>
        </w:tabs>
        <w:numPr>
          <w:ilvl w:val="2"/>
          <w:numId w:val="25"/>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203" w:lineRule="exact"/>
        <w:rPr>
          <w:rFonts w:ascii="Arial" w:cs="Arial" w:eastAsia="Arial" w:hAnsi="Arial"/>
          <w:sz w:val="14"/>
          <w:szCs w:val="14"/>
          <w:color w:val="auto"/>
        </w:rPr>
      </w:pPr>
    </w:p>
    <w:p>
      <w:pPr>
        <w:ind w:left="2040" w:hanging="372"/>
        <w:spacing w:after="0"/>
        <w:tabs>
          <w:tab w:leader="none" w:pos="2040" w:val="left"/>
        </w:tabs>
        <w:numPr>
          <w:ilvl w:val="2"/>
          <w:numId w:val="25"/>
        </w:numPr>
        <w:rPr>
          <w:rFonts w:ascii="Arial" w:cs="Arial" w:eastAsia="Arial" w:hAnsi="Arial"/>
          <w:sz w:val="14"/>
          <w:szCs w:val="14"/>
          <w:color w:val="auto"/>
        </w:rPr>
      </w:pPr>
      <w:r>
        <w:rPr>
          <w:rFonts w:ascii="Arial" w:cs="Arial" w:eastAsia="Arial" w:hAnsi="Arial"/>
          <w:sz w:val="14"/>
          <w:szCs w:val="14"/>
          <w:color w:val="auto"/>
        </w:rPr>
        <w:t>has any class of securities listed on a national securities exchange subject to a maximum market capitalization of $250.0 million; or</w:t>
      </w:r>
    </w:p>
    <w:p>
      <w:pPr>
        <w:spacing w:after="0" w:line="203" w:lineRule="exact"/>
        <w:rPr>
          <w:rFonts w:ascii="Arial" w:cs="Arial" w:eastAsia="Arial" w:hAnsi="Arial"/>
          <w:sz w:val="14"/>
          <w:szCs w:val="14"/>
          <w:color w:val="auto"/>
        </w:rPr>
      </w:pPr>
    </w:p>
    <w:p>
      <w:pPr>
        <w:ind w:left="2040" w:right="360" w:hanging="372"/>
        <w:spacing w:after="0" w:line="290" w:lineRule="auto"/>
        <w:tabs>
          <w:tab w:leader="none" w:pos="2040" w:val="left"/>
        </w:tabs>
        <w:numPr>
          <w:ilvl w:val="2"/>
          <w:numId w:val="25"/>
        </w:numPr>
        <w:rPr>
          <w:rFonts w:ascii="Arial" w:cs="Arial" w:eastAsia="Arial" w:hAnsi="Arial"/>
          <w:sz w:val="13"/>
          <w:szCs w:val="13"/>
          <w:color w:val="auto"/>
        </w:rPr>
      </w:pPr>
      <w:r>
        <w:rPr>
          <w:rFonts w:ascii="Arial" w:cs="Arial" w:eastAsia="Arial" w:hAnsi="Arial"/>
          <w:sz w:val="13"/>
          <w:szCs w:val="13"/>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84" w:lineRule="exact"/>
        <w:rPr>
          <w:rFonts w:ascii="Arial" w:cs="Arial" w:eastAsia="Arial" w:hAnsi="Arial"/>
          <w:sz w:val="13"/>
          <w:szCs w:val="13"/>
          <w:color w:val="auto"/>
        </w:rPr>
      </w:pPr>
    </w:p>
    <w:p>
      <w:pPr>
        <w:ind w:left="920" w:hanging="359"/>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136" w:lineRule="exact"/>
        <w:rPr>
          <w:rFonts w:ascii="Arial" w:cs="Arial" w:eastAsia="Arial" w:hAnsi="Arial"/>
          <w:sz w:val="14"/>
          <w:szCs w:val="14"/>
          <w:color w:val="auto"/>
        </w:rPr>
      </w:pPr>
    </w:p>
    <w:p>
      <w:pPr>
        <w:ind w:left="920" w:right="160" w:hanging="359"/>
        <w:spacing w:after="0" w:line="238" w:lineRule="auto"/>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15" w:lineRule="exact"/>
        <w:rPr>
          <w:rFonts w:ascii="Arial" w:cs="Arial" w:eastAsia="Arial" w:hAnsi="Arial"/>
          <w:sz w:val="14"/>
          <w:szCs w:val="14"/>
          <w:color w:val="auto"/>
        </w:rPr>
      </w:pPr>
    </w:p>
    <w:p>
      <w:pPr>
        <w:ind w:left="920" w:right="100" w:hanging="359"/>
        <w:spacing w:after="0" w:line="253" w:lineRule="auto"/>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readily available market for such securities and we already own 60% of the outstanding equity of the eligible portfolio company.</w:t>
      </w:r>
    </w:p>
    <w:p>
      <w:pPr>
        <w:spacing w:after="0" w:line="106" w:lineRule="exact"/>
        <w:rPr>
          <w:rFonts w:ascii="Arial" w:cs="Arial" w:eastAsia="Arial" w:hAnsi="Arial"/>
          <w:sz w:val="14"/>
          <w:szCs w:val="14"/>
          <w:color w:val="auto"/>
        </w:rPr>
      </w:pPr>
    </w:p>
    <w:p>
      <w:pPr>
        <w:ind w:left="920" w:right="220" w:hanging="359"/>
        <w:spacing w:after="0" w:line="253" w:lineRule="auto"/>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Securities received in exchange for or distributed on or with respect to securities described in (1) through (4) above, or pursuant to the exercise of warrants or rights relating to such securities.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136"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 to Portfolio Companies</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As a BDC, we are required to make available significant managerial assistance to our portfolio companies that constitute a qualifying asset within the meaning of Section 2(a)(47) of the 1940 Act.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50" w:right="379" w:bottom="1440" w:gutter="0" w:footer="0" w:header="0"/>
        </w:sectPr>
      </w:pPr>
    </w:p>
    <w:bookmarkStart w:id="15" w:name="page16"/>
    <w:bookmarkEnd w:id="15"/>
    <w:p>
      <w:pPr>
        <w:ind w:right="440"/>
        <w:spacing w:after="0" w:line="253" w:lineRule="auto"/>
        <w:rPr>
          <w:sz w:val="20"/>
          <w:szCs w:val="20"/>
          <w:color w:val="auto"/>
        </w:rPr>
      </w:pPr>
      <w:r>
        <w:rPr>
          <w:rFonts w:ascii="Arial" w:cs="Arial" w:eastAsia="Arial" w:hAnsi="Arial"/>
          <w:sz w:val="14"/>
          <w:szCs w:val="14"/>
          <w:color w:val="auto"/>
        </w:rPr>
        <w:t>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Temporary Investments</w:t>
      </w:r>
    </w:p>
    <w:p>
      <w:pPr>
        <w:spacing w:after="0" w:line="136" w:lineRule="exact"/>
        <w:rPr>
          <w:sz w:val="20"/>
          <w:szCs w:val="20"/>
          <w:color w:val="auto"/>
        </w:rPr>
      </w:pPr>
    </w:p>
    <w:p>
      <w:pPr>
        <w:ind w:right="20" w:firstLine="438"/>
        <w:spacing w:after="0" w:line="245" w:lineRule="auto"/>
        <w:rPr>
          <w:sz w:val="20"/>
          <w:szCs w:val="20"/>
          <w:color w:val="auto"/>
        </w:rPr>
      </w:pPr>
      <w:r>
        <w:rPr>
          <w:rFonts w:ascii="Arial" w:cs="Arial" w:eastAsia="Arial" w:hAnsi="Arial"/>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“Regulation—Election to be Treated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Securities</w:t>
      </w:r>
    </w:p>
    <w:p>
      <w:pPr>
        <w:spacing w:after="0" w:line="123"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Joint Code of Ethics and Code of Conduct</w:t>
      </w:r>
    </w:p>
    <w:p>
      <w:pPr>
        <w:spacing w:after="0" w:line="136" w:lineRule="exact"/>
        <w:rPr>
          <w:sz w:val="20"/>
          <w:szCs w:val="20"/>
          <w:color w:val="auto"/>
        </w:rPr>
      </w:pPr>
    </w:p>
    <w:p>
      <w:pPr>
        <w:ind w:right="180" w:firstLine="438"/>
        <w:spacing w:after="0" w:line="251" w:lineRule="auto"/>
        <w:rPr>
          <w:sz w:val="20"/>
          <w:szCs w:val="20"/>
          <w:color w:val="auto"/>
        </w:rPr>
      </w:pPr>
      <w:r>
        <w:rPr>
          <w:rFonts w:ascii="Arial" w:cs="Arial" w:eastAsia="Arial" w:hAnsi="Arial"/>
          <w:sz w:val="13"/>
          <w:szCs w:val="13"/>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 addition, the joint code of ethics is attached as an exhibit to this Report and is available on the EDGAR Database on the SEC’s Internet website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You may also obtain a copy of our joint code of ethics, after paying a duplicating fee, by electronic request at the following email address:</w:t>
      </w:r>
      <w:r>
        <w:rPr>
          <w:rFonts w:ascii="Arial" w:cs="Arial" w:eastAsia="Arial" w:hAnsi="Arial"/>
          <w:sz w:val="13"/>
          <w:szCs w:val="13"/>
          <w:i w:val="1"/>
          <w:iCs w:val="1"/>
          <w:color w:val="auto"/>
        </w:rPr>
        <w:t xml:space="preserve"> </w:t>
      </w:r>
      <w:r>
        <w:rPr>
          <w:rFonts w:ascii="Arial" w:cs="Arial" w:eastAsia="Arial" w:hAnsi="Arial"/>
          <w:sz w:val="13"/>
          <w:szCs w:val="13"/>
          <w:i w:val="1"/>
          <w:iCs w:val="1"/>
          <w:u w:val="single" w:color="auto"/>
          <w:color w:val="auto"/>
        </w:rPr>
        <w:t>publicinfo@sec.gov</w:t>
      </w:r>
      <w:r>
        <w:rPr>
          <w:rFonts w:ascii="Arial" w:cs="Arial" w:eastAsia="Arial" w:hAnsi="Arial"/>
          <w:sz w:val="13"/>
          <w:szCs w:val="13"/>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Proxy Voting Policies and Procedures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Introduction</w:t>
      </w:r>
    </w:p>
    <w:p>
      <w:pPr>
        <w:spacing w:after="0" w:line="123"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Proxy Policies</w:t>
      </w:r>
    </w:p>
    <w:p>
      <w:pPr>
        <w:spacing w:after="0" w:line="123"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15"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Proxy Voting Records</w:t>
      </w:r>
    </w:p>
    <w:p>
      <w:pPr>
        <w:spacing w:after="0" w:line="123"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You may obtain information about how we voted proxies, free of charge, by calling us collect at (212) 905-1000 or by making a written request for proxy voting information to: Richard Cheung, Chief Financial Officer and Treasurer, 590 Madison Avenue, 15th Floor, New York, New York 10022.</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Privacy Protection Principles</w:t>
      </w:r>
    </w:p>
    <w:p>
      <w:pPr>
        <w:spacing w:after="0" w:line="123"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0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 restrict access to non-public personal information about our stockholders to employees of our Investment Adviser and its affiliates with a legitimate business need for the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We maintain physical, electronic and procedural safeguards designed to protect the non-public personal information of our stockholders.</w:t>
      </w:r>
    </w:p>
    <w:p>
      <w:pPr>
        <w:spacing w:after="0" w:line="111"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 xml:space="preserve">Our privacy protection policies are available, free of charge, on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In addition, the privacy policy is available on the EDGAR Database on the SEC’s Internet website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filed as an exhibit to our annual report on Form 10-K (File No. 814-00891) filed on November 17, 2011.</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w:t>
      </w:r>
    </w:p>
    <w:p>
      <w:pPr>
        <w:spacing w:after="0" w:line="136"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6" w:name="page17"/>
    <w:bookmarkEnd w:id="16"/>
    <w:p>
      <w:pPr>
        <w:ind w:left="440"/>
        <w:spacing w:after="0"/>
        <w:rPr>
          <w:sz w:val="20"/>
          <w:szCs w:val="20"/>
          <w:color w:val="auto"/>
        </w:rPr>
      </w:pPr>
      <w:r>
        <w:rPr>
          <w:rFonts w:ascii="Arial" w:cs="Arial" w:eastAsia="Arial" w:hAnsi="Arial"/>
          <w:sz w:val="14"/>
          <w:szCs w:val="14"/>
          <w:color w:val="auto"/>
        </w:rPr>
        <w:t>We will be periodically examined by the SEC for compliance with the 1940 Act.</w:t>
      </w:r>
    </w:p>
    <w:p>
      <w:pPr>
        <w:spacing w:after="0" w:line="123"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15" w:lineRule="exact"/>
        <w:rPr>
          <w:sz w:val="20"/>
          <w:szCs w:val="20"/>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Sarbanes-Oxley Act of 2002</w:t>
      </w:r>
    </w:p>
    <w:p>
      <w:pPr>
        <w:spacing w:after="0" w:line="123"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The Sarbanes-Oxley Act of 2002, as amended, or the Sarbanes-Oxley Act, imposes several regulatory requirements on publicly held companies and their insiders. Many of these requirements affect us.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For example:</w:t>
      </w:r>
    </w:p>
    <w:p>
      <w:pPr>
        <w:spacing w:after="0" w:line="136" w:lineRule="exact"/>
        <w:rPr>
          <w:sz w:val="20"/>
          <w:szCs w:val="20"/>
          <w:color w:val="auto"/>
        </w:rPr>
      </w:pPr>
    </w:p>
    <w:p>
      <w:pPr>
        <w:ind w:left="920" w:right="360" w:hanging="359"/>
        <w:spacing w:after="0" w:line="253" w:lineRule="auto"/>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pursuant to Rule 13a-15 of the Exchange Act, our management must prepare an annual report regarding its assessment of our internal controls over financial reporting; and</w:t>
      </w:r>
    </w:p>
    <w:p>
      <w:pPr>
        <w:spacing w:after="0" w:line="215" w:lineRule="exact"/>
        <w:rPr>
          <w:rFonts w:ascii="Arial" w:cs="Arial" w:eastAsia="Arial" w:hAnsi="Arial"/>
          <w:sz w:val="13"/>
          <w:szCs w:val="13"/>
          <w:color w:val="auto"/>
        </w:rPr>
      </w:pPr>
    </w:p>
    <w:p>
      <w:pPr>
        <w:jc w:val="both"/>
        <w:ind w:left="920" w:right="140" w:hanging="359"/>
        <w:spacing w:after="0" w:line="238" w:lineRule="auto"/>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15"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to be Treated as a RIC</w:t>
      </w:r>
    </w:p>
    <w:p>
      <w:pPr>
        <w:spacing w:after="0" w:line="136"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123" w:lineRule="exact"/>
        <w:rPr>
          <w:sz w:val="20"/>
          <w:szCs w:val="20"/>
          <w:color w:val="auto"/>
        </w:rPr>
      </w:pPr>
    </w:p>
    <w:p>
      <w:pPr>
        <w:ind w:left="920" w:hanging="359"/>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203" w:lineRule="exact"/>
        <w:rPr>
          <w:rFonts w:ascii="Arial" w:cs="Arial" w:eastAsia="Arial" w:hAnsi="Arial"/>
          <w:sz w:val="14"/>
          <w:szCs w:val="14"/>
          <w:color w:val="auto"/>
        </w:rPr>
      </w:pPr>
    </w:p>
    <w:p>
      <w:pPr>
        <w:ind w:left="920" w:right="100" w:hanging="359"/>
        <w:spacing w:after="0" w:line="238" w:lineRule="auto"/>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115" w:lineRule="exact"/>
        <w:rPr>
          <w:rFonts w:ascii="Arial" w:cs="Arial" w:eastAsia="Arial" w:hAnsi="Arial"/>
          <w:sz w:val="14"/>
          <w:szCs w:val="14"/>
          <w:color w:val="auto"/>
        </w:rPr>
      </w:pPr>
    </w:p>
    <w:p>
      <w:pPr>
        <w:ind w:left="920" w:hanging="359"/>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diversify our holdings, or the Diversification Tests, so that at the end of each quarter of the taxable year:</w:t>
      </w:r>
    </w:p>
    <w:p>
      <w:pPr>
        <w:spacing w:after="0" w:line="203" w:lineRule="exact"/>
        <w:rPr>
          <w:rFonts w:ascii="Arial" w:cs="Arial" w:eastAsia="Arial" w:hAnsi="Arial"/>
          <w:sz w:val="14"/>
          <w:szCs w:val="14"/>
          <w:color w:val="auto"/>
        </w:rPr>
      </w:pPr>
    </w:p>
    <w:p>
      <w:pPr>
        <w:ind w:left="1480" w:hanging="365"/>
        <w:spacing w:after="0" w:line="290" w:lineRule="auto"/>
        <w:tabs>
          <w:tab w:leader="none" w:pos="1480" w:val="left"/>
        </w:tabs>
        <w:numPr>
          <w:ilvl w:val="1"/>
          <w:numId w:val="27"/>
        </w:numPr>
        <w:rPr>
          <w:rFonts w:ascii="Arial" w:cs="Arial" w:eastAsia="Arial" w:hAnsi="Arial"/>
          <w:sz w:val="13"/>
          <w:szCs w:val="13"/>
          <w:color w:val="auto"/>
        </w:rPr>
      </w:pPr>
      <w:r>
        <w:rPr>
          <w:rFonts w:ascii="Arial" w:cs="Arial" w:eastAsia="Arial" w:hAnsi="Arial"/>
          <w:sz w:val="13"/>
          <w:szCs w:val="13"/>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4" w:lineRule="exact"/>
        <w:rPr>
          <w:rFonts w:ascii="Arial" w:cs="Arial" w:eastAsia="Arial" w:hAnsi="Arial"/>
          <w:sz w:val="13"/>
          <w:szCs w:val="13"/>
          <w:color w:val="auto"/>
        </w:rPr>
      </w:pPr>
    </w:p>
    <w:p>
      <w:pPr>
        <w:ind w:left="1480" w:right="140" w:hanging="365"/>
        <w:spacing w:after="0" w:line="238" w:lineRule="auto"/>
        <w:tabs>
          <w:tab w:leader="none" w:pos="14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29"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1" w:lineRule="exact"/>
        <w:rPr>
          <w:sz w:val="20"/>
          <w:szCs w:val="20"/>
          <w:color w:val="auto"/>
        </w:rPr>
      </w:pPr>
    </w:p>
    <w:p>
      <w:pPr>
        <w:jc w:val="both"/>
        <w:ind w:right="200" w:firstLine="438"/>
        <w:spacing w:after="0" w:line="233" w:lineRule="auto"/>
        <w:rPr>
          <w:sz w:val="20"/>
          <w:szCs w:val="20"/>
          <w:color w:val="auto"/>
        </w:rPr>
      </w:pPr>
      <w:r>
        <w:rPr>
          <w:rFonts w:ascii="Arial" w:cs="Arial" w:eastAsia="Arial" w:hAnsi="Arial"/>
          <w:sz w:val="14"/>
          <w:szCs w:val="14"/>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04"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69" w:right="37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i w:val="1"/>
          <w:iCs w:val="1"/>
          <w:color w:val="auto"/>
        </w:rPr>
        <w:t>Taxation as a RIC</w:t>
      </w:r>
    </w:p>
    <w:p>
      <w:pPr>
        <w:spacing w:after="0" w:line="123" w:lineRule="exact"/>
        <w:rPr>
          <w:sz w:val="20"/>
          <w:szCs w:val="20"/>
          <w:color w:val="auto"/>
        </w:rPr>
      </w:pPr>
    </w:p>
    <w:p>
      <w:pPr>
        <w:ind w:right="160" w:firstLine="438"/>
        <w:spacing w:after="0" w:line="231"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16"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1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Gain or loss realized by us from equity securities and warrants acquired by us, as well as any loss attributable to the lapse of such warrants, generally will be treated as capital gain or loss.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Such gain or loss generally will be long-term or short-term, depending on how long we held a particular warrant.</w:t>
      </w:r>
    </w:p>
    <w:p>
      <w:pPr>
        <w:spacing w:after="0" w:line="124"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Qualify as a RIC</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17" w:lineRule="exact"/>
        <w:rPr>
          <w:sz w:val="20"/>
          <w:szCs w:val="20"/>
          <w:color w:val="auto"/>
        </w:rPr>
      </w:pPr>
    </w:p>
    <w:p>
      <w:pPr>
        <w:ind w:right="80" w:firstLine="438"/>
        <w:spacing w:after="0" w:line="244" w:lineRule="auto"/>
        <w:rPr>
          <w:sz w:val="20"/>
          <w:szCs w:val="20"/>
          <w:color w:val="auto"/>
        </w:rPr>
      </w:pPr>
      <w:r>
        <w:rPr>
          <w:rFonts w:ascii="Arial" w:cs="Arial" w:eastAsia="Arial" w:hAnsi="Arial"/>
          <w:sz w:val="13"/>
          <w:szCs w:val="13"/>
          <w:color w:val="auto"/>
        </w:rPr>
        <w:t>If we are unable to maintain our status as a RIC, we also would not be able to deduct distributions to stockholders, nor would distributions be required to be made. Distributions would generally be taxable as dividends to our stockholders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96"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40"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2023 Notes or any securities we may issue, may decline, and you may lose all or part of your investment.</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140" w:lineRule="exact"/>
        <w:rPr>
          <w:sz w:val="20"/>
          <w:szCs w:val="20"/>
          <w:color w:val="auto"/>
        </w:rPr>
      </w:pPr>
    </w:p>
    <w:p>
      <w:pPr>
        <w:ind w:right="300"/>
        <w:spacing w:after="0" w:line="253" w:lineRule="auto"/>
        <w:rPr>
          <w:sz w:val="20"/>
          <w:szCs w:val="20"/>
          <w:color w:val="auto"/>
        </w:rPr>
      </w:pPr>
      <w:r>
        <w:rPr>
          <w:rFonts w:ascii="Arial" w:cs="Arial" w:eastAsia="Arial" w:hAnsi="Arial"/>
          <w:sz w:val="14"/>
          <w:szCs w:val="14"/>
          <w:b w:val="1"/>
          <w:bCs w:val="1"/>
          <w:i w:val="1"/>
          <w:iCs w:val="1"/>
          <w:color w:val="auto"/>
        </w:rPr>
        <w:t>We are subject to various covenants under Funding I’s Credit Facility which, if not complied with, could result in reduced availability and/or mandatory prepayments under Funding I’s Credit Facility, our 2023 Notes, the 2026 Notes and our 2031 Asset-Backed Debt.</w:t>
      </w:r>
    </w:p>
    <w:p>
      <w:pPr>
        <w:spacing w:after="0" w:line="93" w:lineRule="exact"/>
        <w:rPr>
          <w:sz w:val="20"/>
          <w:szCs w:val="20"/>
          <w:color w:val="auto"/>
        </w:rPr>
      </w:pPr>
    </w:p>
    <w:p>
      <w:pPr>
        <w:ind w:firstLine="438"/>
        <w:spacing w:after="0" w:line="241" w:lineRule="auto"/>
        <w:rPr>
          <w:sz w:val="20"/>
          <w:szCs w:val="20"/>
          <w:color w:val="auto"/>
        </w:rPr>
      </w:pPr>
      <w:r>
        <w:rPr>
          <w:rFonts w:ascii="Arial" w:cs="Arial" w:eastAsia="Arial" w:hAnsi="Arial"/>
          <w:sz w:val="13"/>
          <w:szCs w:val="13"/>
          <w:color w:val="auto"/>
        </w:rPr>
        <w:t>In addition to the asset coverage ratio requirements, our Credit Facility contains various covenants applicable to Funding I, which restricts our ability to borrow funds, and the deed of trust governing our 2023 Notes, the indenture governing our 2026 Notes and the indenture governing our 2031 Asset-Backed Debt contain various covenants which, if not complied with, could accelerate repayment of the 2023 Notes, the 2026 Notes and the 2031 Asset-Backed Debt, respectively. For example, the Credit Facility’s income coverage covenant, or test, requires us to maintain a ratio whereby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prevent us from receiving distributions under the payment waterfall. This could materially and adversely affect our liquidity, financial condition and results of operations. Funding I’s borrowings under the Credit Facility are collateralized by the assets in Funding</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I’s investment portfolio. The agreements governing the Credit Facility require Funding I to comply with certain financial and operational covenants. These covenants include:</w:t>
      </w:r>
    </w:p>
    <w:p>
      <w:pPr>
        <w:spacing w:after="0" w:line="124" w:lineRule="exact"/>
        <w:rPr>
          <w:sz w:val="20"/>
          <w:szCs w:val="20"/>
          <w:color w:val="auto"/>
        </w:rPr>
      </w:pPr>
    </w:p>
    <w:p>
      <w:pPr>
        <w:ind w:left="920" w:hanging="359"/>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requirement to retain our status as a RIC;</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requirement to maintain a minimum amount of stockholders’ equity; and</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 of our portfolio.</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8" w:name="page19"/>
    <w:bookmarkEnd w:id="18"/>
    <w:p>
      <w:pPr>
        <w:ind w:right="160" w:firstLine="438"/>
        <w:spacing w:after="0" w:line="231" w:lineRule="auto"/>
        <w:rPr>
          <w:sz w:val="20"/>
          <w:szCs w:val="20"/>
          <w:color w:val="auto"/>
        </w:rPr>
      </w:pPr>
      <w:r>
        <w:rPr>
          <w:rFonts w:ascii="Arial" w:cs="Arial" w:eastAsia="Arial" w:hAnsi="Arial"/>
          <w:sz w:val="14"/>
          <w:szCs w:val="14"/>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in Funding I or to result in the ability of the trustee and our note holders to accelerate amounts due under the deed of trust governing our 2023 Notes, the indenture governing our 2026 Notes or the indenture governing our 2031 Asset-Backed Debt. This could have a material adverse effect on our operations, as it would reduce availability under the Credit Facility and could trigger mandatory prepayment obligations under the terms of the Credit Facility.</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136" w:lineRule="exact"/>
        <w:rPr>
          <w:sz w:val="20"/>
          <w:szCs w:val="20"/>
          <w:color w:val="auto"/>
        </w:rPr>
      </w:pPr>
    </w:p>
    <w:p>
      <w:pPr>
        <w:ind w:right="40" w:firstLine="438"/>
        <w:spacing w:after="0" w:line="226" w:lineRule="auto"/>
        <w:rPr>
          <w:sz w:val="20"/>
          <w:szCs w:val="20"/>
          <w:color w:val="auto"/>
        </w:rPr>
      </w:pPr>
      <w:r>
        <w:rPr>
          <w:rFonts w:ascii="Arial" w:cs="Arial" w:eastAsia="Arial" w:hAnsi="Arial"/>
          <w:sz w:val="14"/>
          <w:szCs w:val="14"/>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1"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136"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06" w:lineRule="exact"/>
        <w:rPr>
          <w:sz w:val="20"/>
          <w:szCs w:val="20"/>
          <w:color w:val="auto"/>
        </w:rPr>
      </w:pPr>
    </w:p>
    <w:p>
      <w:pPr>
        <w:ind w:right="320" w:firstLine="438"/>
        <w:spacing w:after="0" w:line="264" w:lineRule="auto"/>
        <w:rPr>
          <w:sz w:val="20"/>
          <w:szCs w:val="20"/>
          <w:color w:val="auto"/>
        </w:rPr>
      </w:pPr>
      <w:r>
        <w:rPr>
          <w:rFonts w:ascii="Arial" w:cs="Arial" w:eastAsia="Arial" w:hAnsi="Arial"/>
          <w:sz w:val="13"/>
          <w:szCs w:val="13"/>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87"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We make long-term loans and debt investments, which may involve a high degree of repayment risk. Our investments with a deferred interest feature, such as OID income and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adversely affect our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48"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04" w:lineRule="exact"/>
        <w:rPr>
          <w:sz w:val="20"/>
          <w:szCs w:val="20"/>
          <w:color w:val="auto"/>
        </w:rPr>
      </w:pPr>
    </w:p>
    <w:p>
      <w:pPr>
        <w:ind w:right="380" w:firstLine="438"/>
        <w:spacing w:after="0" w:line="253" w:lineRule="auto"/>
        <w:rPr>
          <w:sz w:val="20"/>
          <w:szCs w:val="20"/>
          <w:color w:val="auto"/>
        </w:rPr>
      </w:pPr>
      <w:r>
        <w:rPr>
          <w:rFonts w:ascii="Arial" w:cs="Arial" w:eastAsia="Arial" w:hAnsi="Arial"/>
          <w:sz w:val="14"/>
          <w:szCs w:val="14"/>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106"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106" w:lineRule="exact"/>
        <w:rPr>
          <w:sz w:val="20"/>
          <w:szCs w:val="20"/>
          <w:color w:val="auto"/>
        </w:rPr>
      </w:pPr>
    </w:p>
    <w:p>
      <w:pPr>
        <w:ind w:right="140" w:firstLine="438"/>
        <w:spacing w:after="0" w:line="248" w:lineRule="auto"/>
        <w:rPr>
          <w:sz w:val="20"/>
          <w:szCs w:val="20"/>
          <w:color w:val="auto"/>
        </w:rPr>
      </w:pPr>
      <w:r>
        <w:rPr>
          <w:rFonts w:ascii="Arial" w:cs="Arial" w:eastAsia="Arial" w:hAnsi="Arial"/>
          <w:sz w:val="13"/>
          <w:szCs w:val="13"/>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99"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136"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85" w:right="359" w:bottom="1440" w:gutter="0" w:footer="0" w:header="0"/>
        </w:sectPr>
      </w:pPr>
    </w:p>
    <w:bookmarkStart w:id="19" w:name="page20"/>
    <w:bookmarkEnd w:id="19"/>
    <w:p>
      <w:pPr>
        <w:ind w:right="160"/>
        <w:spacing w:after="0" w:line="238" w:lineRule="auto"/>
        <w:rPr>
          <w:sz w:val="20"/>
          <w:szCs w:val="20"/>
          <w:color w:val="auto"/>
        </w:rPr>
      </w:pPr>
      <w:r>
        <w:rPr>
          <w:rFonts w:ascii="Arial" w:cs="Arial" w:eastAsia="Arial" w:hAnsi="Arial"/>
          <w:sz w:val="14"/>
          <w:szCs w:val="14"/>
          <w:color w:val="auto"/>
        </w:rPr>
        <w:t>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102"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15"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16"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relating to the LIBOR calculation process may adversely affect the value of the LIBOR-indexed, floating-rate debt securities in our portfolio or issued by us.</w:t>
      </w:r>
    </w:p>
    <w:p>
      <w:pPr>
        <w:spacing w:after="0" w:line="136"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In July 2017, the head of the United Kingdom Financial Conduct Authority announced the desire to phase out the use of LIBOR by the end of 2021. At this time, no consensus exists as to what rate or rates will become accepted alternatives to LIBOR, although the U.S. Federal Reserve, in connection with the Alternative Reference Rates Committee, a steering committee comprised of large U.S. financial institutions, is considering replacing U.S. dollar LIBOR with the Secured Overnight Financing Rate (“SOFR”). Given the inherent differences between LIBOR and SOFR, or any other alternative benchmark rate that may be established, there are many uncertainties regarding a transition from LIBOR, including, but not limited to, the need to amend all contracts with LIBOR as the referenced rate and how this will impact the cost of variable rate debt and certain derivative financial instruments. In addition, SOFR or other replacement rates may fail to gain market acceptance. Any failure of SOFR or alternative reference rates to gain market acceptance could adversely affect the return on, value of and market for securities linked to such rates.</w:t>
      </w:r>
    </w:p>
    <w:p>
      <w:pPr>
        <w:spacing w:after="0" w:line="113" w:lineRule="exact"/>
        <w:rPr>
          <w:sz w:val="20"/>
          <w:szCs w:val="20"/>
          <w:color w:val="auto"/>
        </w:rPr>
      </w:pPr>
    </w:p>
    <w:p>
      <w:pPr>
        <w:ind w:right="120" w:firstLine="438"/>
        <w:spacing w:after="0" w:line="244" w:lineRule="auto"/>
        <w:rPr>
          <w:sz w:val="20"/>
          <w:szCs w:val="20"/>
          <w:color w:val="auto"/>
        </w:rPr>
      </w:pPr>
      <w:r>
        <w:rPr>
          <w:rFonts w:ascii="Arial" w:cs="Arial" w:eastAsia="Arial" w:hAnsi="Arial"/>
          <w:sz w:val="13"/>
          <w:szCs w:val="13"/>
          <w:color w:val="auto"/>
        </w:rPr>
        <w:t>The effect of the establishment of alternative reference rates or any other reforms to LIBOR or other reference rates (including whether LIBOR will continue to be an acceptable market benchmark) cannot be predicted at this time, and the transition away from LIBOR and other current reference rates to alternative reference rates is complex and could have a material adverse effect on our business, financial condition and results of operations. Factors such as the pace of the transition to replacement or reformed rates, the specific terms and parameters for and market acceptance of any alternative reference rate, prices of and the liquidity of trading markets for products based on alternative reference rates, and our ability to transition and develop appropriate systems and analytics for one or more alternative reference rates could also have a material adverse effect on our business, financial condition and results of operations. We may also need to renegotiate any credit or similar agreements extending beyond 2021 with our portfolio companies that utilize LIBOR as a factor in determining the interest rate and our Credit Facility to replace LIBOR with the new standard that is established. If the agreements with our portfolio companies are unable to be renegotiated, our investments may bear interest at a lower rate, which would decrease investment income and potentially the value of such investments. If we are unable to renegotiate our Credit Facility, amounts drawn under our Credit Facility may bear interest at a higher rate, which would increase the cost of our borrowings and, in turn, affect our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136"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134" w:lineRule="exact"/>
        <w:rPr>
          <w:sz w:val="20"/>
          <w:szCs w:val="20"/>
          <w:color w:val="auto"/>
        </w:rPr>
      </w:pPr>
    </w:p>
    <w:p>
      <w:pPr>
        <w:ind w:right="400" w:firstLine="438"/>
        <w:spacing w:after="0" w:line="238" w:lineRule="auto"/>
        <w:rPr>
          <w:sz w:val="20"/>
          <w:szCs w:val="20"/>
          <w:color w:val="auto"/>
        </w:rPr>
      </w:pPr>
      <w:r>
        <w:rPr>
          <w:rFonts w:ascii="Arial" w:cs="Arial" w:eastAsia="Arial" w:hAnsi="Arial"/>
          <w:sz w:val="14"/>
          <w:szCs w:val="14"/>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replicate the historical performance of other investment companies and funds with which our senior and other investment professionals have been affiliated.</w:t>
      </w:r>
    </w:p>
    <w:p>
      <w:pPr>
        <w:spacing w:after="0" w:line="148"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The 1940 Act imposes numerous constraints on the investment activities of BDCs. For example, BDCs are required to invest at least 70% of their total assets primarily in securities of U.S. private companies or thinly traded public companies (i.e.,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failure on our part to maintain our status as a BDC would reduce our operating flexibility.</w:t>
      </w:r>
    </w:p>
    <w:p>
      <w:pPr>
        <w:spacing w:after="0" w:line="136"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of RIC tax status would substantially reduce our net assets and income available for debt service and distributions.</w:t>
      </w:r>
    </w:p>
    <w:p>
      <w:pPr>
        <w:spacing w:after="0" w:line="123"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0" w:name="page21"/>
    <w:bookmarkEnd w:id="20"/>
    <w:p>
      <w:pPr>
        <w:ind w:right="80"/>
        <w:spacing w:after="0" w:line="233" w:lineRule="auto"/>
        <w:rPr>
          <w:sz w:val="20"/>
          <w:szCs w:val="20"/>
          <w:color w:val="auto"/>
        </w:rPr>
      </w:pPr>
      <w:r>
        <w:rPr>
          <w:rFonts w:ascii="Arial" w:cs="Arial" w:eastAsia="Arial" w:hAnsi="Arial"/>
          <w:sz w:val="14"/>
          <w:szCs w:val="14"/>
          <w:color w:val="auto"/>
        </w:rPr>
        <w:t>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an amount at least equal to the Excise Tax Avoidance Requirement.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have difficulty paying our Annual Distribution Requirement if we recognize income before or without receiving cash representing such income.</w:t>
      </w:r>
    </w:p>
    <w:p>
      <w:pPr>
        <w:spacing w:after="0" w:line="136" w:lineRule="exact"/>
        <w:rPr>
          <w:sz w:val="20"/>
          <w:szCs w:val="20"/>
          <w:color w:val="auto"/>
        </w:rPr>
      </w:pPr>
    </w:p>
    <w:p>
      <w:pPr>
        <w:ind w:right="100" w:firstLine="438"/>
        <w:spacing w:after="0" w:line="229" w:lineRule="auto"/>
        <w:rPr>
          <w:sz w:val="20"/>
          <w:szCs w:val="20"/>
          <w:color w:val="auto"/>
        </w:rPr>
      </w:pPr>
      <w:r>
        <w:rPr>
          <w:rFonts w:ascii="Arial" w:cs="Arial" w:eastAsia="Arial" w:hAnsi="Arial"/>
          <w:sz w:val="14"/>
          <w:szCs w:val="14"/>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18"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02" w:lineRule="exact"/>
        <w:rPr>
          <w:sz w:val="20"/>
          <w:szCs w:val="20"/>
          <w:color w:val="auto"/>
        </w:rPr>
      </w:pPr>
    </w:p>
    <w:p>
      <w:pPr>
        <w:ind w:right="60" w:firstLine="438"/>
        <w:spacing w:after="0" w:line="264" w:lineRule="auto"/>
        <w:rPr>
          <w:sz w:val="20"/>
          <w:szCs w:val="20"/>
          <w:color w:val="auto"/>
        </w:rPr>
      </w:pPr>
      <w:r>
        <w:rPr>
          <w:rFonts w:ascii="Arial" w:cs="Arial" w:eastAsia="Arial" w:hAnsi="Arial"/>
          <w:sz w:val="13"/>
          <w:szCs w:val="13"/>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136" w:lineRule="exact"/>
        <w:rPr>
          <w:sz w:val="20"/>
          <w:szCs w:val="20"/>
          <w:color w:val="auto"/>
        </w:rPr>
      </w:pPr>
    </w:p>
    <w:p>
      <w:pPr>
        <w:ind w:firstLine="438"/>
        <w:spacing w:after="0" w:line="226" w:lineRule="auto"/>
        <w:rPr>
          <w:sz w:val="20"/>
          <w:szCs w:val="20"/>
          <w:color w:val="auto"/>
        </w:rPr>
      </w:pPr>
      <w:r>
        <w:rPr>
          <w:rFonts w:ascii="Arial" w:cs="Arial" w:eastAsia="Arial" w:hAnsi="Arial"/>
          <w:sz w:val="14"/>
          <w:szCs w:val="14"/>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April 5, 2018, our board of directors approved such reduction. As of April 5, 2019, we are able to incur additional indebtedness so long as we comply with the applicable disclosure requirement,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93"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15" w:lineRule="exact"/>
        <w:rPr>
          <w:sz w:val="20"/>
          <w:szCs w:val="20"/>
          <w:color w:val="auto"/>
        </w:rPr>
      </w:pPr>
    </w:p>
    <w:p>
      <w:pPr>
        <w:ind w:right="80" w:firstLine="438"/>
        <w:spacing w:after="0" w:line="229" w:lineRule="auto"/>
        <w:rPr>
          <w:sz w:val="20"/>
          <w:szCs w:val="20"/>
          <w:color w:val="auto"/>
        </w:rPr>
      </w:pPr>
      <w:r>
        <w:rPr>
          <w:rFonts w:ascii="Arial" w:cs="Arial" w:eastAsia="Arial" w:hAnsi="Arial"/>
          <w:sz w:val="14"/>
          <w:szCs w:val="14"/>
          <w:color w:val="auto"/>
        </w:rPr>
        <w:t>As noted above, on April 5, 2018, our board of directors, including a “required majority” (as such term is defined in Section 57(o) of the 1940 Act), approved a reduction of our asset coverage ratio from 200% to 150%. As a result, as of April 5,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8"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are partially dependent on our subsidiary Funding I for cash distributions to enable us to meet the distribution requirements in order to permit us to be subject to tax as a RIC. In this regard, Funding I is limited by its covenants from making certain distributions to us that may be necessary to fulfill our requirements to be subject to tax as a RIC. In such case, we would need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Regulations governing our operation as a BDC will affect our ability to, and the way in which we, raise additional capital.</w:t>
      </w:r>
    </w:p>
    <w:p>
      <w:pPr>
        <w:spacing w:after="0" w:line="123"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Under the 1940 Act, the asset coverage ratio requirements permit us to issue senior securities or incur indebtedness subject to certain limitations.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harm our business, financial condition and results of operations.</w:t>
      </w:r>
    </w:p>
    <w:p>
      <w:pPr>
        <w:spacing w:after="0" w:line="111" w:lineRule="exact"/>
        <w:rPr>
          <w:sz w:val="20"/>
          <w:szCs w:val="20"/>
          <w:color w:val="auto"/>
        </w:rPr>
      </w:pPr>
    </w:p>
    <w:p>
      <w:pPr>
        <w:ind w:left="920" w:right="40" w:hanging="359"/>
        <w:spacing w:after="0" w:line="251" w:lineRule="auto"/>
        <w:tabs>
          <w:tab w:leader="none" w:pos="920" w:val="left"/>
        </w:tabs>
        <w:numPr>
          <w:ilvl w:val="0"/>
          <w:numId w:val="2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Securities. </w:t>
      </w:r>
      <w:r>
        <w:rPr>
          <w:rFonts w:ascii="Arial" w:cs="Arial" w:eastAsia="Arial" w:hAnsi="Arial"/>
          <w:sz w:val="13"/>
          <w:szCs w:val="13"/>
          <w:color w:val="auto"/>
        </w:rPr>
        <w:t>As a result of issuing senior securities, including our 2023 Notes and our 2026 Notes, we are exposed to typical risks associated with leverage, including 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increased 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09" w:lineRule="exact"/>
        <w:rPr>
          <w:rFonts w:ascii="Arial" w:cs="Arial" w:eastAsia="Arial" w:hAnsi="Arial"/>
          <w:sz w:val="13"/>
          <w:szCs w:val="13"/>
          <w:color w:val="auto"/>
        </w:rPr>
      </w:pPr>
    </w:p>
    <w:p>
      <w:pPr>
        <w:ind w:left="920" w:right="20" w:hanging="359"/>
        <w:spacing w:after="0" w:line="231" w:lineRule="auto"/>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Additional Common Stock. </w:t>
      </w:r>
      <w:r>
        <w:rPr>
          <w:rFonts w:ascii="Arial" w:cs="Arial" w:eastAsia="Arial" w:hAnsi="Arial"/>
          <w:sz w:val="14"/>
          <w:szCs w:val="14"/>
          <w:color w:val="auto"/>
        </w:rPr>
        <w:t>Our board of directors may decide to issue common stock to finance our operations rather than issuing debt or other senior securities. As a BDC,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1" w:name="page22"/>
    <w:bookmarkEnd w:id="21"/>
    <w:p>
      <w:pPr>
        <w:ind w:left="920" w:right="40"/>
        <w:spacing w:after="0" w:line="243" w:lineRule="auto"/>
        <w:rPr>
          <w:sz w:val="20"/>
          <w:szCs w:val="20"/>
          <w:color w:val="auto"/>
        </w:rPr>
      </w:pPr>
      <w:r>
        <w:rPr>
          <w:rFonts w:ascii="Arial" w:cs="Arial" w:eastAsia="Arial" w:hAnsi="Arial"/>
          <w:sz w:val="13"/>
          <w:szCs w:val="13"/>
          <w:color w:val="auto"/>
        </w:rPr>
        <w:t>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16" w:lineRule="exact"/>
        <w:rPr>
          <w:sz w:val="20"/>
          <w:szCs w:val="20"/>
          <w:color w:val="auto"/>
        </w:rPr>
      </w:pPr>
    </w:p>
    <w:p>
      <w:pPr>
        <w:ind w:left="920" w:right="40" w:hanging="359"/>
        <w:spacing w:after="0" w:line="248" w:lineRule="auto"/>
        <w:tabs>
          <w:tab w:leader="none" w:pos="920" w:val="left"/>
        </w:tabs>
        <w:numPr>
          <w:ilvl w:val="0"/>
          <w:numId w:val="3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Securitization. </w:t>
      </w:r>
      <w:r>
        <w:rPr>
          <w:rFonts w:ascii="Arial" w:cs="Arial" w:eastAsia="Arial" w:hAnsi="Arial"/>
          <w:sz w:val="13"/>
          <w:szCs w:val="13"/>
          <w:color w:val="auto"/>
        </w:rPr>
        <w:t>As a result of the completion of the Debt Securitization, we are exposed to typical risks associated with the securitization of loans to generate cash for funding new</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investments. As applicable accounting pronouncements and SEC staff guidance requires us to consolidate the Securitization Issuers’ financial statements with our financial statements, any debt issued by the Securitization Issuers would be generally treated as if it were issued by us for purposes of the asset coverage ratio applicable to us. We retain all of the equity in the Securitization Issuers and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123"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and any cash that we use to service our indebtedness is not available for distribution to our common stockholders.</w:t>
      </w:r>
    </w:p>
    <w:p>
      <w:pPr>
        <w:spacing w:after="0" w:line="115"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Our current debt is governed by the terms of the Credit Facility, the deed of trust governing the 2023 Notes, the indenture governing our 2026 Notes and the indenture governing the 2031 Asset-Backed Debt,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23" w:lineRule="exact"/>
        <w:rPr>
          <w:sz w:val="20"/>
          <w:szCs w:val="20"/>
          <w:color w:val="auto"/>
        </w:rPr>
      </w:pPr>
    </w:p>
    <w:p>
      <w:pPr>
        <w:ind w:right="100" w:firstLine="438"/>
        <w:spacing w:after="0" w:line="244" w:lineRule="auto"/>
        <w:rPr>
          <w:sz w:val="20"/>
          <w:szCs w:val="20"/>
          <w:color w:val="auto"/>
        </w:rPr>
      </w:pPr>
      <w:r>
        <w:rPr>
          <w:rFonts w:ascii="Arial" w:cs="Arial" w:eastAsia="Arial" w:hAnsi="Arial"/>
          <w:sz w:val="13"/>
          <w:szCs w:val="13"/>
          <w:color w:val="auto"/>
        </w:rPr>
        <w:t>We have indebtedness outstanding pursuant to our Credit Facility, 2023 Notes, 2026 Notes and the 2031 Asset-Backed Debt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the use of leverage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4" w:lineRule="exact"/>
        <w:rPr>
          <w:sz w:val="20"/>
          <w:szCs w:val="20"/>
          <w:color w:val="auto"/>
        </w:rPr>
      </w:pPr>
    </w:p>
    <w:p>
      <w:pPr>
        <w:ind w:right="20" w:firstLine="438"/>
        <w:spacing w:after="0" w:line="264" w:lineRule="auto"/>
        <w:rPr>
          <w:sz w:val="20"/>
          <w:szCs w:val="20"/>
          <w:color w:val="auto"/>
        </w:rPr>
      </w:pPr>
      <w:r>
        <w:rPr>
          <w:rFonts w:ascii="Arial" w:cs="Arial" w:eastAsia="Arial" w:hAnsi="Arial"/>
          <w:sz w:val="13"/>
          <w:szCs w:val="13"/>
          <w:color w:val="auto"/>
        </w:rPr>
        <w:t>As noted above, on April 5, 2018, our board of directors, including a “required majority” (as such term is defined in Section 57(o) of the 1940 Act), and our stockholders, respectively, approved a reduction of our asset coverage ratio. As a result, as of April 5,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01" w:lineRule="exact"/>
        <w:rPr>
          <w:sz w:val="20"/>
          <w:szCs w:val="20"/>
          <w:color w:val="auto"/>
        </w:rPr>
      </w:pPr>
    </w:p>
    <w:p>
      <w:pPr>
        <w:ind w:firstLine="438"/>
        <w:spacing w:after="0" w:line="290" w:lineRule="auto"/>
        <w:rPr>
          <w:sz w:val="20"/>
          <w:szCs w:val="20"/>
          <w:color w:val="auto"/>
        </w:rPr>
      </w:pPr>
      <w:r>
        <w:rPr>
          <w:rFonts w:ascii="Arial" w:cs="Arial" w:eastAsia="Arial" w:hAnsi="Arial"/>
          <w:sz w:val="13"/>
          <w:szCs w:val="13"/>
          <w:color w:val="auto"/>
        </w:rPr>
        <w:t>As of September 30, 2021 and 2020, our asset coverage ratio, as computed in accordance with the 1940 Act, was 175% and 168%, respectively. Since our leverage was 138% and 148% of our net assets as of September 30, 2021 and 2020, respectively, we would have to receive an annual return of at least 1.8% and 1.6%, respectively, to cover annual interest payments.</w:t>
      </w:r>
    </w:p>
    <w:p>
      <w:pPr>
        <w:spacing w:after="0" w:line="84" w:lineRule="exact"/>
        <w:rPr>
          <w:sz w:val="20"/>
          <w:szCs w:val="20"/>
          <w:color w:val="auto"/>
        </w:rPr>
      </w:pPr>
    </w:p>
    <w:p>
      <w:pPr>
        <w:ind w:right="220" w:firstLine="438"/>
        <w:spacing w:after="0" w:line="231" w:lineRule="auto"/>
        <w:rPr>
          <w:sz w:val="20"/>
          <w:szCs w:val="20"/>
          <w:color w:val="auto"/>
        </w:rPr>
      </w:pPr>
      <w:r>
        <w:rPr>
          <w:rFonts w:ascii="Arial" w:cs="Arial" w:eastAsia="Arial" w:hAnsi="Arial"/>
          <w:sz w:val="14"/>
          <w:szCs w:val="14"/>
          <w:color w:val="auto"/>
        </w:rPr>
        <w:t>As of September 30, 2021, we had outstanding borrowings of $219.4 million under our Credit Facility, $117.8 million outstanding under our 2023 Notes, $100 million under our 2026 Notes, and $228.0 million outstanding under the 2031 Asset-Backed Debt. Our consolidated debt outstanding was $665.2 million and had a weighted average annual interest rate at the time of 3.4%, exclusive of the fees on the undrawn commitment on our Credit Facility.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stockholders.</w:t>
      </w:r>
    </w:p>
    <w:p>
      <w:pPr>
        <w:spacing w:after="0" w:line="11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following table is designed to illustrate the effect on the return to a holder of our common stock of the leverage created by our use of borrowing as of September 30, 2021 of 56% of total assets (including such borrowed funds), at the current interest rate at the time of 3.1%,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Assumed return on portfolio (net of expenses) </w:t>
            </w:r>
            <w:r>
              <w:rPr>
                <w:rFonts w:ascii="Arial" w:cs="Arial" w:eastAsia="Arial" w:hAnsi="Arial"/>
                <w:sz w:val="12"/>
                <w:szCs w:val="12"/>
                <w:color w:val="auto"/>
              </w:rPr>
              <w:t>(1)</w:t>
            </w:r>
          </w:p>
        </w:tc>
        <w:tc>
          <w:tcPr>
            <w:tcW w:w="1920" w:type="dxa"/>
            <w:vAlign w:val="bottom"/>
            <w:shd w:val="clear" w:color="auto" w:fill="CCECFF"/>
          </w:tcPr>
          <w:p>
            <w:pPr>
              <w:jc w:val="right"/>
              <w:ind w:right="448"/>
              <w:spacing w:after="0"/>
              <w:rPr>
                <w:sz w:val="20"/>
                <w:szCs w:val="20"/>
                <w:color w:val="auto"/>
              </w:rPr>
            </w:pPr>
            <w:r>
              <w:rPr>
                <w:rFonts w:ascii="Arial" w:cs="Arial" w:eastAsia="Arial" w:hAnsi="Arial"/>
                <w:sz w:val="14"/>
                <w:szCs w:val="14"/>
                <w:color w:val="auto"/>
              </w:rPr>
              <w:t>(10.0)%</w:t>
            </w:r>
          </w:p>
        </w:tc>
        <w:tc>
          <w:tcPr>
            <w:tcW w:w="1580" w:type="dxa"/>
            <w:vAlign w:val="bottom"/>
            <w:shd w:val="clear" w:color="auto" w:fill="CCECFF"/>
          </w:tcPr>
          <w:p>
            <w:pPr>
              <w:jc w:val="right"/>
              <w:ind w:right="508"/>
              <w:spacing w:after="0"/>
              <w:rPr>
                <w:sz w:val="20"/>
                <w:szCs w:val="20"/>
                <w:color w:val="auto"/>
              </w:rPr>
            </w:pPr>
            <w:r>
              <w:rPr>
                <w:rFonts w:ascii="Arial" w:cs="Arial" w:eastAsia="Arial" w:hAnsi="Arial"/>
                <w:sz w:val="14"/>
                <w:szCs w:val="14"/>
                <w:color w:val="auto"/>
              </w:rPr>
              <w:t>(5.0)%</w:t>
            </w:r>
          </w:p>
        </w:tc>
        <w:tc>
          <w:tcPr>
            <w:tcW w:w="156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ind w:right="468"/>
              <w:spacing w:after="0"/>
              <w:rPr>
                <w:sz w:val="20"/>
                <w:szCs w:val="20"/>
                <w:color w:val="auto"/>
              </w:rPr>
            </w:pPr>
            <w:r>
              <w:rPr>
                <w:rFonts w:ascii="Arial" w:cs="Arial" w:eastAsia="Arial" w:hAnsi="Arial"/>
                <w:sz w:val="14"/>
                <w:szCs w:val="14"/>
                <w:color w:val="auto"/>
              </w:rPr>
              <w:t>5.0%</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r>
      <w:tr>
        <w:trPr>
          <w:trHeight w:val="182"/>
        </w:trPr>
        <w:tc>
          <w:tcPr>
            <w:tcW w:w="3780" w:type="dxa"/>
            <w:vAlign w:val="bottom"/>
          </w:tcPr>
          <w:p>
            <w:pPr>
              <w:spacing w:after="0"/>
              <w:rPr>
                <w:sz w:val="20"/>
                <w:szCs w:val="20"/>
                <w:color w:val="auto"/>
              </w:rPr>
            </w:pPr>
            <w:r>
              <w:rPr>
                <w:rFonts w:ascii="Arial" w:cs="Arial" w:eastAsia="Arial" w:hAnsi="Arial"/>
                <w:sz w:val="14"/>
                <w:szCs w:val="14"/>
                <w:color w:val="auto"/>
              </w:rPr>
              <w:t xml:space="preserve">Corresponding return to common stockholders </w:t>
            </w:r>
            <w:r>
              <w:rPr>
                <w:rFonts w:ascii="Arial" w:cs="Arial" w:eastAsia="Arial" w:hAnsi="Arial"/>
                <w:sz w:val="12"/>
                <w:szCs w:val="12"/>
                <w:color w:val="auto"/>
              </w:rPr>
              <w:t>(2)</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(28.0)%</w:t>
            </w:r>
          </w:p>
        </w:tc>
        <w:tc>
          <w:tcPr>
            <w:tcW w:w="1580" w:type="dxa"/>
            <w:vAlign w:val="bottom"/>
          </w:tcPr>
          <w:p>
            <w:pPr>
              <w:jc w:val="right"/>
              <w:ind w:right="508"/>
              <w:spacing w:after="0"/>
              <w:rPr>
                <w:sz w:val="20"/>
                <w:szCs w:val="20"/>
                <w:color w:val="auto"/>
              </w:rPr>
            </w:pPr>
            <w:r>
              <w:rPr>
                <w:rFonts w:ascii="Arial" w:cs="Arial" w:eastAsia="Arial" w:hAnsi="Arial"/>
                <w:sz w:val="14"/>
                <w:szCs w:val="14"/>
                <w:color w:val="auto"/>
              </w:rPr>
              <w:t>(16.1)%</w:t>
            </w:r>
          </w:p>
        </w:tc>
        <w:tc>
          <w:tcPr>
            <w:tcW w:w="1560" w:type="dxa"/>
            <w:vAlign w:val="bottom"/>
          </w:tcPr>
          <w:p>
            <w:pPr>
              <w:jc w:val="right"/>
              <w:ind w:right="528"/>
              <w:spacing w:after="0"/>
              <w:rPr>
                <w:sz w:val="20"/>
                <w:szCs w:val="20"/>
                <w:color w:val="auto"/>
              </w:rPr>
            </w:pPr>
            <w:r>
              <w:rPr>
                <w:rFonts w:ascii="Arial" w:cs="Arial" w:eastAsia="Arial" w:hAnsi="Arial"/>
                <w:sz w:val="14"/>
                <w:szCs w:val="14"/>
                <w:color w:val="auto"/>
              </w:rPr>
              <w:t>(4.1)%</w:t>
            </w:r>
          </w:p>
        </w:tc>
        <w:tc>
          <w:tcPr>
            <w:tcW w:w="1440" w:type="dxa"/>
            <w:vAlign w:val="bottom"/>
          </w:tcPr>
          <w:p>
            <w:pPr>
              <w:jc w:val="right"/>
              <w:ind w:right="468"/>
              <w:spacing w:after="0"/>
              <w:rPr>
                <w:sz w:val="20"/>
                <w:szCs w:val="20"/>
                <w:color w:val="auto"/>
              </w:rPr>
            </w:pPr>
            <w:r>
              <w:rPr>
                <w:rFonts w:ascii="Arial" w:cs="Arial" w:eastAsia="Arial" w:hAnsi="Arial"/>
                <w:sz w:val="14"/>
                <w:szCs w:val="14"/>
                <w:color w:val="auto"/>
              </w:rPr>
              <w:t>7.8%</w:t>
            </w:r>
          </w:p>
        </w:tc>
        <w:tc>
          <w:tcPr>
            <w:tcW w:w="960" w:type="dxa"/>
            <w:vAlign w:val="bottom"/>
          </w:tcPr>
          <w:p>
            <w:pPr>
              <w:jc w:val="right"/>
              <w:spacing w:after="0"/>
              <w:rPr>
                <w:sz w:val="20"/>
                <w:szCs w:val="20"/>
                <w:color w:val="auto"/>
              </w:rPr>
            </w:pPr>
            <w:r>
              <w:rPr>
                <w:rFonts w:ascii="Arial" w:cs="Arial" w:eastAsia="Arial" w:hAnsi="Arial"/>
                <w:sz w:val="14"/>
                <w:szCs w:val="14"/>
                <w:color w:val="auto"/>
              </w:rPr>
              <w:t>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3455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380" w:hanging="372"/>
        <w:spacing w:after="0" w:line="236" w:lineRule="auto"/>
        <w:tabs>
          <w:tab w:leader="none" w:pos="380" w:val="left"/>
        </w:tabs>
        <w:numPr>
          <w:ilvl w:val="0"/>
          <w:numId w:val="31"/>
        </w:numPr>
        <w:rPr>
          <w:rFonts w:ascii="Arial" w:cs="Arial" w:eastAsia="Arial" w:hAnsi="Arial"/>
          <w:sz w:val="20"/>
          <w:szCs w:val="20"/>
          <w:b w:val="1"/>
          <w:bCs w:val="1"/>
          <w:color w:val="auto"/>
          <w:vertAlign w:val="superscript"/>
        </w:rPr>
      </w:pPr>
      <w:r>
        <w:rPr>
          <w:rFonts w:ascii="Arial" w:cs="Arial" w:eastAsia="Arial" w:hAnsi="Arial"/>
          <w:sz w:val="12"/>
          <w:szCs w:val="12"/>
          <w:color w:val="auto"/>
        </w:rPr>
        <w:t>The assumed portfolio return is required by regulation of the SEC and is not a prediction of, and does not represent, our projected or actual performance.</w:t>
      </w:r>
    </w:p>
    <w:p>
      <w:pPr>
        <w:ind w:left="380" w:right="220" w:hanging="372"/>
        <w:spacing w:after="0" w:line="193" w:lineRule="auto"/>
        <w:tabs>
          <w:tab w:leader="none" w:pos="380" w:val="left"/>
        </w:tabs>
        <w:numPr>
          <w:ilvl w:val="0"/>
          <w:numId w:val="31"/>
        </w:numPr>
        <w:rPr>
          <w:rFonts w:ascii="Arial" w:cs="Arial" w:eastAsia="Arial" w:hAnsi="Arial"/>
          <w:sz w:val="20"/>
          <w:szCs w:val="20"/>
          <w:b w:val="1"/>
          <w:bCs w:val="1"/>
          <w:color w:val="auto"/>
          <w:vertAlign w:val="superscript"/>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24" w:lineRule="exact"/>
        <w:rPr>
          <w:sz w:val="20"/>
          <w:szCs w:val="20"/>
          <w:color w:val="auto"/>
        </w:rPr>
      </w:pPr>
    </w:p>
    <w:p>
      <w:pPr>
        <w:ind w:right="520"/>
        <w:spacing w:after="0" w:line="253"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10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right="140"/>
        <w:spacing w:after="0" w:line="253" w:lineRule="auto"/>
        <w:rPr>
          <w:sz w:val="20"/>
          <w:szCs w:val="20"/>
          <w:color w:val="auto"/>
        </w:rPr>
      </w:pPr>
      <w:r>
        <w:rPr>
          <w:rFonts w:ascii="Arial" w:cs="Arial" w:eastAsia="Arial" w:hAnsi="Arial"/>
          <w:sz w:val="14"/>
          <w:szCs w:val="14"/>
          <w:color w:val="auto"/>
        </w:rPr>
        <w:t>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As a result of any issuance of debt securities and borrowings under our Credit Facility, the 2023 Notes, the 2026 Notes and the 2031 Asset-Backed Debt,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our debt securities.</w:t>
      </w:r>
    </w:p>
    <w:p>
      <w:pPr>
        <w:spacing w:after="0" w:line="123" w:lineRule="exact"/>
        <w:rPr>
          <w:sz w:val="20"/>
          <w:szCs w:val="20"/>
          <w:color w:val="auto"/>
        </w:rPr>
      </w:pPr>
    </w:p>
    <w:p>
      <w:pPr>
        <w:ind w:right="120" w:firstLine="438"/>
        <w:spacing w:after="0" w:line="283" w:lineRule="auto"/>
        <w:rPr>
          <w:sz w:val="20"/>
          <w:szCs w:val="20"/>
          <w:color w:val="auto"/>
        </w:rPr>
      </w:pPr>
      <w:r>
        <w:rPr>
          <w:rFonts w:ascii="Arial" w:cs="Arial" w:eastAsia="Arial" w:hAnsi="Arial"/>
          <w:sz w:val="12"/>
          <w:szCs w:val="12"/>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 Rating agencies have reviewed, and may continue to review, our credit ratings and those of other business development companies in light of the SBCAA as well as any corresponding changes to asset coverage ratios and, in certain cases, downgrade such ratings. Such a downgrade in our credit ratings may adversely affect our securities.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148"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Our Credit Facility expires in August 2026. We utilize proceeds from the Credit Facility to make investments in our portfolio companies. The duration of many of our investments exceeds the duration of our indebtedness under our Credit Facility. This means that we will have to extend the maturity of our Credit Facility or refinance our indebtedness under our Credit Facility in order to avoid selling investments at maturity of the Credit Facility, at which time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receive cash on our equity interests from Funding I.</w:t>
      </w:r>
    </w:p>
    <w:p>
      <w:pPr>
        <w:spacing w:after="0" w:line="13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maintain our ability to be subject to tax as a RIC. We also could be forced to sell investments in portfolio companies at less than their fair value in order to continue making such distributions.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123" w:lineRule="exact"/>
        <w:rPr>
          <w:sz w:val="20"/>
          <w:szCs w:val="20"/>
          <w:color w:val="auto"/>
        </w:rPr>
      </w:pPr>
    </w:p>
    <w:p>
      <w:pPr>
        <w:ind w:right="60" w:firstLine="438"/>
        <w:spacing w:after="0" w:line="243" w:lineRule="auto"/>
        <w:rPr>
          <w:sz w:val="20"/>
          <w:szCs w:val="20"/>
          <w:color w:val="auto"/>
        </w:rPr>
      </w:pPr>
      <w:r>
        <w:rPr>
          <w:rFonts w:ascii="Arial" w:cs="Arial" w:eastAsia="Arial" w:hAnsi="Arial"/>
          <w:sz w:val="13"/>
          <w:szCs w:val="13"/>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1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1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have entered into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03" w:lineRule="exact"/>
        <w:rPr>
          <w:sz w:val="20"/>
          <w:szCs w:val="20"/>
          <w:color w:val="auto"/>
        </w:rPr>
      </w:pPr>
    </w:p>
    <w:p>
      <w:pPr>
        <w:jc w:val="both"/>
        <w:ind w:right="480" w:firstLine="438"/>
        <w:spacing w:after="0" w:line="238" w:lineRule="auto"/>
        <w:rPr>
          <w:sz w:val="20"/>
          <w:szCs w:val="20"/>
          <w:color w:val="auto"/>
        </w:rPr>
      </w:pPr>
      <w:r>
        <w:rPr>
          <w:rFonts w:ascii="Arial" w:cs="Arial" w:eastAsia="Arial" w:hAnsi="Arial"/>
          <w:sz w:val="14"/>
          <w:szCs w:val="14"/>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i w:val="1"/>
          <w:iCs w:val="1"/>
          <w:color w:val="auto"/>
        </w:rPr>
        <w:t>We are subject to risks associated with cybersecurity and cyber incidents.</w:t>
      </w:r>
    </w:p>
    <w:p>
      <w:pPr>
        <w:spacing w:after="0" w:line="123"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 In addition, the costs related to cyber or other security threats or disruptions may not be fully insured or indemnified by other means. Furthermore,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This is expected to mitigate volatility in our earnings and NAV. As a result, results for any period should not be relied upon as being indicative of future performance.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issue securities for which there is no public market and for which we expect no public market to develop.</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and the TASE,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preferred stock, debt securities or convertible debt securities the NAV and market value of our common stock may become more volatile.</w:t>
      </w:r>
    </w:p>
    <w:p>
      <w:pPr>
        <w:spacing w:after="0" w:line="123"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11" w:lineRule="exact"/>
        <w:rPr>
          <w:sz w:val="20"/>
          <w:szCs w:val="20"/>
          <w:color w:val="auto"/>
        </w:rPr>
      </w:pPr>
    </w:p>
    <w:p>
      <w:pPr>
        <w:ind w:right="100" w:firstLine="438"/>
        <w:spacing w:after="0" w:line="228" w:lineRule="auto"/>
        <w:rPr>
          <w:sz w:val="20"/>
          <w:szCs w:val="20"/>
          <w:color w:val="auto"/>
        </w:rPr>
      </w:pPr>
      <w:r>
        <w:rPr>
          <w:rFonts w:ascii="Arial" w:cs="Arial" w:eastAsia="Arial" w:hAnsi="Arial"/>
          <w:sz w:val="14"/>
          <w:szCs w:val="14"/>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ability to sell investments held by Funding I is limited.</w:t>
      </w:r>
    </w:p>
    <w:p>
      <w:pPr>
        <w:spacing w:after="0" w:line="123"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or convertible debt securities may be volatile.</w:t>
      </w:r>
    </w:p>
    <w:p>
      <w:pPr>
        <w:spacing w:after="0" w:line="136"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These factors include the following:</w:t>
      </w:r>
    </w:p>
    <w:p>
      <w:pPr>
        <w:spacing w:after="0" w:line="136" w:lineRule="exact"/>
        <w:rPr>
          <w:sz w:val="20"/>
          <w:szCs w:val="20"/>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or similar to these debt securities;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redemption, repayment or convertible features, if any, of these debt securities;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and</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204" w:lineRule="exact"/>
        <w:rPr>
          <w:sz w:val="20"/>
          <w:szCs w:val="20"/>
          <w:color w:val="auto"/>
        </w:rPr>
      </w:pPr>
    </w:p>
    <w:p>
      <w:pPr>
        <w:ind w:right="200" w:firstLine="438"/>
        <w:spacing w:after="0" w:line="290" w:lineRule="auto"/>
        <w:rPr>
          <w:sz w:val="20"/>
          <w:szCs w:val="20"/>
          <w:color w:val="auto"/>
        </w:rPr>
      </w:pPr>
      <w:r>
        <w:rPr>
          <w:rFonts w:ascii="Arial" w:cs="Arial" w:eastAsia="Arial" w:hAnsi="Arial"/>
          <w:sz w:val="13"/>
          <w:szCs w:val="13"/>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i w:val="1"/>
          <w:iCs w:val="1"/>
          <w:color w:val="auto"/>
        </w:rPr>
        <w:t>Terms relating to debt redemption may have a material adverse effect on the return on any debt securities.</w:t>
      </w:r>
    </w:p>
    <w:p>
      <w:pPr>
        <w:spacing w:after="0" w:line="123"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13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02"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impact of recent financial reform legislation on us is uncertain.</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institutes a wide range of reforms that will have an impact on financial institutions. However, the current presidential administration has announced its intention to repeal, amend or replace certain portions of the Dodd-Frank Act and the regulations implemented thereunder. Given the uncertainty associated with the manner in which and whether the provisions of the Dodd-Frank Act might be implemented, repealed, amended or replaced, the full impact such requirements will have on our business, results of operations or financial condition is unclear. While we cannot predict what effect any changes in the laws or regulations or their interpretations would have on us as a result of recent financial reform legislation, these changes could be materially adverse to us and our stockholders. Accordingly, we are continuing to evaluate the effect the Dodd-Frank Act or implementing its regulations or any repeal or revision thereto will have on our business, financial condition and results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or those of our portfolio companies may adversely affect our business.</w:t>
      </w:r>
    </w:p>
    <w:p>
      <w:pPr>
        <w:spacing w:after="0" w:line="136" w:lineRule="exact"/>
        <w:rPr>
          <w:sz w:val="20"/>
          <w:szCs w:val="20"/>
          <w:color w:val="auto"/>
        </w:rPr>
      </w:pPr>
    </w:p>
    <w:p>
      <w:pPr>
        <w:jc w:val="both"/>
        <w:ind w:right="200" w:firstLine="438"/>
        <w:spacing w:after="0" w:line="238" w:lineRule="auto"/>
        <w:rPr>
          <w:sz w:val="20"/>
          <w:szCs w:val="20"/>
          <w:color w:val="auto"/>
        </w:rPr>
      </w:pPr>
      <w:r>
        <w:rPr>
          <w:rFonts w:ascii="Arial" w:cs="Arial" w:eastAsia="Arial" w:hAnsi="Arial"/>
          <w:sz w:val="14"/>
          <w:szCs w:val="14"/>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“Business—Regulation” for more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Uncertainty about presidential administration initiatives could negatively impact our business, financial condition and results of operations.</w:t>
      </w:r>
    </w:p>
    <w:p>
      <w:pPr>
        <w:spacing w:after="0" w:line="123" w:lineRule="exact"/>
        <w:rPr>
          <w:sz w:val="20"/>
          <w:szCs w:val="20"/>
          <w:color w:val="auto"/>
        </w:rPr>
      </w:pPr>
    </w:p>
    <w:p>
      <w:pPr>
        <w:ind w:right="80" w:firstLine="438"/>
        <w:spacing w:after="0" w:line="227" w:lineRule="auto"/>
        <w:rPr>
          <w:sz w:val="20"/>
          <w:szCs w:val="20"/>
          <w:color w:val="auto"/>
        </w:rPr>
      </w:pPr>
      <w:r>
        <w:rPr>
          <w:rFonts w:ascii="Arial" w:cs="Arial" w:eastAsia="Arial" w:hAnsi="Arial"/>
          <w:sz w:val="14"/>
          <w:szCs w:val="14"/>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13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131" w:lineRule="exact"/>
        <w:rPr>
          <w:sz w:val="20"/>
          <w:szCs w:val="20"/>
          <w:color w:val="auto"/>
        </w:rPr>
      </w:pPr>
    </w:p>
    <w:p>
      <w:pPr>
        <w:ind w:right="500"/>
        <w:spacing w:after="0" w:line="253" w:lineRule="auto"/>
        <w:rPr>
          <w:sz w:val="20"/>
          <w:szCs w:val="20"/>
          <w:color w:val="auto"/>
        </w:rPr>
      </w:pPr>
      <w:r>
        <w:rPr>
          <w:rFonts w:ascii="Arial" w:cs="Arial" w:eastAsia="Arial" w:hAnsi="Arial"/>
          <w:sz w:val="14"/>
          <w:szCs w:val="14"/>
          <w:b w:val="1"/>
          <w:bCs w:val="1"/>
          <w:i w:val="1"/>
          <w:iCs w:val="1"/>
          <w:color w:val="auto"/>
        </w:rPr>
        <w:t>Our business and operations could be negatively affected if we become subject to stockholder activism, which could cause us to incur significant expense, hinder the execution of our investment strategy or impact our stock price.</w:t>
      </w:r>
    </w:p>
    <w:p>
      <w:pPr>
        <w:spacing w:after="0" w:line="93"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Stockholder activism, which could take many forms,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of directors, or arise in a variety of situations, has been increasing in the BDC space recently. While we are currently not subject to any stockholder activism, due to the potential volatility of our stock price and for a variety of other reasons, we may in the future become the target of stockholder activism. Stockholder activism could result in substantial costs and divert management’s and our board of directors’ attention and resources from our business. Additionally, such stockholder activism could give rise to perceived uncertainties as to our future and adversely affect our relationships with service providers and our portfolio companies. Also, we may be required to incur significant legal and other expenses related to any activist stockholder matters. Further, our stock price could be subject to significant fluctuation or otherwise be adversely affected by the events, risks and uncertainties of any stockholder activism.</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127"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106" w:lineRule="exact"/>
        <w:rPr>
          <w:sz w:val="20"/>
          <w:szCs w:val="20"/>
          <w:color w:val="auto"/>
        </w:rPr>
      </w:pPr>
    </w:p>
    <w:p>
      <w:pPr>
        <w:ind w:right="100" w:firstLine="438"/>
        <w:spacing w:after="0" w:line="247" w:lineRule="auto"/>
        <w:rPr>
          <w:sz w:val="20"/>
          <w:szCs w:val="20"/>
          <w:color w:val="auto"/>
        </w:rPr>
      </w:pPr>
      <w:r>
        <w:rPr>
          <w:rFonts w:ascii="Arial" w:cs="Arial" w:eastAsia="Arial" w:hAnsi="Arial"/>
          <w:sz w:val="13"/>
          <w:szCs w:val="13"/>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11" w:lineRule="exact"/>
        <w:rPr>
          <w:sz w:val="20"/>
          <w:szCs w:val="20"/>
          <w:color w:val="auto"/>
        </w:rPr>
      </w:pPr>
    </w:p>
    <w:p>
      <w:pPr>
        <w:ind w:right="60" w:firstLine="438"/>
        <w:spacing w:after="0" w:line="248" w:lineRule="auto"/>
        <w:rPr>
          <w:sz w:val="20"/>
          <w:szCs w:val="20"/>
          <w:color w:val="auto"/>
        </w:rPr>
      </w:pPr>
      <w:r>
        <w:rPr>
          <w:rFonts w:ascii="Arial" w:cs="Arial" w:eastAsia="Arial" w:hAnsi="Arial"/>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99" w:lineRule="exact"/>
        <w:rPr>
          <w:sz w:val="20"/>
          <w:szCs w:val="20"/>
          <w:color w:val="auto"/>
        </w:rPr>
      </w:pPr>
    </w:p>
    <w:p>
      <w:pPr>
        <w:ind w:right="60" w:firstLine="438"/>
        <w:spacing w:after="0" w:line="248" w:lineRule="auto"/>
        <w:rPr>
          <w:sz w:val="20"/>
          <w:szCs w:val="20"/>
          <w:color w:val="auto"/>
        </w:rPr>
      </w:pPr>
      <w:r>
        <w:rPr>
          <w:rFonts w:ascii="Arial" w:cs="Arial" w:eastAsia="Arial" w:hAnsi="Arial"/>
          <w:sz w:val="13"/>
          <w:szCs w:val="13"/>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102"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7" w:lineRule="exact"/>
        <w:rPr>
          <w:sz w:val="20"/>
          <w:szCs w:val="20"/>
          <w:color w:val="auto"/>
        </w:rPr>
      </w:pPr>
    </w:p>
    <w:p>
      <w:pPr>
        <w:ind w:right="160" w:firstLine="438"/>
        <w:spacing w:after="0" w:line="264" w:lineRule="auto"/>
        <w:rPr>
          <w:sz w:val="20"/>
          <w:szCs w:val="20"/>
          <w:color w:val="auto"/>
        </w:rPr>
      </w:pPr>
      <w:r>
        <w:rPr>
          <w:rFonts w:ascii="Arial" w:cs="Arial" w:eastAsia="Arial" w:hAnsi="Arial"/>
          <w:sz w:val="13"/>
          <w:szCs w:val="13"/>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123"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are susceptible to the risk of significant loss if we are forced to discount the value of our investments in order to provide liquidity to meet our debt maturities. Funding I’s borrowings under its Credit Facility are collateralized by the assets in our investment portfolio.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7"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invest in over-the-counter securities, which have and may continue to face liquidity constraints, to provide us with liquidity.</w:t>
      </w:r>
    </w:p>
    <w:p>
      <w:pPr>
        <w:spacing w:after="0" w:line="123"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INVESTMENTS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123"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We intend to invest primarily in Floating Rate Loans, which may consist of first lien secured debt, second lien secured debt, subordinated debt and selected equity investments issued by U.S. middle-market companies.</w:t>
      </w:r>
    </w:p>
    <w:p>
      <w:pPr>
        <w:spacing w:after="0" w:line="106" w:lineRule="exact"/>
        <w:rPr>
          <w:sz w:val="20"/>
          <w:szCs w:val="20"/>
          <w:color w:val="auto"/>
        </w:rPr>
      </w:pPr>
    </w:p>
    <w:p>
      <w:pPr>
        <w:ind w:left="920" w:hanging="359"/>
        <w:spacing w:after="0" w:line="248" w:lineRule="auto"/>
        <w:tabs>
          <w:tab w:leader="none" w:pos="920" w:val="left"/>
        </w:tabs>
        <w:numPr>
          <w:ilvl w:val="0"/>
          <w:numId w:val="3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Floating Rate Loans: </w:t>
      </w:r>
      <w:r>
        <w:rPr>
          <w:rFonts w:ascii="Arial" w:cs="Arial" w:eastAsia="Arial" w:hAnsi="Arial"/>
          <w:sz w:val="13"/>
          <w:szCs w:val="13"/>
          <w:color w:val="auto"/>
        </w:rPr>
        <w:t>The Floating Rate Loans we invest in are usually rated below investment grade or may also be unrated. Investments in Floating Rate Loans rated below</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default rate by portfolio companies.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fair value. Floating Rate Loans are subject to a number of risks, including liquidity risk and the risk of investing in below investment grade, variable-rate securities.</w:t>
      </w:r>
    </w:p>
    <w:p>
      <w:pPr>
        <w:spacing w:after="0" w:line="112" w:lineRule="exact"/>
        <w:rPr>
          <w:rFonts w:ascii="Arial" w:cs="Arial" w:eastAsia="Arial" w:hAnsi="Arial"/>
          <w:sz w:val="13"/>
          <w:szCs w:val="13"/>
          <w:color w:val="auto"/>
        </w:rPr>
      </w:pPr>
    </w:p>
    <w:p>
      <w:pPr>
        <w:ind w:left="920" w:right="20"/>
        <w:spacing w:after="0" w:line="253" w:lineRule="auto"/>
        <w:rPr>
          <w:rFonts w:ascii="Arial" w:cs="Arial" w:eastAsia="Arial" w:hAnsi="Arial"/>
          <w:sz w:val="13"/>
          <w:szCs w:val="13"/>
          <w:color w:val="auto"/>
        </w:rPr>
      </w:pPr>
      <w:r>
        <w:rPr>
          <w:rFonts w:ascii="Arial" w:cs="Arial" w:eastAsia="Arial" w:hAnsi="Arial"/>
          <w:sz w:val="14"/>
          <w:szCs w:val="14"/>
          <w:color w:val="auto"/>
        </w:rPr>
        <w:t>Floating Rate Loans are subject to the risk of non-payment of scheduled interest or principal. Such non-payment would result in a reduction of income to us, a reduction in the fair value of the investment and a potential decrease in our NAV. There can be no assurance that the liquidation of any collateral securing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6" w:name="page27"/>
    <w:bookmarkEnd w:id="26"/>
    <w:p>
      <w:pPr>
        <w:ind w:left="480" w:right="20"/>
        <w:spacing w:after="0" w:line="248" w:lineRule="auto"/>
        <w:rPr>
          <w:sz w:val="20"/>
          <w:szCs w:val="20"/>
          <w:color w:val="auto"/>
        </w:rPr>
      </w:pPr>
      <w:r>
        <w:rPr>
          <w:rFonts w:ascii="Arial" w:cs="Arial" w:eastAsia="Arial" w:hAnsi="Arial"/>
          <w:sz w:val="13"/>
          <w:szCs w:val="13"/>
          <w:color w:val="auto"/>
        </w:rPr>
        <w:t>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actions detrimental to the holders of loans including, in certain circumstances, invalidating such loans or causing interest previously paid to be refunded to the borrower. Either such action could materially negatively affect our performance.</w:t>
      </w:r>
    </w:p>
    <w:p>
      <w:pPr>
        <w:spacing w:after="0" w:line="99" w:lineRule="exact"/>
        <w:rPr>
          <w:sz w:val="20"/>
          <w:szCs w:val="20"/>
          <w:color w:val="auto"/>
        </w:rPr>
      </w:pPr>
    </w:p>
    <w:p>
      <w:pPr>
        <w:ind w:left="480" w:right="100"/>
        <w:spacing w:after="0" w:line="225" w:lineRule="auto"/>
        <w:rPr>
          <w:sz w:val="20"/>
          <w:szCs w:val="20"/>
          <w:color w:val="auto"/>
        </w:rPr>
      </w:pPr>
      <w:r>
        <w:rPr>
          <w:rFonts w:ascii="Arial" w:cs="Arial" w:eastAsia="Arial" w:hAnsi="Arial"/>
          <w:sz w:val="14"/>
          <w:szCs w:val="14"/>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 Floating Rate Loans can be first lien secured debt, second lien secured debt or subordinated debt.</w:t>
      </w:r>
    </w:p>
    <w:p>
      <w:pPr>
        <w:spacing w:after="0" w:line="122" w:lineRule="exact"/>
        <w:rPr>
          <w:sz w:val="20"/>
          <w:szCs w:val="20"/>
          <w:color w:val="auto"/>
        </w:rPr>
      </w:pPr>
    </w:p>
    <w:p>
      <w:pPr>
        <w:ind w:left="480" w:right="20" w:hanging="359"/>
        <w:spacing w:after="0" w:line="227" w:lineRule="auto"/>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First Lien Secured Debt: </w:t>
      </w:r>
      <w:r>
        <w:rPr>
          <w:rFonts w:ascii="Arial" w:cs="Arial" w:eastAsia="Arial" w:hAnsi="Arial"/>
          <w:sz w:val="14"/>
          <w:szCs w:val="14"/>
          <w:color w:val="auto"/>
        </w:rPr>
        <w:t>When we extend first lien secured debt, we will generally take a security interest in the available assets of these portfolio companies, including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118" w:lineRule="exact"/>
        <w:rPr>
          <w:rFonts w:ascii="Arial" w:cs="Arial" w:eastAsia="Arial" w:hAnsi="Arial"/>
          <w:sz w:val="14"/>
          <w:szCs w:val="14"/>
          <w:color w:val="auto"/>
        </w:rPr>
      </w:pPr>
    </w:p>
    <w:p>
      <w:pPr>
        <w:ind w:left="480" w:right="60" w:hanging="359"/>
        <w:spacing w:after="0" w:line="229" w:lineRule="auto"/>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Second Lien Secured Debt: </w:t>
      </w:r>
      <w:r>
        <w:rPr>
          <w:rFonts w:ascii="Arial" w:cs="Arial" w:eastAsia="Arial" w:hAnsi="Arial"/>
          <w:sz w:val="14"/>
          <w:szCs w:val="14"/>
          <w:color w:val="auto"/>
        </w:rPr>
        <w:t>Our second lien secured debt usually ranks junior in priority of payment to first lien secured debt. Second lien secured debt holds a second priority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second lien secured debt investments, such investments may be of greater risk than cash paying loans.</w:t>
      </w:r>
    </w:p>
    <w:p>
      <w:pPr>
        <w:spacing w:after="0" w:line="117" w:lineRule="exact"/>
        <w:rPr>
          <w:rFonts w:ascii="Arial" w:cs="Arial" w:eastAsia="Arial" w:hAnsi="Arial"/>
          <w:sz w:val="14"/>
          <w:szCs w:val="14"/>
          <w:color w:val="auto"/>
        </w:rPr>
      </w:pPr>
    </w:p>
    <w:p>
      <w:pPr>
        <w:ind w:left="480" w:hanging="359"/>
        <w:spacing w:after="0" w:line="229" w:lineRule="auto"/>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Subordinated Debt: </w:t>
      </w:r>
      <w:r>
        <w:rPr>
          <w:rFonts w:ascii="Arial" w:cs="Arial" w:eastAsia="Arial" w:hAnsi="Arial"/>
          <w:sz w:val="14"/>
          <w:szCs w:val="14"/>
          <w:color w:val="auto"/>
        </w:rPr>
        <w:t>Our subordinated debt usually ranks junior in priority of payment to first lien secured debt and second lien secured debt, and are often unsecured. As such,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117" w:lineRule="exact"/>
        <w:rPr>
          <w:rFonts w:ascii="Arial" w:cs="Arial" w:eastAsia="Arial" w:hAnsi="Arial"/>
          <w:sz w:val="14"/>
          <w:szCs w:val="14"/>
          <w:color w:val="auto"/>
        </w:rPr>
      </w:pPr>
    </w:p>
    <w:p>
      <w:pPr>
        <w:ind w:left="480" w:right="60" w:hanging="359"/>
        <w:spacing w:after="0" w:line="247" w:lineRule="auto"/>
        <w:tabs>
          <w:tab w:leader="none" w:pos="480" w:val="left"/>
        </w:tabs>
        <w:numPr>
          <w:ilvl w:val="0"/>
          <w:numId w:val="3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Equity Investments: </w:t>
      </w:r>
      <w:r>
        <w:rPr>
          <w:rFonts w:ascii="Arial" w:cs="Arial" w:eastAsia="Arial" w:hAnsi="Arial"/>
          <w:sz w:val="13"/>
          <w:szCs w:val="13"/>
          <w:color w:val="auto"/>
        </w:rPr>
        <w:t>We have made and expect to continue to make select equity investments, all of which are subordinated to debt investments. In addition, when we invest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136" w:lineRule="exact"/>
        <w:rPr>
          <w:sz w:val="20"/>
          <w:szCs w:val="20"/>
          <w:color w:val="auto"/>
        </w:rPr>
      </w:pPr>
    </w:p>
    <w:p>
      <w:pPr>
        <w:ind w:left="480" w:right="520" w:hanging="359"/>
        <w:spacing w:after="0" w:line="238" w:lineRule="auto"/>
        <w:tabs>
          <w:tab w:leader="none" w:pos="4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15" w:lineRule="exact"/>
        <w:rPr>
          <w:rFonts w:ascii="Arial" w:cs="Arial" w:eastAsia="Arial" w:hAnsi="Arial"/>
          <w:sz w:val="14"/>
          <w:szCs w:val="14"/>
          <w:color w:val="auto"/>
        </w:rPr>
      </w:pPr>
    </w:p>
    <w:p>
      <w:pPr>
        <w:ind w:left="480" w:right="60" w:hanging="359"/>
        <w:spacing w:after="0" w:line="335" w:lineRule="auto"/>
        <w:tabs>
          <w:tab w:leader="none" w:pos="4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60" w:lineRule="exact"/>
        <w:rPr>
          <w:rFonts w:ascii="Arial" w:cs="Arial" w:eastAsia="Arial" w:hAnsi="Arial"/>
          <w:sz w:val="12"/>
          <w:szCs w:val="12"/>
          <w:color w:val="auto"/>
        </w:rPr>
      </w:pPr>
    </w:p>
    <w:p>
      <w:pPr>
        <w:ind w:left="480" w:right="340" w:hanging="359"/>
        <w:spacing w:after="0" w:line="253" w:lineRule="auto"/>
        <w:tabs>
          <w:tab w:leader="none" w:pos="4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06" w:lineRule="exact"/>
        <w:rPr>
          <w:rFonts w:ascii="Arial" w:cs="Arial" w:eastAsia="Arial" w:hAnsi="Arial"/>
          <w:sz w:val="14"/>
          <w:szCs w:val="14"/>
          <w:color w:val="auto"/>
        </w:rPr>
      </w:pPr>
    </w:p>
    <w:p>
      <w:pPr>
        <w:ind w:left="480" w:right="200" w:hanging="359"/>
        <w:spacing w:after="0" w:line="264" w:lineRule="auto"/>
        <w:tabs>
          <w:tab w:leader="none" w:pos="4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100" w:lineRule="exact"/>
        <w:rPr>
          <w:rFonts w:ascii="Arial" w:cs="Arial" w:eastAsia="Arial" w:hAnsi="Arial"/>
          <w:sz w:val="13"/>
          <w:szCs w:val="13"/>
          <w:color w:val="auto"/>
        </w:rPr>
      </w:pPr>
    </w:p>
    <w:p>
      <w:pPr>
        <w:ind w:left="480" w:right="380" w:hanging="359"/>
        <w:spacing w:after="0" w:line="253" w:lineRule="auto"/>
        <w:tabs>
          <w:tab w:leader="none" w:pos="4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they may have difficulty accessing the capital markets to meet future capital needs, which may limit their ability to grow or to refinance their outstanding indebtedness upon maturity.</w:t>
      </w:r>
    </w:p>
    <w:p>
      <w:pPr>
        <w:spacing w:after="0" w:line="174"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59690</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269" w:right="339" w:bottom="1440" w:gutter="0" w:footer="0" w:header="0"/>
        </w:sectPr>
      </w:pPr>
    </w:p>
    <w:bookmarkStart w:id="27" w:name="page28"/>
    <w:bookmarkEnd w:id="27"/>
    <w:p>
      <w:pPr>
        <w:ind w:right="20"/>
        <w:spacing w:after="0" w:line="253"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93"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17"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13"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93"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136" w:lineRule="exact"/>
        <w:rPr>
          <w:sz w:val="20"/>
          <w:szCs w:val="20"/>
          <w:color w:val="auto"/>
        </w:rPr>
      </w:pPr>
    </w:p>
    <w:p>
      <w:pPr>
        <w:ind w:right="200" w:firstLine="438"/>
        <w:spacing w:after="0" w:line="231" w:lineRule="auto"/>
        <w:rPr>
          <w:sz w:val="20"/>
          <w:szCs w:val="20"/>
          <w:color w:val="auto"/>
        </w:rPr>
      </w:pPr>
      <w:r>
        <w:rPr>
          <w:rFonts w:ascii="Arial" w:cs="Arial" w:eastAsia="Arial" w:hAnsi="Arial"/>
          <w:sz w:val="14"/>
          <w:szCs w:val="14"/>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3" w:lineRule="exact"/>
        <w:rPr>
          <w:sz w:val="20"/>
          <w:szCs w:val="20"/>
          <w:color w:val="auto"/>
        </w:rPr>
      </w:pPr>
    </w:p>
    <w:p>
      <w:pPr>
        <w:ind w:right="120" w:firstLine="438"/>
        <w:spacing w:after="0" w:line="248"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123" w:lineRule="exact"/>
        <w:rPr>
          <w:sz w:val="20"/>
          <w:szCs w:val="20"/>
          <w:color w:val="auto"/>
        </w:rPr>
      </w:pPr>
    </w:p>
    <w:p>
      <w:pPr>
        <w:ind w:left="920" w:hanging="359"/>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204"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either because we prefer other opportunities or because we are inhibited by compliance with BDC requirements or the desire to maintain our RIC tax status.</w:t>
      </w:r>
    </w:p>
    <w:p>
      <w:pPr>
        <w:spacing w:after="0" w:line="116"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0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8" w:name="page29"/>
    <w:bookmarkEnd w:id="28"/>
    <w:p>
      <w:pPr>
        <w:ind w:right="400"/>
        <w:spacing w:after="0" w:line="335"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47"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 and our portfolio companies may be highly leveraged.</w:t>
      </w:r>
    </w:p>
    <w:p>
      <w:pPr>
        <w:spacing w:after="0" w:line="136"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We invest primarily in Floating Rate Loans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11"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investments in distressed debt may not produce income and may require us to bear large expenses in order to protect and recover our investment.</w:t>
      </w:r>
    </w:p>
    <w:p>
      <w:pPr>
        <w:spacing w:after="0" w:line="136" w:lineRule="exact"/>
        <w:rPr>
          <w:sz w:val="20"/>
          <w:szCs w:val="20"/>
          <w:color w:val="auto"/>
        </w:rPr>
      </w:pPr>
    </w:p>
    <w:p>
      <w:pPr>
        <w:ind w:right="80" w:firstLine="438"/>
        <w:spacing w:after="0" w:line="227" w:lineRule="auto"/>
        <w:rPr>
          <w:sz w:val="20"/>
          <w:szCs w:val="20"/>
          <w:color w:val="auto"/>
        </w:rPr>
      </w:pPr>
      <w:r>
        <w:rPr>
          <w:rFonts w:ascii="Arial" w:cs="Arial" w:eastAsia="Arial" w:hAnsi="Arial"/>
          <w:sz w:val="14"/>
          <w:szCs w:val="14"/>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123"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Our investment strategy contemplates potential investments in securities of companies located outside of the United States. Investments in securities of companies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09" w:lineRule="exact"/>
        <w:rPr>
          <w:sz w:val="20"/>
          <w:szCs w:val="20"/>
          <w:color w:val="auto"/>
        </w:rPr>
      </w:pPr>
    </w:p>
    <w:p>
      <w:pPr>
        <w:jc w:val="both"/>
        <w:ind w:right="220" w:firstLine="438"/>
        <w:spacing w:after="0" w:line="255" w:lineRule="auto"/>
        <w:rPr>
          <w:sz w:val="20"/>
          <w:szCs w:val="20"/>
          <w:color w:val="auto"/>
        </w:rPr>
      </w:pPr>
      <w:r>
        <w:rPr>
          <w:rFonts w:ascii="Arial" w:cs="Arial" w:eastAsia="Arial" w:hAnsi="Arial"/>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and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make investments that cause our stockholders to bear investment advisory fees and other expenses on such investments in addition to our management fees and expenses.</w:t>
      </w:r>
    </w:p>
    <w:p>
      <w:pPr>
        <w:spacing w:after="0" w:line="134"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 In addition, increases in interest rates may increase the amount of incentive fees we pay to the Investment Adviser even though our performance relative to the market has not increased.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123"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17" w:lineRule="exact"/>
        <w:rPr>
          <w:sz w:val="20"/>
          <w:szCs w:val="20"/>
          <w:color w:val="auto"/>
        </w:rPr>
      </w:pPr>
    </w:p>
    <w:p>
      <w:pPr>
        <w:ind w:right="80" w:firstLine="438"/>
        <w:spacing w:after="0" w:line="228" w:lineRule="auto"/>
        <w:rPr>
          <w:sz w:val="20"/>
          <w:szCs w:val="20"/>
          <w:color w:val="auto"/>
        </w:rPr>
      </w:pPr>
      <w:r>
        <w:rPr>
          <w:rFonts w:ascii="Arial" w:cs="Arial" w:eastAsia="Arial" w:hAnsi="Arial"/>
          <w:sz w:val="14"/>
          <w:szCs w:val="14"/>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27"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115"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15"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04"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136"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136" w:lineRule="exact"/>
        <w:rPr>
          <w:sz w:val="20"/>
          <w:szCs w:val="20"/>
          <w:color w:val="auto"/>
        </w:rPr>
      </w:pPr>
    </w:p>
    <w:p>
      <w:pPr>
        <w:ind w:right="220" w:firstLine="438"/>
        <w:spacing w:after="0" w:line="290" w:lineRule="auto"/>
        <w:rPr>
          <w:sz w:val="20"/>
          <w:szCs w:val="20"/>
          <w:color w:val="auto"/>
        </w:rPr>
      </w:pPr>
      <w:r>
        <w:rPr>
          <w:rFonts w:ascii="Arial" w:cs="Arial" w:eastAsia="Arial" w:hAnsi="Arial"/>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123" w:lineRule="exact"/>
        <w:rPr>
          <w:sz w:val="20"/>
          <w:szCs w:val="20"/>
          <w:color w:val="auto"/>
        </w:rPr>
      </w:pPr>
    </w:p>
    <w:p>
      <w:pPr>
        <w:ind w:right="540" w:firstLine="438"/>
        <w:spacing w:after="0" w:line="253"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136"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shares may trade at discounts from NAV or at premiums that are unsustainable over the long term.</w:t>
      </w:r>
    </w:p>
    <w:p>
      <w:pPr>
        <w:spacing w:after="0" w:line="136"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Shares of BDCs may trade at a market price that is less than the NAV that is attributable to those shares. Our shares have traded above and below our NAV. Our shares closed on The Nasdaq Global Select Market at $12.79 and $8.44 on September 30, 2021 and 2020, respectively. Our NAV per share was $12.62 and $12.31 as of the same dates,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123"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06" w:lineRule="exact"/>
        <w:rPr>
          <w:sz w:val="20"/>
          <w:szCs w:val="20"/>
          <w:color w:val="auto"/>
        </w:rPr>
      </w:pPr>
    </w:p>
    <w:p>
      <w:pPr>
        <w:ind w:left="920" w:right="60" w:hanging="359"/>
        <w:spacing w:after="0" w:line="253" w:lineRule="auto"/>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significant volatility in the market price and trading volume of securities of BDCs or other companies in our sector, which are not necessarily related to the operating performance of these companies;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or BDCs;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any loss of our BDC or RIC status;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prevailing interest rates;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general national and international economic trends and other external factors;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general price and volume fluctuations in the stock markets, including as a result of short sales;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204"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123"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common stockholders may receive our stock as distributions in which case they may be required to pay taxes in excess of the cash they receive.</w:t>
      </w:r>
    </w:p>
    <w:p>
      <w:pPr>
        <w:spacing w:after="0" w:line="136"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Revenue Procedures issued by the IRS allow a publicly offered regulated investment company (including a BDC) to distribute its own stock as a dividend for the purpose of fulfilling its distribution requirements, if certain conditions are satisfied. As long as a portion of such dividend is paid in cash (which portion may be as low as 20% of such dividend) and certain requirements are met, the entire distribution will be treated as a dividend for U.S. federal income tax purposes. As a result,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48"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09"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03" w:lineRule="exact"/>
        <w:rPr>
          <w:sz w:val="20"/>
          <w:szCs w:val="20"/>
          <w:color w:val="auto"/>
        </w:rPr>
      </w:pPr>
    </w:p>
    <w:p>
      <w:pPr>
        <w:ind w:right="460" w:firstLine="438"/>
        <w:spacing w:after="0" w:line="253"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RISKS RELATING TO AN INVESTMENT IN OUR DEBT SECURITIES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2023 Notes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2023 are unsecured and therefore are effectively subordinated to any secured indebtedness we have currently incurred or may incur in the future.</w:t>
      </w:r>
    </w:p>
    <w:p>
      <w:pPr>
        <w:spacing w:after="0" w:line="136" w:lineRule="exact"/>
        <w:rPr>
          <w:sz w:val="20"/>
          <w:szCs w:val="20"/>
          <w:color w:val="auto"/>
        </w:rPr>
      </w:pPr>
    </w:p>
    <w:p>
      <w:pPr>
        <w:ind w:right="40" w:firstLine="438"/>
        <w:spacing w:after="0" w:line="248" w:lineRule="auto"/>
        <w:rPr>
          <w:sz w:val="20"/>
          <w:szCs w:val="20"/>
          <w:color w:val="auto"/>
        </w:rPr>
      </w:pPr>
      <w:r>
        <w:rPr>
          <w:rFonts w:ascii="Arial" w:cs="Arial" w:eastAsia="Arial" w:hAnsi="Arial"/>
          <w:sz w:val="13"/>
          <w:szCs w:val="13"/>
          <w:color w:val="auto"/>
        </w:rPr>
        <w:t>The 2023 Notes Notes are not secured by any of our assets or any of the assets of our subsidiaries. As a result, the 2023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2023 Notes. As of September 30, 2021, we had $219.4 million outstanding under the Credit Facility. The Credit Facility is secured by substantially all of the assets of Funding I, and the indebtedness under the Credit Facility is therefore effectively senior in right of payment to the 2023 Notes to the extent of the value of such assets.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2023 Notes are structurally subordinated to the indebtedness and other liabilities of our subsidiaries.</w:t>
      </w:r>
    </w:p>
    <w:p>
      <w:pPr>
        <w:spacing w:after="0" w:line="136"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The 2023 Notes are obligations exclusively of PennantPark Floating Rate Capital Ltd. and not of any of our subsidiaries. None of our subsidiaries is or acts as a guarantor of the 2023 Notes and the 2023 Notes are not required to be guaranteed by any subsidiaries we may acquire or create in the future.</w:t>
      </w:r>
    </w:p>
    <w:p>
      <w:pPr>
        <w:spacing w:after="0" w:line="106" w:lineRule="exact"/>
        <w:rPr>
          <w:sz w:val="20"/>
          <w:szCs w:val="20"/>
          <w:color w:val="auto"/>
        </w:rPr>
      </w:pPr>
    </w:p>
    <w:p>
      <w:pPr>
        <w:ind w:right="100" w:firstLine="438"/>
        <w:spacing w:after="0" w:line="251" w:lineRule="auto"/>
        <w:rPr>
          <w:sz w:val="20"/>
          <w:szCs w:val="20"/>
          <w:color w:val="auto"/>
        </w:rPr>
      </w:pPr>
      <w:r>
        <w:rPr>
          <w:rFonts w:ascii="Arial" w:cs="Arial" w:eastAsia="Arial" w:hAnsi="Arial"/>
          <w:sz w:val="13"/>
          <w:szCs w:val="13"/>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2023 Notes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2023 Notes are structurally subordinated to all indebtedness and other liabilities (including trade payables) of our subsidiaries and any subsidiaries that we may in the future acquire or establish as financing vehicles or otherwise.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2023 Notes are linked to the U.S. Dollar and therefore holders of the 2023 Notes are subject to currency risk.</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Payments of principal and interest under the 2023 Notes will be adjusted for increases or decreases in the representative exchange rate of the U.S. Dollar to the New Israeli Shekel, or NIS, from the time of the public offering of the 2023 Notes. Accordingly, if such exchange rate declines, the rate of interest holders of the 2023 Notes receive in NIS terms effectively will be lower than the stated interest rate of the 2023 Notes and they will be entitled to receive fewer NIS upon repayment of the 2023 Notes than the par value thereof.</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an active trading market does not develop for the 2023 Notes holders of the 2023 Notes may not be able to sell them.</w:t>
      </w:r>
    </w:p>
    <w:p>
      <w:pPr>
        <w:spacing w:after="0" w:line="123"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The 2023 Notes may trade at a discount to their initial offering price depending on prevailing interest rates, foreign currency exchange rates, the market for similar securities, our credit ratings, our financial condition or other relevant factors. We cannot assure holders of the 2023 Notes that a liquid trading market will develop for the 2023 Notes, that they will be able to sell their 2023 Notes at a particular time or that the price they receive when they sell will be favorable. To the extent an active trading market does not develop, the liquidity and trading price for the 2023 Notes may be harmed. Accordingly, investors may be required to bear the financial risk of an investment in the 2023 Notes for an indefinite period of time.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the 2023 Notes may fluctuate.</w:t>
      </w:r>
    </w:p>
    <w:p>
      <w:pPr>
        <w:spacing w:after="0" w:line="136"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If an active trading market for the 2023 Notes does develop on the TASE, the 2023 Notes may trade at prices lower than the offering price. The trading price of the 2023 Notes depends on many factors, including:</w:t>
      </w:r>
    </w:p>
    <w:p>
      <w:pPr>
        <w:spacing w:after="0" w:line="93" w:lineRule="exact"/>
        <w:rPr>
          <w:sz w:val="20"/>
          <w:szCs w:val="20"/>
          <w:color w:val="auto"/>
        </w:rPr>
      </w:pPr>
    </w:p>
    <w:p>
      <w:pPr>
        <w:ind w:left="920" w:hanging="359"/>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prevailing interest rates;</w:t>
      </w:r>
    </w:p>
    <w:p>
      <w:pPr>
        <w:spacing w:after="0" w:line="217" w:lineRule="exact"/>
        <w:rPr>
          <w:rFonts w:ascii="Arial" w:cs="Arial" w:eastAsia="Arial" w:hAnsi="Arial"/>
          <w:sz w:val="14"/>
          <w:szCs w:val="14"/>
          <w:color w:val="auto"/>
        </w:rPr>
      </w:pPr>
    </w:p>
    <w:p>
      <w:pPr>
        <w:ind w:left="920" w:hanging="359"/>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prevailing exchange rate of the U.S. Dollar to the NIS;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market for similar securities;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general political, economic and financial market conditions in Israel and globally;</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issuance of debt or preferred equity securities; and</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financial condition, results of operations and prospects.</w:t>
      </w:r>
    </w:p>
    <w:p>
      <w:pPr>
        <w:spacing w:after="0" w:line="190"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In addition, a downgrade, suspension or withdrawal of the credit rating assigned by a rating agency to us or the 2023 Notes, if any, or change in the debt markets could cause the liquidity or market value of the 2023 Notes to decline significantly.</w:t>
      </w:r>
    </w:p>
    <w:p>
      <w:pPr>
        <w:spacing w:after="0" w:line="10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Our credit ratings are an assessment by rating agencies of our ability to pay our debts when due. Consequently, real or anticipated changes in our credit ratings will generally affect the market value of the 2023 Notes. These credit ratings may not reflect the potential impact of risks relating to the structure or marketing of the 2023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2023 Notes of any changes in our credit ratings. There can be no assurance that our credit ratings will remain for any given period of time or that they will not be lowered or withdrawn entirely if in the judgment of the rating agency future circumstances relating to the basis of our credit ratings, such as adverse changes in our company, so warrant. In addition, the interest rate payable under the 2023 Notes will increase in the event of certain ratings declines or if a rating agency ceases to rate the 2023 Notes for more than 21 days until such declines are reversed and/or the 2023 Notes are again rated by a rating agency.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i w:val="1"/>
          <w:iCs w:val="1"/>
          <w:color w:val="auto"/>
        </w:rPr>
        <w:t>The deed of trust under which the 2023 Notes were issued contains limited protection for holders of the 2023 Notes.</w:t>
      </w:r>
    </w:p>
    <w:p>
      <w:pPr>
        <w:spacing w:after="0" w:line="123"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The deed of trust under which the 2023 Notes were issued offers limited protection to holders of the 2023 Notes. The terms of the deed of trust and the 2023 Notes do not restrict our or any of our subsidiaries’ ability to engage in, or otherwise be a party to, a variety of corporate transactions, circumstances or events that could have an adverse impact on each holder’s investment in the 2023 Notes. In particular, subject to the satisfaction of certain financial covenants, the terms of the deed of trust and the 2023 Notes will not place any restrictions on our or our subsidiaries’ ability to:</w:t>
      </w:r>
    </w:p>
    <w:p>
      <w:pPr>
        <w:spacing w:after="0" w:line="117" w:lineRule="exact"/>
        <w:rPr>
          <w:sz w:val="20"/>
          <w:szCs w:val="20"/>
          <w:color w:val="auto"/>
        </w:rPr>
      </w:pPr>
    </w:p>
    <w:p>
      <w:pPr>
        <w:ind w:left="920" w:right="60" w:hanging="359"/>
        <w:spacing w:after="0" w:line="248" w:lineRule="auto"/>
        <w:tabs>
          <w:tab w:leader="none" w:pos="9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issue securities or otherwise incur additional indebtedness or other obligations, including (1) any indebtedness or other obligations that would be equal in right of payment to the 2023 Notes, (2) any indebtedness or other obligations that would be secured and therefore rank effectively senior in right of payment to the 2023 Notes to the extent of the values of the assets securing such debt, (3) indebtedness of ours that is guaranteed by one or more of our subsidiaries and which therefore would rank structurally senior to the 2023 Notes and (4) securities, indebtedness or other obligations issued or incurred by our subsidiaries that would be senior in right of payment to our equity interests in our subsidiaries and therefore would rank structurally senior in right of payment to the 2023 Notes with respect to the assets of our subsidiaries, in each case other than an incurrence of indebtedness or other obligation that would cause a violation of Section 18(a)(1)(A) as modified by Section 61(a)(1)-(2) of the 1940 Act or any successor provisions;</w:t>
      </w:r>
    </w:p>
    <w:p>
      <w:pPr>
        <w:spacing w:after="0" w:line="112" w:lineRule="exact"/>
        <w:rPr>
          <w:rFonts w:ascii="Arial" w:cs="Arial" w:eastAsia="Arial" w:hAnsi="Arial"/>
          <w:sz w:val="13"/>
          <w:szCs w:val="13"/>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pay dividends on, or purchase or redeem or make any payments in respect of, capital stock or other securities ranking junior in right of payment to the 2023 Notes;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sell assets;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enter into sale and leaseback transactions;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make investments; or</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create restrictions on the payment of dividends or other amounts to us from our subsidiaries.</w:t>
      </w:r>
    </w:p>
    <w:p>
      <w:pPr>
        <w:spacing w:after="0" w:line="204" w:lineRule="exact"/>
        <w:rPr>
          <w:sz w:val="20"/>
          <w:szCs w:val="20"/>
          <w:color w:val="auto"/>
        </w:rPr>
      </w:pPr>
    </w:p>
    <w:p>
      <w:pPr>
        <w:ind w:right="60" w:firstLine="438"/>
        <w:spacing w:after="0" w:line="290" w:lineRule="auto"/>
        <w:rPr>
          <w:sz w:val="20"/>
          <w:szCs w:val="20"/>
          <w:color w:val="auto"/>
        </w:rPr>
      </w:pPr>
      <w:r>
        <w:rPr>
          <w:rFonts w:ascii="Arial" w:cs="Arial" w:eastAsia="Arial" w:hAnsi="Arial"/>
          <w:sz w:val="13"/>
          <w:szCs w:val="13"/>
          <w:color w:val="auto"/>
        </w:rPr>
        <w:t>Our ability to recapitalize, incur additional debt and take a number of other actions that are not limited by the terms of the 2023 Notes may have important consequences for holders of the 2023 Notes, including making it more difficult for us to satisfy our obligations with respect to the 2023 Notes or negatively affecting the trading value of the 2023 Notes.</w:t>
      </w:r>
    </w:p>
    <w:p>
      <w:pPr>
        <w:spacing w:after="0" w:line="84"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Other debt we issue or incur in the future could contain more protections for its holders than the deed of trust and the 2023 Notes, including additional covenants and events of default. The issuance or incurrence of any such debt with incremental protections could affect the market for and trading levels and prices of the 2023 Notes.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optional redemption provision may materially adversely affect the return on the 2023 Notes.</w:t>
      </w:r>
    </w:p>
    <w:p>
      <w:pPr>
        <w:spacing w:after="0" w:line="136" w:lineRule="exact"/>
        <w:rPr>
          <w:sz w:val="20"/>
          <w:szCs w:val="20"/>
          <w:color w:val="auto"/>
        </w:rPr>
      </w:pPr>
    </w:p>
    <w:p>
      <w:pPr>
        <w:ind w:right="500" w:firstLine="438"/>
        <w:spacing w:after="0" w:line="238" w:lineRule="auto"/>
        <w:rPr>
          <w:sz w:val="20"/>
          <w:szCs w:val="20"/>
          <w:color w:val="auto"/>
        </w:rPr>
      </w:pPr>
      <w:r>
        <w:rPr>
          <w:rFonts w:ascii="Arial" w:cs="Arial" w:eastAsia="Arial" w:hAnsi="Arial"/>
          <w:sz w:val="14"/>
          <w:szCs w:val="14"/>
          <w:color w:val="auto"/>
        </w:rPr>
        <w:t>The 2023 Notes are redeemable in whole or in part upon certain conditions at any time or from time to time at our option. We may choose to redeem the 2023 Notes at times when prevailing interest rates are lower than the interest rate paid on the 2023 Notes. In this circumstance, holders of the 2023 Notes may not be able to reinvest the redemption proceeds in a comparable security at an effective interest rate as high as the 2023 Notes being redeemed.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default on our obligations to pay our other indebtedness, we may not be able to make payments on the 2023 Notes.</w:t>
      </w:r>
    </w:p>
    <w:p>
      <w:pPr>
        <w:spacing w:after="0" w:line="123" w:lineRule="exact"/>
        <w:rPr>
          <w:sz w:val="20"/>
          <w:szCs w:val="20"/>
          <w:color w:val="auto"/>
        </w:rPr>
      </w:pPr>
    </w:p>
    <w:p>
      <w:pPr>
        <w:ind w:right="60" w:firstLine="438"/>
        <w:spacing w:after="0" w:line="225" w:lineRule="auto"/>
        <w:rPr>
          <w:sz w:val="20"/>
          <w:szCs w:val="20"/>
          <w:color w:val="auto"/>
        </w:rPr>
      </w:pPr>
      <w:r>
        <w:rPr>
          <w:rFonts w:ascii="Arial" w:cs="Arial" w:eastAsia="Arial" w:hAnsi="Arial"/>
          <w:sz w:val="14"/>
          <w:szCs w:val="14"/>
          <w:color w:val="auto"/>
        </w:rPr>
        <w:t>Any default under the agreements governing our indebtedness, including a default under our Credit Facility, or under other indebtedness to which we may be a party that is not waived by the required lenders or holders, and the remedies sought by the holders of such indebtedness could make us unable to pay principal, premium, if any, and interest on the 2023 Notes and substantially decrease the market value of the 2023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other debt that we may incur in the future to avoid being in default. If we breach our covenants under our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has, and any future debt will likely have, customary cross-default provisions, if the indebtedness thereunder or under any future credit facility is accelerated, we may be unable to repay or finance the amounts due.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FATCA withholding may apply to payments to certain foreign entities.</w:t>
      </w:r>
    </w:p>
    <w:p>
      <w:pPr>
        <w:spacing w:after="0" w:line="136"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Payments made under the 2023 Notes to a foreign financial institution or non-financial foreign entity (including such an institution or entity acting as an intermediary) may be subject to a U.S. withholding tax of 30% under the Foreign Account Tax Compliance Act (commonly known as “FATCA”) provisions of the Code. This U.S. withholding tax may apply to certain payments of interest on the 2023 Notes, unless the foreign financial institution or non-financial foreign entity complies with certain information reporting, withholding, identification, certification and related requirements imposed by FATCA. Depending upon the status of a holder and the status of an intermediary through which any notes are held, the holder could be subject to this 30% U.S. withholding tax in respect of any interest paid on the notes. Holders of the 2023 Notes should consult their own tax advisors regarding FATCA and how it may affect their investment in the 2023 Notes.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It may be difficult to obtain and enforce civil judgments against us and our directors, officers and experts.</w:t>
      </w:r>
    </w:p>
    <w:p>
      <w:pPr>
        <w:spacing w:after="0" w:line="136"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We are a Maryland corporation and our principal executive offices are located in New York City. All of our assets are located outside of Israel. As a result, even though the deed of trust for the 2023 Notes is governed by Israeli law and any disputes thereunder are stipulated to be adjudicated in Israeli courts, holders of the 2023 Notes may have difficulty enforcing in Israel judgments they may obtain in an Israeli court against us.</w:t>
      </w:r>
    </w:p>
    <w:p>
      <w:pPr>
        <w:spacing w:after="0" w:line="115"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U.S. courts may refuse to hear a securities law claim of a non-U.S. investor who purchased our securities on the TASE. In addition, since our directors, officers and experts are located outside of Israel, it may be difficult serving legal process upon any of these persons. It also may be difficult enforcing judgments holders of the 2023 Notes may obtain in Israeli courts against us or those persons in any action, including actions based upon the civil liability provisions of U.S. securities laws.</w:t>
      </w:r>
    </w:p>
    <w:p>
      <w:pPr>
        <w:spacing w:after="0" w:line="102"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It may also be difficult to assert U.S. securities laws claims in original actions instituted in Israel. Israeli courts may refuse to hear a claim based on an alleged violation of U.S. securities laws reasoning that Israel is not the most appropriate forum to bring such a claim. In particular, the Israeli Securities Law expressly authorizes Israeli courts to stay a securities lawsuit against a dual-listed company while a lawsuit on similar grounds is being adjudicated in a non-Israeli court.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3" w:name="page34"/>
    <w:bookmarkEnd w:id="33"/>
    <w:p>
      <w:pPr>
        <w:ind w:right="200" w:firstLine="438"/>
        <w:spacing w:after="0" w:line="238" w:lineRule="auto"/>
        <w:rPr>
          <w:sz w:val="20"/>
          <w:szCs w:val="20"/>
          <w:color w:val="auto"/>
        </w:rPr>
      </w:pPr>
      <w:r>
        <w:rPr>
          <w:rFonts w:ascii="Arial" w:cs="Arial" w:eastAsia="Arial" w:hAnsi="Arial"/>
          <w:sz w:val="14"/>
          <w:szCs w:val="14"/>
          <w:color w:val="auto"/>
        </w:rPr>
        <w:t>Subject to specified time limitations and legal procedures, under the rules of private international law currently prevailing in Israel, Israeli courts may enforce a U.S. judgment in a civil matter, including a judgment based upon the civil liability provisions of the U.S. securities laws, as well as a monetary or compensatory judgment in a non-civil matter, provided that the following key conditions are met:</w:t>
      </w:r>
    </w:p>
    <w:p>
      <w:pPr>
        <w:spacing w:after="0" w:line="102" w:lineRule="exact"/>
        <w:rPr>
          <w:sz w:val="20"/>
          <w:szCs w:val="20"/>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subject to limited exceptions, the judgment is final and non-appealable;</w:t>
      </w:r>
    </w:p>
    <w:p>
      <w:pPr>
        <w:spacing w:after="0" w:line="217"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judgment was given by a court competent under the laws of the state of the court and is otherwise enforceable in such state;</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judgment was rendered by a court competent under the rules of private international law applicable in Israel;</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laws of the state in which the judgment was given provide for the enforcement of judgments of Israeli courts;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adequate service of process has been effected and the defendant has had a reasonable opportunity to present his arguments and evidence;</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judgment and its enforcement are not contrary to the law, public policy, security or sovereignty of the State of Israel;</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judgment was not obtained by fraud and does not conflict with any other valid judgment in the same matter between the same parties; and</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an action between the same parties in the same matter was not pending in any Israeli court at the time the lawsuit was instituted in the U.S. court.</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Risks Relating to Our 2026 Notes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2026 Notes are unsecured and therefore are effectively subordinated to any secured indebtedness we have currently incurred or may incur in the future.</w:t>
      </w:r>
    </w:p>
    <w:p>
      <w:pPr>
        <w:spacing w:after="0" w:line="136" w:lineRule="exact"/>
        <w:rPr>
          <w:sz w:val="20"/>
          <w:szCs w:val="20"/>
          <w:color w:val="auto"/>
        </w:rPr>
      </w:pPr>
    </w:p>
    <w:p>
      <w:pPr>
        <w:ind w:right="20" w:firstLine="456"/>
        <w:spacing w:after="0" w:line="248" w:lineRule="auto"/>
        <w:rPr>
          <w:sz w:val="20"/>
          <w:szCs w:val="20"/>
          <w:color w:val="auto"/>
        </w:rPr>
      </w:pPr>
      <w:r>
        <w:rPr>
          <w:rFonts w:ascii="Arial" w:cs="Arial" w:eastAsia="Arial" w:hAnsi="Arial"/>
          <w:sz w:val="13"/>
          <w:szCs w:val="13"/>
          <w:color w:val="auto"/>
        </w:rPr>
        <w:t>The 2026 Notes are not secured by any of our assets or any of the assets of our subsidiaries. As a result, the 2026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2026 Notes. As of September 30, 2021, we had $219.4 million outstanding under the Credit Facility. The Credit Facility is secured by substantially all of the assets of Funding I, and the indebtedness under the Credit Facility is therefore effectively senior in right of payment to the 2026 Notes to the extent of the value of such assets.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2026 Notes are structurally subordinated to the indebtedness and other liabilities of our subsidiaries.</w:t>
      </w:r>
    </w:p>
    <w:p>
      <w:pPr>
        <w:spacing w:after="0" w:line="13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The 2026 Notes are obligations exclusively of PennantPark Floating Rate Capital Ltd. and not of any of our subsidiaries. None of our subsidiaries is or acts as a guarantor of the 2026 Notes, and the 2026 Notes are not required to be guaranteed by any subsidiaries we may acquire or create in the future. Our secured indebtedness with respect to the Credit Facility is held through Funding I, and our secured indebtedness with respect to the 2031 Asset-Backed Debt is held through the Securitization Issuer. The assets of any such subsidiaries are not directly available to satisfy the claims of our creditors, including holders of the 2026 Notes.</w:t>
      </w:r>
    </w:p>
    <w:p>
      <w:pPr>
        <w:spacing w:after="0" w:line="117" w:lineRule="exact"/>
        <w:rPr>
          <w:sz w:val="20"/>
          <w:szCs w:val="20"/>
          <w:color w:val="auto"/>
        </w:rPr>
      </w:pPr>
    </w:p>
    <w:p>
      <w:pPr>
        <w:ind w:right="60" w:firstLine="456"/>
        <w:spacing w:after="0" w:line="231" w:lineRule="auto"/>
        <w:rPr>
          <w:sz w:val="20"/>
          <w:szCs w:val="20"/>
          <w:color w:val="auto"/>
        </w:rPr>
      </w:pPr>
      <w:r>
        <w:rPr>
          <w:rFonts w:ascii="Arial" w:cs="Arial" w:eastAsia="Arial" w:hAnsi="Arial"/>
          <w:sz w:val="14"/>
          <w:szCs w:val="14"/>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2026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2026 Notes will be structurally subordinated to all indebtedness and other liabilities (including trade payables) of our subsidiaries and any subsidiaries that we may in the future acquire or establish as financing vehicles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indenture under which the 2026 Notes were issued contains limited protection for their respective holders.</w:t>
      </w:r>
    </w:p>
    <w:p>
      <w:pPr>
        <w:spacing w:after="0" w:line="136" w:lineRule="exact"/>
        <w:rPr>
          <w:sz w:val="20"/>
          <w:szCs w:val="20"/>
          <w:color w:val="auto"/>
        </w:rPr>
      </w:pPr>
    </w:p>
    <w:p>
      <w:pPr>
        <w:jc w:val="both"/>
        <w:ind w:right="20" w:firstLine="365"/>
        <w:spacing w:after="0" w:line="238" w:lineRule="auto"/>
        <w:rPr>
          <w:sz w:val="20"/>
          <w:szCs w:val="20"/>
          <w:color w:val="auto"/>
        </w:rPr>
      </w:pPr>
      <w:r>
        <w:rPr>
          <w:rFonts w:ascii="Arial" w:cs="Arial" w:eastAsia="Arial" w:hAnsi="Arial"/>
          <w:sz w:val="14"/>
          <w:szCs w:val="14"/>
          <w:color w:val="auto"/>
        </w:rPr>
        <w:t>The indenture under which the 2026 Notes were issued offers limited protection for their respective holders. The terms of the indenture and the 2026 Notes do not restrict our or any of our subsidiaries’ ability to engage in, or otherwise be a party to, a variety of corporate transactions, circumstances or events that could have an adverse impact on each holder’s investment in the 2026 Notes. In particular, the terms of the indenture and the 2026 Notes do not place any restrictions on our or our subsidiaries’ ability to:</w:t>
      </w:r>
    </w:p>
    <w:p>
      <w:pPr>
        <w:spacing w:after="0" w:line="75" w:lineRule="exact"/>
        <w:rPr>
          <w:sz w:val="20"/>
          <w:szCs w:val="20"/>
          <w:color w:val="auto"/>
        </w:rPr>
      </w:pPr>
    </w:p>
    <w:p>
      <w:pPr>
        <w:ind w:left="740" w:hanging="368"/>
        <w:spacing w:after="0" w:line="247" w:lineRule="auto"/>
        <w:tabs>
          <w:tab w:leader="none" w:pos="7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issue securities or otherwise incur additional indebtedness or other obligations, including (1) any indebtedness or other obligations that would be equal in right of payment to the 2026 Notes, (2) any indebtedness or other obligations that would be secured and therefore rank effectively senior in right of payment to the 2026 Notes to the extent of the values of the assets securing such debt, (3) indebtedness or other obligations of ours that are guaranteed by one or more of our subsidiaries and which therefore would rank structurally senior to the 2026 Notes and (4) securities, indebtedness or other obligations issued or incurred by our subsidiaries that would be senior in right of payment to our equity interests in our subsidiaries and therefore would rank structurally senior in right of payment to the 2026 Notes with respect to the assets of our subsidiaries, in each case other than an incurrence of indebtedness or other obligation that would cause a violation of Section 18(a)(1)(A) of the 1940 Act as modified by Section 61(a)(1) and (2) of the 1940 Act or any successor provisions, as such obligations may be amended or superseded, giving effect to any exemptive relief granted to us by the SEC;</w:t>
      </w:r>
    </w:p>
    <w:p>
      <w:pPr>
        <w:spacing w:after="0" w:line="70" w:lineRule="exact"/>
        <w:rPr>
          <w:rFonts w:ascii="Arial" w:cs="Arial" w:eastAsia="Arial" w:hAnsi="Arial"/>
          <w:sz w:val="13"/>
          <w:szCs w:val="13"/>
          <w:color w:val="auto"/>
        </w:rPr>
      </w:pPr>
    </w:p>
    <w:p>
      <w:pPr>
        <w:ind w:left="740" w:hanging="368"/>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pay dividends on, or purchase or redeem or make any payments in respect of, capital stock or other securities ranking junior in right of payment to the 2026 Notes;</w:t>
      </w:r>
    </w:p>
    <w:p>
      <w:pPr>
        <w:spacing w:after="0" w:line="190" w:lineRule="exact"/>
        <w:rPr>
          <w:rFonts w:ascii="Arial" w:cs="Arial" w:eastAsia="Arial" w:hAnsi="Arial"/>
          <w:sz w:val="14"/>
          <w:szCs w:val="14"/>
          <w:color w:val="auto"/>
        </w:rPr>
      </w:pPr>
    </w:p>
    <w:p>
      <w:pPr>
        <w:ind w:left="740" w:hanging="368"/>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sell assets (other than certain limited restrictions on our ability to consolidate, merge or sell all or substantially all of our assets);</w:t>
      </w:r>
    </w:p>
    <w:p>
      <w:pPr>
        <w:spacing w:after="0" w:line="190" w:lineRule="exact"/>
        <w:rPr>
          <w:rFonts w:ascii="Arial" w:cs="Arial" w:eastAsia="Arial" w:hAnsi="Arial"/>
          <w:sz w:val="14"/>
          <w:szCs w:val="14"/>
          <w:color w:val="auto"/>
        </w:rPr>
      </w:pPr>
    </w:p>
    <w:p>
      <w:pPr>
        <w:ind w:left="740" w:hanging="368"/>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190" w:lineRule="exact"/>
        <w:rPr>
          <w:rFonts w:ascii="Arial" w:cs="Arial" w:eastAsia="Arial" w:hAnsi="Arial"/>
          <w:sz w:val="14"/>
          <w:szCs w:val="14"/>
          <w:color w:val="auto"/>
        </w:rPr>
      </w:pPr>
    </w:p>
    <w:p>
      <w:pPr>
        <w:ind w:left="740" w:hanging="368"/>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create liens (including liens on the shares of our subsidiaries) or enter into sale and leaseback transactions;</w:t>
      </w:r>
    </w:p>
    <w:p>
      <w:pPr>
        <w:spacing w:after="0" w:line="190" w:lineRule="exact"/>
        <w:rPr>
          <w:rFonts w:ascii="Arial" w:cs="Arial" w:eastAsia="Arial" w:hAnsi="Arial"/>
          <w:sz w:val="14"/>
          <w:szCs w:val="14"/>
          <w:color w:val="auto"/>
        </w:rPr>
      </w:pPr>
    </w:p>
    <w:p>
      <w:pPr>
        <w:ind w:left="740" w:hanging="368"/>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make investments; or</w:t>
      </w:r>
    </w:p>
    <w:p>
      <w:pPr>
        <w:spacing w:after="0" w:line="190" w:lineRule="exact"/>
        <w:rPr>
          <w:rFonts w:ascii="Arial" w:cs="Arial" w:eastAsia="Arial" w:hAnsi="Arial"/>
          <w:sz w:val="14"/>
          <w:szCs w:val="14"/>
          <w:color w:val="auto"/>
        </w:rPr>
      </w:pPr>
    </w:p>
    <w:p>
      <w:pPr>
        <w:ind w:left="740" w:hanging="368"/>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create restrictions on the payment of dividends or other amounts to us from our subsidiaries.</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the indenture will not require us to offer to purchase the 2026 Notes in connection with a change of control or any other event.</w:t>
      </w:r>
    </w:p>
    <w:p>
      <w:pPr>
        <w:spacing w:after="0" w:line="136" w:lineRule="exact"/>
        <w:rPr>
          <w:sz w:val="20"/>
          <w:szCs w:val="20"/>
          <w:color w:val="auto"/>
        </w:rPr>
      </w:pPr>
    </w:p>
    <w:p>
      <w:pPr>
        <w:ind w:firstLine="456"/>
        <w:spacing w:after="0" w:line="238" w:lineRule="auto"/>
        <w:rPr>
          <w:sz w:val="20"/>
          <w:szCs w:val="20"/>
          <w:color w:val="auto"/>
        </w:rPr>
      </w:pPr>
      <w:r>
        <w:rPr>
          <w:rFonts w:ascii="Arial" w:cs="Arial" w:eastAsia="Arial" w:hAnsi="Arial"/>
          <w:sz w:val="14"/>
          <w:szCs w:val="14"/>
          <w:color w:val="auto"/>
        </w:rPr>
        <w:t>Furthermore, the terms of the indenture and the 2026 Notes do not protect their respective holders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4" w:name="page35"/>
    <w:bookmarkEnd w:id="34"/>
    <w:p>
      <w:pPr>
        <w:ind w:right="60" w:firstLine="456"/>
        <w:spacing w:after="0" w:line="253" w:lineRule="auto"/>
        <w:rPr>
          <w:sz w:val="20"/>
          <w:szCs w:val="20"/>
          <w:color w:val="auto"/>
        </w:rPr>
      </w:pPr>
      <w:r>
        <w:rPr>
          <w:rFonts w:ascii="Arial" w:cs="Arial" w:eastAsia="Arial" w:hAnsi="Arial"/>
          <w:sz w:val="14"/>
          <w:szCs w:val="14"/>
          <w:color w:val="auto"/>
        </w:rPr>
        <w:t>Our ability to recapitalize, incur additional debt and take a number of other actions that are not limited by the terms of the 2026 Notes may have important consequences for their holders, including making it more difficult for us to satisfy our obligations with respect to the 2026 Notes or negatively affecting their trading value.</w:t>
      </w:r>
    </w:p>
    <w:p>
      <w:pPr>
        <w:spacing w:after="0" w:line="106" w:lineRule="exact"/>
        <w:rPr>
          <w:sz w:val="20"/>
          <w:szCs w:val="20"/>
          <w:color w:val="auto"/>
        </w:rPr>
      </w:pPr>
    </w:p>
    <w:p>
      <w:pPr>
        <w:ind w:right="20" w:firstLine="456"/>
        <w:spacing w:after="0" w:line="238" w:lineRule="auto"/>
        <w:rPr>
          <w:sz w:val="20"/>
          <w:szCs w:val="20"/>
          <w:color w:val="auto"/>
        </w:rPr>
      </w:pPr>
      <w:r>
        <w:rPr>
          <w:rFonts w:ascii="Arial" w:cs="Arial" w:eastAsia="Arial" w:hAnsi="Arial"/>
          <w:sz w:val="14"/>
          <w:szCs w:val="14"/>
          <w:color w:val="auto"/>
        </w:rPr>
        <w:t>Certain of our current debt instruments include more protections for their respective holders than the indenture and the 2026 Notes. In addition, other debt we issue or incur in the future could contain more protections for its holders than the indenture governing the 2026 Notes and the 2026 Notes, including additional covenants and events of default. The issuance or incurrence of any such debt with incremental protections could affect the market for and trading levels and prices of the 2026 Notes.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optional redemption provision may materially adversely affect your return on the 2026 Notes.</w:t>
      </w:r>
    </w:p>
    <w:p>
      <w:pPr>
        <w:spacing w:after="0" w:line="136"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4"/>
          <w:szCs w:val="14"/>
          <w:color w:val="auto"/>
        </w:rPr>
        <w:t>The 2026 Notes will be redeemable in whole or in part upon certain conditions at any time, or from time to time, at our option, on or after January 1, 2026. We may choose to redeem the 2026 Notes at times when prevailing interest rates are lower than the interest rate paid on the 2026 Notes. In this circumstance, investors may not be able to reinvest the redemption proceeds in a comparable security at an effective interest rate as high as the 2026 Notes being redeemed.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repurchase the 2026 Notes upon a Change of Control Repurchase Event.</w:t>
      </w:r>
    </w:p>
    <w:p>
      <w:pPr>
        <w:spacing w:after="0" w:line="136" w:lineRule="exact"/>
        <w:rPr>
          <w:sz w:val="20"/>
          <w:szCs w:val="20"/>
          <w:color w:val="auto"/>
        </w:rPr>
      </w:pPr>
    </w:p>
    <w:p>
      <w:pPr>
        <w:ind w:right="40" w:firstLine="456"/>
        <w:spacing w:after="0" w:line="245" w:lineRule="auto"/>
        <w:rPr>
          <w:sz w:val="20"/>
          <w:szCs w:val="20"/>
          <w:color w:val="auto"/>
        </w:rPr>
      </w:pPr>
      <w:r>
        <w:rPr>
          <w:rFonts w:ascii="Arial" w:cs="Arial" w:eastAsia="Arial" w:hAnsi="Arial"/>
          <w:sz w:val="13"/>
          <w:szCs w:val="13"/>
          <w:color w:val="auto"/>
        </w:rPr>
        <w:t>Upon the occurrence of a Change of Control Repurchase Event, as defined in the indenture governing the 2026 Notes, subject to certain conditions, we will be required to offer to repurchase all outstanding 2026 Notes at 100% of their principal amount, plus accrued and unpaid interest. The source of funds for that purchase of 2026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the 2026 Notes tendered. Before making any such repurchase of the 2026 Notes, we may have to comply with certain requirements under our then existing financing arrangements, such as the Credit Facility and the 2023 Notes. Our future debt instruments may also contain similar restrictions and provisions. If the holders of the 2026 Notes exercise their right to require us to repurchase the 2026 Notes upon a Change of Control Repurchase Event, the financial effect of this repurchase could cause a default under our existing or future debt instruments, even if the Change of Control Repurchase Event itself would not cause a default. It is possible that we will not have sufficient funds at the time of the Change of Control Repurchase Event to make the required repurchase of the 2026 Notes or our other debt.</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While a trading market has developed after issuing the 2026 Notes, we cannot assure you that an active trading market for the 2026 Notes will be maintained.</w:t>
      </w:r>
    </w:p>
    <w:p>
      <w:pPr>
        <w:spacing w:after="0" w:line="136" w:lineRule="exact"/>
        <w:rPr>
          <w:sz w:val="20"/>
          <w:szCs w:val="20"/>
          <w:color w:val="auto"/>
        </w:rPr>
      </w:pPr>
    </w:p>
    <w:p>
      <w:pPr>
        <w:ind w:right="40" w:firstLine="456"/>
        <w:spacing w:after="0" w:line="247" w:lineRule="auto"/>
        <w:rPr>
          <w:sz w:val="20"/>
          <w:szCs w:val="20"/>
          <w:color w:val="auto"/>
        </w:rPr>
      </w:pPr>
      <w:r>
        <w:rPr>
          <w:rFonts w:ascii="Arial" w:cs="Arial" w:eastAsia="Arial" w:hAnsi="Arial"/>
          <w:sz w:val="13"/>
          <w:szCs w:val="13"/>
          <w:color w:val="auto"/>
        </w:rPr>
        <w:t>While a trading market developed after issuing the 2026 Notes, we cannot assure you that an active and liquid market for the 2026 Notes will be maintained. We do not intend to list the 2026 Notes on any securities exchange or for quotation of the 2026 Notes on any automated dealer quotation system. If the 2026 Notes are traded after their initial issuance, they may trade at a discount to their public offering price depending on prevailing interest rates, the market for similar securities, our credit ratings, general economic conditions, including the impact of COVID-19, our financial condition, performance and prospects and other factors. The underwriters of the 2026 Notes may discontinue any market-making in the 2026 Notes at any time at their sole discretion. In addition, any market-making activity will be subject to limits imposed by law. Accordingly, we cannot assure you that a liquid trading market will be maintained for the 2026 Notes, that you will be able to sell the 2026 Notes at a particular time or that the price you receive when you sell will be favorable. To the extent an active trading market is not maintained, the liquidity and trading price for the 2026 Notes may be harmed. Accordingly, you may be required to bear the financial risk of an investment in the 2026 Notes for an indefinite period of time</w:t>
      </w:r>
      <w:r>
        <w:rPr>
          <w:rFonts w:ascii="Arial" w:cs="Arial" w:eastAsia="Arial" w:hAnsi="Arial"/>
          <w:sz w:val="13"/>
          <w:szCs w:val="13"/>
          <w:b w:val="1"/>
          <w:bCs w:val="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default on our obligations to pay our other indebtedness, we may not be able to make payments on the 2026 Notes.</w:t>
      </w:r>
    </w:p>
    <w:p>
      <w:pPr>
        <w:spacing w:after="0" w:line="136" w:lineRule="exact"/>
        <w:rPr>
          <w:sz w:val="20"/>
          <w:szCs w:val="20"/>
          <w:color w:val="auto"/>
        </w:rPr>
      </w:pPr>
    </w:p>
    <w:p>
      <w:pPr>
        <w:ind w:right="60" w:firstLine="547"/>
        <w:spacing w:after="0" w:line="238" w:lineRule="auto"/>
        <w:rPr>
          <w:sz w:val="20"/>
          <w:szCs w:val="20"/>
          <w:color w:val="auto"/>
        </w:rPr>
      </w:pPr>
      <w:r>
        <w:rPr>
          <w:rFonts w:ascii="Arial" w:cs="Arial" w:eastAsia="Arial" w:hAnsi="Arial"/>
          <w:sz w:val="14"/>
          <w:szCs w:val="14"/>
          <w:color w:val="auto"/>
        </w:rPr>
        <w:t>Any default under the agreements governing our indebtedness, including a default under our Credit Facility, the 2023 Notes, the 2031 Asset-Backed Debt or under other indebtedness to which we may be a party that is not waived by the required lenders or holders, and the remedies sought by the holders of such indebtedness could make us unable to pay principal, premium, if any, and interest on the 2026 Notes and substantially decrease the market value of the 2026 Notes.</w:t>
      </w:r>
    </w:p>
    <w:p>
      <w:pPr>
        <w:spacing w:after="0" w:line="115" w:lineRule="exact"/>
        <w:rPr>
          <w:sz w:val="20"/>
          <w:szCs w:val="20"/>
          <w:color w:val="auto"/>
        </w:rPr>
      </w:pPr>
    </w:p>
    <w:p>
      <w:pPr>
        <w:ind w:right="180" w:firstLine="547"/>
        <w:spacing w:after="0" w:line="251" w:lineRule="auto"/>
        <w:rPr>
          <w:sz w:val="20"/>
          <w:szCs w:val="20"/>
          <w:color w:val="auto"/>
        </w:rPr>
      </w:pPr>
      <w:r>
        <w:rPr>
          <w:rFonts w:ascii="Arial" w:cs="Arial" w:eastAsia="Arial" w:hAnsi="Arial"/>
          <w:sz w:val="13"/>
          <w:szCs w:val="13"/>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or holders under our Credit Facility, the 2023 Notes, the 2031 Asset-Backed Debt or other debt we may incur in the future could elect to terminate their commitments, cease making further loans and institute foreclosure proceedings against our assets, and we could be forced into bankruptcy or liquidation.</w:t>
      </w:r>
    </w:p>
    <w:p>
      <w:pPr>
        <w:spacing w:after="0" w:line="109" w:lineRule="exact"/>
        <w:rPr>
          <w:sz w:val="20"/>
          <w:szCs w:val="20"/>
          <w:color w:val="auto"/>
        </w:rPr>
      </w:pPr>
    </w:p>
    <w:p>
      <w:pPr>
        <w:ind w:right="140" w:firstLine="547"/>
        <w:spacing w:after="0" w:line="228" w:lineRule="auto"/>
        <w:rPr>
          <w:sz w:val="20"/>
          <w:szCs w:val="20"/>
          <w:color w:val="auto"/>
        </w:rPr>
      </w:pPr>
      <w:r>
        <w:rPr>
          <w:rFonts w:ascii="Arial" w:cs="Arial" w:eastAsia="Arial" w:hAnsi="Arial"/>
          <w:sz w:val="14"/>
          <w:szCs w:val="14"/>
          <w:color w:val="auto"/>
        </w:rPr>
        <w:t>If our operating performance declines, we may in the future need to seek to obtain waivers from the required lenders or holders under the agreements relating to our Credit Facility, the 2023 Notes, the 2031 Asset-Backed Debt or other debt that we may incur in the future to avoid being in default. If we breach our covenants under our Credit Facility, the 2023 Notes, the 2031 Asset-Backed Debt or other debt and seek a waiver, we may not be able to obtain a waiver from the required lenders or holders. If this occurs, we would be in default and our lenders or holders could exercise their rights as described above, and we could be forced into bankruptcy or liquidation. If we are unable to repay debt, lenders or holders having secured obligations, including the lenders or holders under our Credit Facility and the 2031 Asset-Backed Debt, could proceed against the collateral securing such debt. Because our Credit Facility, the 2023 Notes and the 2031 Asset-Backed Debt have, and any future debt will likely have, customary cross-default provisions, if the indebtedness thereunder or under any future credit facility is accelerated, we may be unable to repay or finance the amounts due.</w:t>
      </w:r>
    </w:p>
    <w:p>
      <w:pPr>
        <w:spacing w:after="0" w:line="185" w:lineRule="exact"/>
        <w:rPr>
          <w:sz w:val="20"/>
          <w:szCs w:val="20"/>
          <w:color w:val="auto"/>
        </w:rPr>
      </w:pPr>
    </w:p>
    <w:p>
      <w:pPr>
        <w:ind w:right="160"/>
        <w:spacing w:after="0" w:line="253" w:lineRule="auto"/>
        <w:rPr>
          <w:sz w:val="20"/>
          <w:szCs w:val="20"/>
          <w:color w:val="auto"/>
        </w:rPr>
      </w:pPr>
      <w:r>
        <w:rPr>
          <w:rFonts w:ascii="Arial" w:cs="Arial" w:eastAsia="Arial" w:hAnsi="Arial"/>
          <w:sz w:val="14"/>
          <w:szCs w:val="14"/>
          <w:b w:val="1"/>
          <w:bCs w:val="1"/>
          <w:i w:val="1"/>
          <w:iCs w:val="1"/>
          <w:color w:val="auto"/>
        </w:rPr>
        <w:t>A downgrade, suspension or withdrawal of a credit rating assigned by a rating agency to us or our unsecured debt, if any, or change in the debt markets could cause the liquidity or market value of the 2026 Notes to decline significantly.</w:t>
      </w:r>
    </w:p>
    <w:p>
      <w:pPr>
        <w:spacing w:after="0" w:line="106" w:lineRule="exact"/>
        <w:rPr>
          <w:sz w:val="20"/>
          <w:szCs w:val="20"/>
          <w:color w:val="auto"/>
        </w:rPr>
      </w:pPr>
    </w:p>
    <w:p>
      <w:pPr>
        <w:ind w:firstLine="547"/>
        <w:spacing w:after="0" w:line="245" w:lineRule="auto"/>
        <w:rPr>
          <w:sz w:val="20"/>
          <w:szCs w:val="20"/>
          <w:color w:val="auto"/>
        </w:rPr>
      </w:pPr>
      <w:r>
        <w:rPr>
          <w:rFonts w:ascii="Arial" w:cs="Arial" w:eastAsia="Arial" w:hAnsi="Arial"/>
          <w:sz w:val="13"/>
          <w:szCs w:val="13"/>
          <w:color w:val="auto"/>
        </w:rPr>
        <w:t>Our credit ratings are an assessment by a rating agency of our ability to pay our debts when due. Consequently, real or anticipated changes in our credit ratings will generally affect the market value of the 2026 Notes. These credit ratings may not reflect the potential impact of risks relating to the structure or marketing of the 2026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 assurance that our credit ratings will remain for any given period of time or that such credit ratings will not be lowered or withdrawn entirely by a rating agency if in its judgment future circumstances relating to the basis of the credit ratings, such as adverse changes in our company, so warrant. An increase in the competitive environment, inability to cover distributions, or increase in leverage could lead to a downgrade in our credit ratings and limit our access to the debt and equity markets capability impairing our ability to grow the business. The conditions of the financial markets and prevailing interest rates have fluctuated in the past and are likely to fluctuate in the future, which could have an adverse effect on the market prices of the 2026 Notes.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color w:val="auto"/>
        </w:rPr>
        <w:t>RISKS RELATING TO OUR DEBT SECURITIZATION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certain risks as a result of our interests in connection with the Debt Securitization and our equity interest in the Securitization Issuers.</w:t>
      </w:r>
    </w:p>
    <w:p>
      <w:pPr>
        <w:spacing w:after="0" w:line="123"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On September 19, 2019, in connection with the Debt Securitization and the offering of the 2031 Asset-Backed Debt by the Securitization Issuers, we sold and/or contributed to the Depositor certain senior loans made to certain of our portfolio companies, or the Securitization Loans, which the Depositor in turn sold and/or contributed to the Securitization Issuer in exchange for 100% of the Preferred Shares of the Securitization Issuer, 100% of the Class D Secured Deferrable Floating Rate Notes issued by the Securitization Issuer, and a portion of the net cash proceeds received from the sale of the 2031 Asset-Backed Debt. Following these transfers, the Securitization Issuer, and not the Depositor or us, held all of the ownership interest in the Securitization Loans.</w:t>
      </w:r>
    </w:p>
    <w:p>
      <w:pPr>
        <w:spacing w:after="0" w:line="11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As a result of the Debt Securitization, we hold, indirectly through the Depositor, 100% of the equity interests in the Securitization Issuers. As a result, we consolidate the financial statements of the Depositor and the Securitization Issuers, as well as our other subsidiaries, in our consolidated financial statements. Because each of the Depositor and the Securitization Issuer is disregarded as an entity separate from its owners for U.S. federal income tax purposes, the sale or contribution by us to the Depositor, and by the Depositor to the Securitization Issuer, as applicable, did not constitute a taxable event for U.S. federal income tax purposes. If the IRS were to take a contrary position, there could be a material adverse effect on our business, financial condition, results of operations or cash flows.</w:t>
      </w:r>
    </w:p>
    <w:p>
      <w:pPr>
        <w:spacing w:after="0" w:line="116" w:lineRule="exact"/>
        <w:rPr>
          <w:sz w:val="20"/>
          <w:szCs w:val="20"/>
          <w:color w:val="auto"/>
        </w:rPr>
      </w:pPr>
    </w:p>
    <w:p>
      <w:pPr>
        <w:ind w:firstLine="438"/>
        <w:spacing w:after="0" w:line="226" w:lineRule="auto"/>
        <w:rPr>
          <w:sz w:val="20"/>
          <w:szCs w:val="20"/>
          <w:color w:val="auto"/>
        </w:rPr>
      </w:pPr>
      <w:r>
        <w:rPr>
          <w:rFonts w:ascii="Arial" w:cs="Arial" w:eastAsia="Arial" w:hAnsi="Arial"/>
          <w:sz w:val="14"/>
          <w:szCs w:val="14"/>
          <w:color w:val="auto"/>
        </w:rPr>
        <w:t>Further, a failure of the Securitization Issuer to be treated as a disregarded entity for U.S. federal income tax purposes would constitute an event of default pursuant to the applicable indenture under the Debt Securitization, upon which the trustee under the Debt Securitization, or the Securitization Trustee, may and will at the direction of a majority of the holders of the 2031 Asset-Backed Debt, or the Securitization Debtholders, declare the 2031 Asset-Backed Debt to be immediately due and payable and exercise remedies under the indenture, including (i) to institute proceedings for the collection of all amounts then payable on the 2031 Asset-Backed Debt, or under the indenture, enforce any judgment obtained, and collect from the Securitization Issuers and any other obligor upon the 2031 Asset-Backed Debt monies adjudged due; (ii) institute proceedings from time to time for the complete or partial foreclosure of the indenture with respect to the property of the Securitization Issuers; (iii) exercise any remedies as a secured party under the relevant Uniform Commercial Code and take other appropriate action under applicable law to protect and enforce the rights and remedies of the Securitization Trustee and the Securitization Debtholders; or (iv) sell the property of the Securitization Issuers or any portion thereof or rights or interest therein at one or more public or private sales called and conducted in any matter permitted by law. Any such exercise of remedies could have a material adverse effect on our business, financial condition, results of operations or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 event of default in connection with the Debt Securitization could give rise to a cross-default under our other material indebtedness.</w:t>
      </w:r>
    </w:p>
    <w:p>
      <w:pPr>
        <w:spacing w:after="0" w:line="136" w:lineRule="exact"/>
        <w:rPr>
          <w:sz w:val="20"/>
          <w:szCs w:val="20"/>
          <w:color w:val="auto"/>
        </w:rPr>
      </w:pPr>
    </w:p>
    <w:p>
      <w:pPr>
        <w:jc w:val="both"/>
        <w:ind w:right="320" w:firstLine="438"/>
        <w:spacing w:after="0" w:line="233" w:lineRule="auto"/>
        <w:rPr>
          <w:sz w:val="20"/>
          <w:szCs w:val="20"/>
          <w:color w:val="auto"/>
        </w:rPr>
      </w:pPr>
      <w:r>
        <w:rPr>
          <w:rFonts w:ascii="Arial" w:cs="Arial" w:eastAsia="Arial" w:hAnsi="Arial"/>
          <w:sz w:val="14"/>
          <w:szCs w:val="14"/>
          <w:color w:val="auto"/>
        </w:rPr>
        <w:t>The documents governing our other material indebtedness contain customary cross-default provisions that could be triggered if an event of default occurs in connection with the Debt Securitization. An event of default with respect to our other indebtedness could lead to the acceleration of such indebtedness and the exercise of other remedies as provided in the documents governing such other indebtedness. This could have a material adverse effect on our business, financial condition, results of operations and cash flows and may result in our inability to make distributions sufficient to maintain our ability to be subject to tax as a RIC.</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receive cash distributions in respect of our indirect ownership interests in the Securitization Issuers.</w:t>
      </w:r>
    </w:p>
    <w:p>
      <w:pPr>
        <w:spacing w:after="0" w:line="123" w:lineRule="exact"/>
        <w:rPr>
          <w:sz w:val="20"/>
          <w:szCs w:val="20"/>
          <w:color w:val="auto"/>
        </w:rPr>
      </w:pPr>
    </w:p>
    <w:p>
      <w:pPr>
        <w:ind w:right="20" w:firstLine="438"/>
        <w:spacing w:after="0" w:line="226" w:lineRule="auto"/>
        <w:rPr>
          <w:sz w:val="20"/>
          <w:szCs w:val="20"/>
          <w:color w:val="auto"/>
        </w:rPr>
      </w:pPr>
      <w:r>
        <w:rPr>
          <w:rFonts w:ascii="Arial" w:cs="Arial" w:eastAsia="Arial" w:hAnsi="Arial"/>
          <w:sz w:val="14"/>
          <w:szCs w:val="14"/>
          <w:color w:val="auto"/>
        </w:rPr>
        <w:t>Apart from fees payable to us in connection with our role as servicer of the Securitization Loans and the reimbursement of related amounts under the documents governing the Debt Securitization, we receive cash in connection with the Debt Securitization only to the extent that the Depositor receives payments in respect of its equity interests in the Securitization Issuers. The respective holders of the equity interests in the Securitization Issuers are the residual claimants on distributions, if any, made by the Securitization Issuers after the Securitization Debtholders and other claimants have been paid in full on each payment date or upon maturity of the 2031 Asset-Backed Debt, subject to the priority of payments under the documents governing the Debt Securitization. To the extent that the value of the Securitization Issuer’s portfolio of loans is reduced as a result of conditions in the credit markets (relevant in the event of a liquidation event), other macroeconomic factors, distressed or defaulted loans or the failure of individual portfolio companies to otherwise meet their obligations in respect of the loans, or for any other reason, the ability of the Securitization Issuers to make cash distributions in respect of the Depositor’s equity interests would be negatively affected and consequently, the value of the equity interests in the Securitization Issuers would also be reduced. In the event that we fail to receive cash indirectly from the Securitization Issuers, we could be unable to make distributions, if at all, in amounts sufficient to maintain our ability to be subject to tax as a RIC.</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interests of the Securitization Debtholders may not be aligned with our interests.</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The 2031 Asset-Backed Debt constitutes debt obligations ranking senior in right of payment to the rights of the holders of the equity interests in the Securitization Issuers, as residual claimants in respect of distributions, if any, made by the Securitization Issuers. As such, there are circumstances in which the interests of the Securitization Debtholders may not be aligned with the interests of holders of the equity interests in the Securitization Issuers. For example, under the terms of the documents governing the Debt Securitization, the Securitization Debtholders have the right to receive payments of principal and interest prior to holders of the equity interests.</w:t>
      </w:r>
    </w:p>
    <w:p>
      <w:pPr>
        <w:spacing w:after="0" w:line="104"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For as long as the 2031 Asset-Backed Debt remains outstanding, the respective Securitization Debtholders have the right to act in certain circumstances with respect to the Securitization Loans in ways that may benefit their interests but not the interests of the respective holders of the equity interests in the Securitization Issuers, including by exercising remedies under the documents governing the Debt Securitization.</w:t>
      </w:r>
    </w:p>
    <w:p>
      <w:pPr>
        <w:spacing w:after="0" w:line="115"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If an event of default occurs, the Securitization Debtholders will be entitled to determine the remedies to be exercised, subject to the terms of the documents governing the Debt Securitization. For example, upon the occurrence of an event of default with respect to the 2031 Asset-Backed Debt, the Securitization Trustee may and will at the direction of the holders of a majority of the applicable 2031 Asset-Backed Debt declare the principal, together with any accrued interest, of the debt to be immediately due and payable. This would have the effect of accelerating the principal on such debt, triggering a repayment obligation on the part of the Securitization Issuers. The 2031 Asset-Backed Debt then outstanding will be paid in full before any further payment or distribution on the equity interest is made. There can be no assurance that there will be sufficient funds through collections on the Securitization Loans or through the proceeds of the sale of the Securitization Loans in the event of a bankruptcy or insolvency to repay in full the obligations under the 2031 Asset-Backed Debt, or to make any distribution to holders of the equity interests in the Securitization Issuers.</w:t>
      </w:r>
    </w:p>
    <w:p>
      <w:pPr>
        <w:spacing w:after="0" w:line="117"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Remedies pursued by the Securitization Debtholders could be adverse to our interests as the indirect holder of the equity interests in the Securitization Issuers. The Securitization Debtholders have no obligation to consider any possible adverse effect on such other interests. Thus, there can be no assurance that any remedies pursued by the Securitization Debtholders will be consistent with the best interests of the Depositor or that we will receive, indirectly through the Depositor, any payments or distributions upon an acceleration of the 2031 Asset-Backed Debt. Any failure of the Securitization Issuers to make distributions in respect of the equity interests that we indirectly hold, whether as a result of an event of default and the acceleration of payments on the 2031 Asset-Backed Debt or otherwise, could have a material adverse effect on our business, financial condition, results of operations and cash flows and may result in our inability to make distributions sufficient to maintain our ability to be subject to tax as a RIC.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i w:val="1"/>
          <w:iCs w:val="1"/>
          <w:color w:val="auto"/>
        </w:rPr>
        <w:t>We have certain repurchase obligations with respect to the Securitization Loans transferred in connection with the Debt Securitization.</w:t>
      </w:r>
    </w:p>
    <w:p>
      <w:pPr>
        <w:spacing w:after="0" w:line="123"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As part of each Debt Securitization, we entered into a master loan agreement under which we would be required to repurchase any Securitization Loan (or participation interest therein) which was sold to the Securitization Issuer in breach of certain customary representations and warranties made by us or by the Depositor with respect to such Securitization Loan or the legal structure of the applicable Debt Securitization. To the extent that there is a breach of such representations and warranties and we fail to satisfy any such repurchase obligation, the Securitization Trustee may, on behalf of the Securitization Issuer, bring an action against us to enforce these repurchase obligations.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Global capital markets could enter a period of severe disruption and instability due to future recessions, disease pandemics and other serious health events, political instability, geopolitical</w:t>
      </w:r>
    </w:p>
    <w:p>
      <w:pPr>
        <w:spacing w:after="0" w:line="44"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b w:val="1"/>
          <w:bCs w:val="1"/>
          <w:i w:val="1"/>
          <w:iCs w:val="1"/>
          <w:color w:val="auto"/>
        </w:rPr>
        <w:t>turmoil and foreign hostilities. These market conditions have historically had and could again have a materially adverse effect on debt and equity capital markets in the United States, which could have a materially negative impact on our business, financial condition and results of operations.</w:t>
      </w:r>
    </w:p>
    <w:p>
      <w:pPr>
        <w:spacing w:after="0" w:line="99"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between the United States and other countries with respect to trade policies, treaties and tariffs, among other factors, have caused disruptions in the global markets, including markets in which we participate, and we cannot assure you that these market conditions will not continue or worsen in the future. We may in the future have difficulty accessing debt and equity capital markets, and a severe disruption in the global financial markets, deterioration in credit and financing conditions or uncertainty regarding U.S. government spending and deficit levels or other global economic and political conditions, including future recessions, political instability, geopolitical turmoil and foreign hostilities, and disease pandemics and other serious health events, could have a material adverse effect on our business, financial condition and results of operations.</w:t>
      </w:r>
    </w:p>
    <w:p>
      <w:pPr>
        <w:spacing w:after="0" w:line="117" w:lineRule="exact"/>
        <w:rPr>
          <w:sz w:val="20"/>
          <w:szCs w:val="20"/>
          <w:color w:val="auto"/>
        </w:rPr>
      </w:pPr>
    </w:p>
    <w:p>
      <w:pPr>
        <w:ind w:right="20" w:firstLine="438"/>
        <w:spacing w:after="0" w:line="245" w:lineRule="auto"/>
        <w:rPr>
          <w:sz w:val="20"/>
          <w:szCs w:val="20"/>
          <w:color w:val="auto"/>
        </w:rPr>
      </w:pPr>
      <w:r>
        <w:rPr>
          <w:rFonts w:ascii="Arial" w:cs="Arial" w:eastAsia="Arial" w:hAnsi="Arial"/>
          <w:sz w:val="13"/>
          <w:szCs w:val="13"/>
          <w:color w:val="auto"/>
        </w:rPr>
        <w:t>In December 2019, COVID-19 was first detected in the city of Wuhan in the Hubei province of China. The spread of COVID-19 resulted in governmental orders imposing travel restrictions and prolonged closures of many corporate offices, retail stores, manufacturing facilities, factories and other common places of public congregation around the world, which materially disrupted the demand for our portfolio companies’ products and services and made it more difficult for our portfolio companies to conduct their businesses. In addition, supply chains worldwide have been, and continue to be, interrupted, slowed, or rendered inoperable as a result of the COVID-19 pandemic and other factors. Governmental mandates to control the outbreak resulted in forced shutdowns of certain of our portfolio companies’ facilities for extended periods. These prolonged disruptions in the business of our portfolio companies, including disruptions in their supply chains, adversely affected their ability to obtain the necessary raw materials or components to make their products and caused a decline in some cases in the demand for their products or services. This required certain of our portfolio companies to furlough or lay off employees, terminate relationships with service providers or otherwise significantly curtail their standard business operations, which has in some cases caused a negative impact on their operating results.</w:t>
      </w:r>
    </w:p>
    <w:p>
      <w:pPr>
        <w:spacing w:after="0" w:line="116" w:lineRule="exact"/>
        <w:rPr>
          <w:sz w:val="20"/>
          <w:szCs w:val="20"/>
          <w:color w:val="auto"/>
        </w:rPr>
      </w:pPr>
    </w:p>
    <w:p>
      <w:pPr>
        <w:ind w:right="60" w:firstLine="438"/>
        <w:spacing w:after="0" w:line="243" w:lineRule="auto"/>
        <w:rPr>
          <w:sz w:val="20"/>
          <w:szCs w:val="20"/>
          <w:color w:val="auto"/>
        </w:rPr>
      </w:pPr>
      <w:r>
        <w:rPr>
          <w:rFonts w:ascii="Arial" w:cs="Arial" w:eastAsia="Arial" w:hAnsi="Arial"/>
          <w:sz w:val="13"/>
          <w:szCs w:val="13"/>
          <w:color w:val="auto"/>
        </w:rPr>
        <w:t>The global impact of the COVID-19 outbreak continues to evolve and could continue to adversely affect our operations and the operations of our portfolio companies. The COVID-19 pandemic has resulted in, among other things, the following: (i) increased draws by borrowers on revolving lines of credit; (ii) increased requests by borrowers for amendments and waivers of their credit agreements to avoid default, increased defaults by such borrowers and/or increased difficulty in obtaining refinancing at the maturity dates of their loans; (iii) volatility and disruption of markets including greater volatility in pricing and spreads, difficulty in valuing loans during periods of increased volatility, and liquidity issues; (iv) reduction in certain interest rates by the U.S. Federal Reserve and other central banks and decreased LIBOR; and (v) in some cases, unfavorable economic conditions that would be expected to increase borrowers’ funding costs, limit borrowers’ access to the capital markets or result in a decision by lenders not to extend credit to borrowers. The outbreak has led to a continued adverse impact on economic and market conditions. The full impact on global markets from COVID-19 is difficult to predict, and the degree to which COVID-19 will continue to negatively affect our operating results or the duration of any potential business disruption remains uncertain. The extent to which COVID-19 will continue to affect our business, financial condition, liquidity, our portfolio companies’ results of operations and by extension our operating results will depend on future developments such as the speed and extent of further vaccine distribution and the impact of the Delta variant or other variants that might arise, which are highly uncertain and cannot be predicted, all of which are beyond our control. These future events, while unpredictable, may adversely affect our operating results and the operating results of our portfolio companies. As COVID-19 continues to spread, the potential impacts, including a global, regional, or other economic recession, remain uncertain and difficult to assess. To the extent our portfolio companies are adversely impacted by the effects of the COVID-19, it may have a material adverse impact on our future financial condition.</w:t>
      </w:r>
    </w:p>
    <w:p>
      <w:pPr>
        <w:spacing w:after="0" w:line="101" w:lineRule="exact"/>
        <w:rPr>
          <w:sz w:val="20"/>
          <w:szCs w:val="20"/>
          <w:color w:val="auto"/>
        </w:rPr>
      </w:pPr>
    </w:p>
    <w:p>
      <w:pPr>
        <w:ind w:right="60" w:firstLine="438"/>
        <w:spacing w:after="0" w:line="242" w:lineRule="auto"/>
        <w:rPr>
          <w:sz w:val="20"/>
          <w:szCs w:val="20"/>
          <w:color w:val="auto"/>
        </w:rPr>
      </w:pPr>
      <w:r>
        <w:rPr>
          <w:rFonts w:ascii="Arial" w:cs="Arial" w:eastAsia="Arial" w:hAnsi="Arial"/>
          <w:sz w:val="13"/>
          <w:szCs w:val="13"/>
          <w:color w:val="auto"/>
        </w:rPr>
        <w:t>In addition, on January 31, 2020, the United Kingdom withdrew from the European Union (“Brexit”), entering into a negotiated transition period during which the United Kingdom remains in the European Union single market and customs union and remains subject to European Union laws and regulations. The transition period is scheduled to end at midnight (CET) on December 31, 2020. During the transition period, the parties are to negotiate agreements addressing a range of aspects of the future relationship, foremost among them a free trade agreement. It remains unclear which aspects of the future relationship between the United Kingdom and the European Union will, in fact, be agreed by the deadline, or whether certain aspects (for example, trade in goods, but not services) will be addressed and others deferred, or alternatively whether the parties will fail to reach agreement in time on fundamental trade matters, causing the United Kingdom to default to World Trade Organization rules. The United Kingdom and the European Union are therefore in a period of legal, regulatory and political uncertainty. As a consequence of continued uncertainty surrounding Brexit, the financial markets have experienced high levels of volatility. While such uncertainty most directly affects the United Kingdom and the European Union, global markets have suffered immediate and significant disruption. It is likely that, in the near term, uncertainty over Brexit will continue to bring about higher levels of uncertainty and volatility. During this period of uncertainty, the negative impact on not only the United Kingdom and European economies, but also the broader global economy, could be significant. This would potentially result in increased market and currency volatility (including volatility of the value of the British pound sterling relative to the U.S. dollar and other currencies and volatility in global currency markets generally), and illiquidity and lower economic growth for companies that rely significantly on Europe for their business activities and revenues. Once there is clarity, however, the outcomes following the transition period are likely to affect, among others, trade in goods and services (including the regime that will replace the existing passporting regimes for financial and other services); immigration rules and the ability to move employees across borders; legal and regulatory regimes; and market access rules.</w:t>
      </w:r>
    </w:p>
    <w:p>
      <w:pPr>
        <w:spacing w:after="0" w:line="119"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Additional risks associated with the outcome of Brexit include macroeconomic risk to the United Kingdom and European economies, impetus for further disintegration of the European Union and related political stresses (including those related to sentiment against cross border capital movements and activities of investors like us), prejudice to financial services business that are conducting business in the European Union and which are based in the United Kingdom, legal uncertainty regarding achievement of compliance with applicable financial and commercial laws and regulations in view of the expected steps to be taken pursuant to the United Kingdom’s exit from the European Union or in contemplation of negotiations undertaken under Article 218 of the Treaty on the Functioning of the European Union, and the unavailability of timely information as to expected legal, tax and other regimes. We will continue to monitor the potential impact of Brexit on our results of operations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COVID-19 pandemic resulted in a period of capital markets disruption and economic uncertainty.</w:t>
      </w:r>
    </w:p>
    <w:p>
      <w:pPr>
        <w:spacing w:after="0" w:line="123"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The U.S. capital markets experienced extreme volatility and disruption following the global outbreak of COVID-19. Disruptions in the capital markets have in the past increased the spread between the yields realized on risk-free and higher risk securities, resulting in illiquidity in parts of the capital markets. Such disruptions adversely affected our business, financial condition, results of operations and cash flows, and future market disruptions and/or illiquidity may again negatively impact us. Such unfavorable economic conditions could also increase our funding costs and limit our access to the capital markets, and may result in a decision by lenders not to extend credit to us in the future. These events could limit our investment originations, limit our ability to grow and negatively impact our operating results and the fair values of our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37" w:name="page38"/>
    <w:bookmarkEnd w:id="37"/>
    <w:p>
      <w:pPr>
        <w:spacing w:after="0" w:line="253" w:lineRule="auto"/>
        <w:rPr>
          <w:sz w:val="20"/>
          <w:szCs w:val="20"/>
          <w:color w:val="auto"/>
        </w:rPr>
      </w:pPr>
      <w:r>
        <w:rPr>
          <w:rFonts w:ascii="Arial" w:cs="Arial" w:eastAsia="Arial" w:hAnsi="Arial"/>
          <w:sz w:val="14"/>
          <w:szCs w:val="14"/>
          <w:color w:val="auto"/>
        </w:rPr>
        <w:t>debt and equity investments. As such, we could also face an increased risk of investor, creditor or portfolio company disputes, litigation and governmental and regulatory scrutiny as a result of the effects of COVID-19 on economic and market conditions.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136"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16"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The significant disruptions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252"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Any public health emergency, including the COVID-19 pandemic or any outbreak of other existing or new diseases, and the resulting financial and economic market uncertainty could have a significant adverse impact on us.</w:t>
      </w:r>
    </w:p>
    <w:p>
      <w:pPr>
        <w:spacing w:after="0" w:line="106" w:lineRule="exact"/>
        <w:rPr>
          <w:sz w:val="20"/>
          <w:szCs w:val="20"/>
          <w:color w:val="auto"/>
        </w:rPr>
      </w:pPr>
    </w:p>
    <w:p>
      <w:pPr>
        <w:ind w:right="160"/>
        <w:spacing w:after="0" w:line="248" w:lineRule="auto"/>
        <w:rPr>
          <w:sz w:val="20"/>
          <w:szCs w:val="20"/>
          <w:color w:val="auto"/>
        </w:rPr>
      </w:pPr>
      <w:r>
        <w:rPr>
          <w:rFonts w:ascii="Arial" w:cs="Arial" w:eastAsia="Arial" w:hAnsi="Arial"/>
          <w:sz w:val="13"/>
          <w:szCs w:val="13"/>
          <w:color w:val="auto"/>
        </w:rPr>
        <w:t>The extent of the impact of any public health emergency, including the COVID-19 pandemic, on our and our portfolio companies’ operational and financial performance will depend on many factors, including the duration and scope of such public health emergency, the actions taken by governmental authorities to contain its financial and economic impact, the extent of any related travel advisories and restrictions implemented, the impact of such public health emergency on overall supply and demand, investor liquidity and levels of economic activity and the extent of its disruption to important global, regional and local supply chains and economic markets, all of which are highly uncertain and cannot be predicted. In addition, our and our portfolio companies’ operations may be significantly impacted, or halted, as a result of government quarantine measures, restrictions on travel and other factors related to a public health emergency, including its potential adverse impact on the health of any of our or our portfolio companies’ personnel. This could create widespread business continuity issues for us and our portfolio companies.</w:t>
      </w:r>
    </w:p>
    <w:p>
      <w:pPr>
        <w:spacing w:after="0" w:line="113" w:lineRule="exact"/>
        <w:rPr>
          <w:sz w:val="20"/>
          <w:szCs w:val="20"/>
          <w:color w:val="auto"/>
        </w:rPr>
      </w:pPr>
    </w:p>
    <w:p>
      <w:pPr>
        <w:ind w:right="20"/>
        <w:spacing w:after="0" w:line="238" w:lineRule="auto"/>
        <w:rPr>
          <w:sz w:val="20"/>
          <w:szCs w:val="20"/>
          <w:color w:val="auto"/>
        </w:rPr>
      </w:pPr>
      <w:r>
        <w:rPr>
          <w:rFonts w:ascii="Arial" w:cs="Arial" w:eastAsia="Arial" w:hAnsi="Arial"/>
          <w:sz w:val="14"/>
          <w:szCs w:val="14"/>
          <w:color w:val="auto"/>
        </w:rPr>
        <w:t>These factors may also cause the valuation of our investments to differ materially from the values that we may ultimately realize. 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and our portfolio companies.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Economic sanction laws in the United States and other jurisdictions may prohibit us and our affiliates from transacting with certain countries, individuals and companies.</w:t>
      </w:r>
    </w:p>
    <w:p>
      <w:pPr>
        <w:spacing w:after="0" w:line="148"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Economic sanction laws in the United States and other jurisdictions may prohibit us or our affiliates from transacting with certain countries, individuals and companies. 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w:t>
      </w:r>
    </w:p>
    <w:p>
      <w:pPr>
        <w:spacing w:after="0" w:line="103" w:lineRule="exact"/>
        <w:rPr>
          <w:sz w:val="20"/>
          <w:szCs w:val="20"/>
          <w:color w:val="auto"/>
        </w:rPr>
      </w:pPr>
    </w:p>
    <w:p>
      <w:pPr>
        <w:ind w:right="60" w:firstLine="438"/>
        <w:spacing w:after="0" w:line="228" w:lineRule="auto"/>
        <w:rPr>
          <w:sz w:val="20"/>
          <w:szCs w:val="20"/>
          <w:color w:val="auto"/>
        </w:rPr>
      </w:pPr>
      <w:r>
        <w:rPr>
          <w:rFonts w:ascii="Arial" w:cs="Arial" w:eastAsia="Arial" w:hAnsi="Arial"/>
          <w:sz w:val="14"/>
          <w:szCs w:val="14"/>
          <w:color w:val="auto"/>
        </w:rPr>
        <w:t>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 The U.S. government has indicated that it is particularly focused on FCPA enforcement, which may increase the risk that we may become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to which we are subject. As a result, we may be adversely affected because of our unwillingness to enter into transactions that may violate any such laws or regulations.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the target of litigation.</w:t>
      </w:r>
    </w:p>
    <w:p>
      <w:pPr>
        <w:spacing w:after="0" w:line="136"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We may be the target of securities litigation in the future, particularly if the trading price of our common stock and our 2023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136"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for example, decreased revenues. Extreme weather conditions in general require more system backup, adding to costs, and can contribute to increased system stresses, including service interruptions.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Legislative or regulatory tax changes could adversely affect investors.</w:t>
      </w:r>
    </w:p>
    <w:p>
      <w:pPr>
        <w:spacing w:after="0" w:line="136" w:lineRule="exact"/>
        <w:rPr>
          <w:sz w:val="20"/>
          <w:szCs w:val="20"/>
          <w:color w:val="auto"/>
        </w:rPr>
      </w:pPr>
    </w:p>
    <w:p>
      <w:pPr>
        <w:ind w:right="20" w:firstLine="729"/>
        <w:spacing w:after="0" w:line="231" w:lineRule="auto"/>
        <w:rPr>
          <w:sz w:val="20"/>
          <w:szCs w:val="20"/>
          <w:color w:val="auto"/>
        </w:rPr>
      </w:pPr>
      <w:r>
        <w:rPr>
          <w:rFonts w:ascii="Arial" w:cs="Arial" w:eastAsia="Arial" w:hAnsi="Arial"/>
          <w:sz w:val="14"/>
          <w:szCs w:val="14"/>
          <w:color w:val="auto"/>
        </w:rPr>
        <w:t>At any time, the federal income tax laws governing RICs or the administrative interpretations of those laws or regulations may be amended. The Biden Administration has announced a number of tax law proposals, including American Families Plan and Made in America Tax Plan, which include increases in the corporate and individual tax rates, and impose a minimum tax on book income and profits of certain multinational corporations. Any new laws, regulations or interpretations may take effect retroactively and could adversely affect the taxation of us or our shareholders. Therefore, changes in tax laws, regulations or administrative interpretations or any amendments thereto could diminish the value of an investment in our shares or the value or the resale potential of our investments.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8" w:name="page39"/>
    <w:bookmarkEnd w:id="38"/>
    <w:p>
      <w:pPr>
        <w:spacing w:after="0"/>
        <w:tabs>
          <w:tab w:leader="none" w:pos="98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40"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As of September 30, 2021,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40"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265" w:right="419" w:bottom="1440" w:gutter="0" w:footer="0" w:header="0"/>
        </w:sectPr>
      </w:pPr>
    </w:p>
    <w:bookmarkStart w:id="39" w:name="page40"/>
    <w:bookmarkEnd w:id="39"/>
    <w:p>
      <w:pPr>
        <w:jc w:val="center"/>
        <w:spacing w:after="0"/>
        <w:rPr>
          <w:sz w:val="20"/>
          <w:szCs w:val="20"/>
          <w:color w:val="auto"/>
        </w:rPr>
      </w:pPr>
      <w:r>
        <w:rPr>
          <w:rFonts w:ascii="Arial" w:cs="Arial" w:eastAsia="Arial" w:hAnsi="Arial"/>
          <w:sz w:val="14"/>
          <w:szCs w:val="14"/>
          <w:b w:val="1"/>
          <w:bCs w:val="1"/>
          <w:color w:val="auto"/>
        </w:rPr>
        <w:t>PART II</w:t>
      </w:r>
    </w:p>
    <w:p>
      <w:pPr>
        <w:spacing w:after="0" w:line="27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275"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Our common stock is traded on The Nasdaq Global Select Market and the TASE under the symbol “PFLT.” The following table lists the high and low closing sale prices for our common stock, the closing sale prices as a premium or (discount) to our NAV per share and distributions per share on The Nasdaq Global Select Market for each full quarterly period within the fiscal years ended September 30, 2021 and 2020.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Premium /</w:t>
            </w: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Premium /</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(Discount)</w:t>
            </w: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(Discount)</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Closing Sale Prices</w:t>
            </w:r>
          </w:p>
        </w:tc>
        <w:tc>
          <w:tcPr>
            <w:tcW w:w="2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of High Sale</w:t>
            </w: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of Low Sale</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Distributions</w:t>
            </w:r>
          </w:p>
        </w:tc>
      </w:tr>
      <w:tr>
        <w:trPr>
          <w:trHeight w:val="237"/>
        </w:trPr>
        <w:tc>
          <w:tcPr>
            <w:tcW w:w="322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 xml:space="preserve">NAV </w:t>
            </w:r>
            <w:r>
              <w:rPr>
                <w:rFonts w:ascii="Arial" w:cs="Arial" w:eastAsia="Arial" w:hAnsi="Arial"/>
                <w:sz w:val="12"/>
                <w:szCs w:val="12"/>
                <w:b w:val="1"/>
                <w:bCs w:val="1"/>
                <w:color w:val="auto"/>
              </w:rPr>
              <w:t>(1)</w:t>
            </w:r>
          </w:p>
        </w:tc>
        <w:tc>
          <w:tcPr>
            <w:tcW w:w="220" w:type="dxa"/>
            <w:vAlign w:val="bottom"/>
          </w:tcPr>
          <w:p>
            <w:pPr>
              <w:spacing w:after="0"/>
              <w:rPr>
                <w:sz w:val="20"/>
                <w:szCs w:val="20"/>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0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Declared</w:t>
            </w:r>
          </w:p>
        </w:tc>
      </w:tr>
      <w:tr>
        <w:trPr>
          <w:trHeight w:val="155"/>
        </w:trPr>
        <w:tc>
          <w:tcPr>
            <w:tcW w:w="32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Year Ended September 30, 2021</w:t>
            </w:r>
          </w:p>
        </w:tc>
        <w:tc>
          <w:tcPr>
            <w:tcW w:w="1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tcBorders>
            <w:shd w:val="clear" w:color="auto" w:fill="CCECFF"/>
          </w:tcPr>
          <w:p>
            <w:pPr>
              <w:spacing w:after="0"/>
              <w:rPr>
                <w:sz w:val="13"/>
                <w:szCs w:val="13"/>
                <w:color w:val="auto"/>
              </w:rPr>
            </w:pPr>
          </w:p>
        </w:tc>
        <w:tc>
          <w:tcPr>
            <w:tcW w:w="320" w:type="dxa"/>
            <w:vAlign w:val="bottom"/>
            <w:tcBorders>
              <w:top w:val="single" w:sz="8" w:color="CCECFF"/>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spacing w:after="0"/>
              <w:rPr>
                <w:sz w:val="13"/>
                <w:szCs w:val="13"/>
                <w:color w:val="auto"/>
              </w:rPr>
            </w:pPr>
          </w:p>
        </w:tc>
        <w:tc>
          <w:tcPr>
            <w:tcW w:w="3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Fourth quarter</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12.62</w:t>
            </w:r>
          </w:p>
        </w:tc>
        <w:tc>
          <w:tcPr>
            <w:tcW w:w="22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13.41</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12.51</w:t>
            </w:r>
          </w:p>
        </w:tc>
        <w:tc>
          <w:tcPr>
            <w:tcW w:w="22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6%</w:t>
            </w: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0.285</w:t>
            </w:r>
          </w:p>
        </w:tc>
        <w:tc>
          <w:tcPr>
            <w:tcW w:w="100" w:type="dxa"/>
            <w:vAlign w:val="bottom"/>
          </w:tcPr>
          <w:p>
            <w:pPr>
              <w:spacing w:after="0"/>
              <w:rPr>
                <w:sz w:val="14"/>
                <w:szCs w:val="14"/>
                <w:color w:val="auto"/>
              </w:rPr>
            </w:pPr>
          </w:p>
        </w:tc>
      </w:tr>
      <w:tr>
        <w:trPr>
          <w:trHeight w:val="162"/>
        </w:trPr>
        <w:tc>
          <w:tcPr>
            <w:tcW w:w="3220" w:type="dxa"/>
            <w:vAlign w:val="bottom"/>
            <w:shd w:val="clear" w:color="auto" w:fill="CCECFF"/>
          </w:tcPr>
          <w:p>
            <w:pPr>
              <w:spacing w:after="0"/>
              <w:rPr>
                <w:sz w:val="20"/>
                <w:szCs w:val="20"/>
                <w:color w:val="auto"/>
              </w:rPr>
            </w:pPr>
            <w:r>
              <w:rPr>
                <w:rFonts w:ascii="Arial" w:cs="Arial" w:eastAsia="Arial" w:hAnsi="Arial"/>
                <w:sz w:val="14"/>
                <w:szCs w:val="14"/>
                <w:color w:val="auto"/>
              </w:rPr>
              <w:t>Third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12.81</w:t>
            </w: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13.19</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11.94</w:t>
            </w:r>
          </w:p>
        </w:tc>
        <w:tc>
          <w:tcPr>
            <w:tcW w:w="22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0.285</w:t>
            </w:r>
          </w:p>
        </w:tc>
        <w:tc>
          <w:tcPr>
            <w:tcW w:w="100" w:type="dxa"/>
            <w:vAlign w:val="bottom"/>
            <w:shd w:val="clear" w:color="auto" w:fill="CCECFF"/>
          </w:tcPr>
          <w:p>
            <w:pPr>
              <w:spacing w:after="0"/>
              <w:rPr>
                <w:sz w:val="14"/>
                <w:szCs w:val="14"/>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Second quarter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12.63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10.46</w:t>
            </w:r>
          </w:p>
        </w:tc>
        <w:tc>
          <w:tcPr>
            <w:tcW w:w="22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(1)</w:t>
            </w: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0.285</w:t>
            </w:r>
          </w:p>
        </w:tc>
        <w:tc>
          <w:tcPr>
            <w:tcW w:w="100" w:type="dxa"/>
            <w:vAlign w:val="bottom"/>
          </w:tcPr>
          <w:p>
            <w:pPr>
              <w:spacing w:after="0"/>
              <w:rPr>
                <w:sz w:val="14"/>
                <w:szCs w:val="14"/>
                <w:color w:val="auto"/>
              </w:rPr>
            </w:pPr>
          </w:p>
        </w:tc>
      </w:tr>
      <w:tr>
        <w:trPr>
          <w:trHeight w:val="162"/>
        </w:trPr>
        <w:tc>
          <w:tcPr>
            <w:tcW w:w="3220" w:type="dxa"/>
            <w:vAlign w:val="bottom"/>
            <w:shd w:val="clear" w:color="auto" w:fill="CCECFF"/>
          </w:tcPr>
          <w:p>
            <w:pPr>
              <w:spacing w:after="0"/>
              <w:rPr>
                <w:sz w:val="20"/>
                <w:szCs w:val="20"/>
                <w:color w:val="auto"/>
              </w:rPr>
            </w:pPr>
            <w:r>
              <w:rPr>
                <w:rFonts w:ascii="Arial" w:cs="Arial" w:eastAsia="Arial" w:hAnsi="Arial"/>
                <w:sz w:val="14"/>
                <w:szCs w:val="14"/>
                <w:color w:val="auto"/>
              </w:rPr>
              <w:t>First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12.70</w:t>
            </w: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10.96</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7.80</w:t>
            </w:r>
          </w:p>
        </w:tc>
        <w:tc>
          <w:tcPr>
            <w:tcW w:w="22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(14)</w:t>
            </w:r>
          </w:p>
        </w:tc>
        <w:tc>
          <w:tcPr>
            <w:tcW w:w="14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0.285</w:t>
            </w:r>
          </w:p>
        </w:tc>
        <w:tc>
          <w:tcPr>
            <w:tcW w:w="100" w:type="dxa"/>
            <w:vAlign w:val="bottom"/>
            <w:shd w:val="clear" w:color="auto" w:fill="CCECFF"/>
          </w:tcPr>
          <w:p>
            <w:pPr>
              <w:spacing w:after="0"/>
              <w:rPr>
                <w:sz w:val="14"/>
                <w:szCs w:val="14"/>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b w:val="1"/>
                <w:bCs w:val="1"/>
                <w:color w:val="auto"/>
              </w:rPr>
              <w:t>Year Ended September 30, 2020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220" w:type="dxa"/>
            <w:vAlign w:val="bottom"/>
            <w:shd w:val="clear" w:color="auto" w:fill="CCECFF"/>
          </w:tcPr>
          <w:p>
            <w:pPr>
              <w:spacing w:after="0"/>
              <w:rPr>
                <w:sz w:val="20"/>
                <w:szCs w:val="20"/>
                <w:color w:val="auto"/>
              </w:rPr>
            </w:pPr>
            <w:r>
              <w:rPr>
                <w:rFonts w:ascii="Arial" w:cs="Arial" w:eastAsia="Arial" w:hAnsi="Arial"/>
                <w:sz w:val="14"/>
                <w:szCs w:val="14"/>
                <w:color w:val="auto"/>
              </w:rPr>
              <w:t>Fourth quarter</w:t>
            </w:r>
          </w:p>
        </w:tc>
        <w:tc>
          <w:tcPr>
            <w:tcW w:w="30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12.31</w:t>
            </w: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8.82</w:t>
            </w:r>
          </w:p>
        </w:tc>
        <w:tc>
          <w:tcPr>
            <w:tcW w:w="46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7.98</w:t>
            </w:r>
          </w:p>
        </w:tc>
        <w:tc>
          <w:tcPr>
            <w:tcW w:w="22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(28)%</w:t>
            </w:r>
          </w:p>
        </w:tc>
        <w:tc>
          <w:tcPr>
            <w:tcW w:w="14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0.285</w:t>
            </w:r>
          </w:p>
        </w:tc>
        <w:tc>
          <w:tcPr>
            <w:tcW w:w="100" w:type="dxa"/>
            <w:vAlign w:val="bottom"/>
            <w:shd w:val="clear" w:color="auto" w:fill="CCECFF"/>
          </w:tcPr>
          <w:p>
            <w:pPr>
              <w:spacing w:after="0"/>
              <w:rPr>
                <w:sz w:val="14"/>
                <w:szCs w:val="14"/>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Third quarter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9.48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4.46</w:t>
            </w:r>
          </w:p>
        </w:tc>
        <w:tc>
          <w:tcPr>
            <w:tcW w:w="22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(22)</w:t>
            </w: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0.285</w:t>
            </w:r>
          </w:p>
        </w:tc>
        <w:tc>
          <w:tcPr>
            <w:tcW w:w="100" w:type="dxa"/>
            <w:vAlign w:val="bottom"/>
          </w:tcPr>
          <w:p>
            <w:pPr>
              <w:spacing w:after="0"/>
              <w:rPr>
                <w:sz w:val="14"/>
                <w:szCs w:val="14"/>
                <w:color w:val="auto"/>
              </w:rPr>
            </w:pPr>
          </w:p>
        </w:tc>
      </w:tr>
      <w:tr>
        <w:trPr>
          <w:trHeight w:val="162"/>
        </w:trPr>
        <w:tc>
          <w:tcPr>
            <w:tcW w:w="3220" w:type="dxa"/>
            <w:vAlign w:val="bottom"/>
            <w:shd w:val="clear" w:color="auto" w:fill="CCECFF"/>
          </w:tcPr>
          <w:p>
            <w:pPr>
              <w:spacing w:after="0"/>
              <w:rPr>
                <w:sz w:val="20"/>
                <w:szCs w:val="20"/>
                <w:color w:val="auto"/>
              </w:rPr>
            </w:pPr>
            <w:r>
              <w:rPr>
                <w:rFonts w:ascii="Arial" w:cs="Arial" w:eastAsia="Arial" w:hAnsi="Arial"/>
                <w:sz w:val="14"/>
                <w:szCs w:val="14"/>
                <w:color w:val="auto"/>
              </w:rPr>
              <w:t>Second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12.12</w:t>
            </w: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12.67</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w:t>
            </w:r>
          </w:p>
        </w:tc>
        <w:tc>
          <w:tcPr>
            <w:tcW w:w="22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0.285</w:t>
            </w:r>
          </w:p>
        </w:tc>
        <w:tc>
          <w:tcPr>
            <w:tcW w:w="100" w:type="dxa"/>
            <w:vAlign w:val="bottom"/>
            <w:shd w:val="clear" w:color="auto" w:fill="CCECFF"/>
          </w:tcPr>
          <w:p>
            <w:pPr>
              <w:spacing w:after="0"/>
              <w:rPr>
                <w:sz w:val="14"/>
                <w:szCs w:val="14"/>
                <w:color w:val="auto"/>
              </w:rPr>
            </w:pPr>
          </w:p>
        </w:tc>
      </w:tr>
      <w:tr>
        <w:trPr>
          <w:trHeight w:val="182"/>
        </w:trPr>
        <w:tc>
          <w:tcPr>
            <w:tcW w:w="3220" w:type="dxa"/>
            <w:vAlign w:val="bottom"/>
          </w:tcPr>
          <w:p>
            <w:pPr>
              <w:spacing w:after="0"/>
              <w:rPr>
                <w:sz w:val="20"/>
                <w:szCs w:val="20"/>
                <w:color w:val="auto"/>
              </w:rPr>
            </w:pPr>
            <w:r>
              <w:rPr>
                <w:rFonts w:ascii="Arial" w:cs="Arial" w:eastAsia="Arial" w:hAnsi="Arial"/>
                <w:sz w:val="14"/>
                <w:szCs w:val="14"/>
                <w:color w:val="auto"/>
              </w:rPr>
              <w:t>First quarter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12.56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11.33</w:t>
            </w:r>
          </w:p>
        </w:tc>
        <w:tc>
          <w:tcPr>
            <w:tcW w:w="22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(3)</w:t>
            </w: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0.285</w:t>
            </w:r>
          </w:p>
        </w:tc>
        <w:tc>
          <w:tcPr>
            <w:tcW w:w="100" w:type="dxa"/>
            <w:vAlign w:val="bottom"/>
          </w:tcPr>
          <w:p>
            <w:pPr>
              <w:spacing w:after="0"/>
              <w:rPr>
                <w:sz w:val="15"/>
                <w:szCs w:val="15"/>
                <w:color w:val="auto"/>
              </w:rPr>
            </w:pPr>
          </w:p>
        </w:tc>
      </w:tr>
    </w:tbl>
    <w:p>
      <w:pPr>
        <w:spacing w:after="0" w:line="82" w:lineRule="exact"/>
        <w:rPr>
          <w:sz w:val="20"/>
          <w:szCs w:val="20"/>
          <w:color w:val="auto"/>
        </w:rPr>
      </w:pPr>
    </w:p>
    <w:p>
      <w:pPr>
        <w:ind w:left="380" w:right="60" w:hanging="372"/>
        <w:spacing w:after="0" w:line="182" w:lineRule="auto"/>
        <w:tabs>
          <w:tab w:leader="none" w:pos="380" w:val="left"/>
        </w:tabs>
        <w:numPr>
          <w:ilvl w:val="0"/>
          <w:numId w:val="42"/>
        </w:numPr>
        <w:rPr>
          <w:rFonts w:ascii="Arial" w:cs="Arial" w:eastAsia="Arial" w:hAnsi="Arial"/>
          <w:sz w:val="20"/>
          <w:szCs w:val="20"/>
          <w:b w:val="1"/>
          <w:bCs w:val="1"/>
          <w:color w:val="auto"/>
          <w:vertAlign w:val="superscript"/>
        </w:rPr>
      </w:pPr>
      <w:r>
        <w:rPr>
          <w:rFonts w:ascii="Arial" w:cs="Arial" w:eastAsia="Arial" w:hAnsi="Arial"/>
          <w:sz w:val="12"/>
          <w:szCs w:val="12"/>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380" w:hanging="372"/>
        <w:spacing w:after="0" w:line="180" w:lineRule="auto"/>
        <w:tabs>
          <w:tab w:leader="none" w:pos="380" w:val="left"/>
        </w:tabs>
        <w:numPr>
          <w:ilvl w:val="0"/>
          <w:numId w:val="42"/>
        </w:numPr>
        <w:rPr>
          <w:rFonts w:ascii="Arial" w:cs="Arial" w:eastAsia="Arial" w:hAnsi="Arial"/>
          <w:sz w:val="16"/>
          <w:szCs w:val="16"/>
          <w:b w:val="1"/>
          <w:bCs w:val="1"/>
          <w:color w:val="auto"/>
          <w:vertAlign w:val="superscript"/>
        </w:rPr>
      </w:pPr>
      <w:r>
        <w:rPr>
          <w:rFonts w:ascii="Arial" w:cs="Arial" w:eastAsia="Arial" w:hAnsi="Arial"/>
          <w:sz w:val="10"/>
          <w:szCs w:val="10"/>
          <w:color w:val="auto"/>
        </w:rPr>
        <w:t>Calculated as the respective high or low closing sales price less NAV per share, divided by the quarter-end NAV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13455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03" w:lineRule="exact"/>
        <w:rPr>
          <w:sz w:val="20"/>
          <w:szCs w:val="20"/>
          <w:color w:val="auto"/>
        </w:rPr>
      </w:pPr>
    </w:p>
    <w:p>
      <w:pPr>
        <w:ind w:right="240" w:firstLine="438"/>
        <w:spacing w:after="0" w:line="255" w:lineRule="auto"/>
        <w:rPr>
          <w:sz w:val="20"/>
          <w:szCs w:val="20"/>
          <w:color w:val="auto"/>
        </w:rPr>
      </w:pPr>
      <w:r>
        <w:rPr>
          <w:rFonts w:ascii="Arial" w:cs="Arial" w:eastAsia="Arial" w:hAnsi="Arial"/>
          <w:sz w:val="13"/>
          <w:szCs w:val="13"/>
          <w:color w:val="auto"/>
        </w:rPr>
        <w:t>Shares of BDCs may trade at a market price both above and below the NAV that is attributable to those shares. Our shares have traded above and below our NAV. Our shares closed on The Nasdaq Global Select Market at $12.79 and $8.44 on September 30, 2021 and 2020, respectively. Our NAV per share was $12.62 and $12.31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2021, we had 40 stockholders of record.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Unregistered Securities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engage in any sales of unregistered securities during the year ended September 30,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repurchase any of our common stock under our share repurchase plan during the year ended September 30, 2021.</w:t>
      </w:r>
    </w:p>
    <w:p>
      <w:pPr>
        <w:spacing w:after="0" w:line="132"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DISTRIBUTIONS</w:t>
      </w:r>
    </w:p>
    <w:p>
      <w:pPr>
        <w:spacing w:after="0" w:line="275"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17"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In January 2022, a Form 1099-DIV will be sent to stockholders subject to information reporting that will state the amount and composition of distributions and provide information with respect to appropriate tax treatment of our distributions.</w:t>
      </w:r>
    </w:p>
    <w:p>
      <w:pPr>
        <w:spacing w:after="0" w:line="106"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The tax characteristics of distributions declared, in accordance with Section 19(a) of the 1940 Act, for both years ended September 30, 2021 and 2020 from ordinary income (including short-term gains), if any, totaled $44.2 million, or $1.14 per share, based on the weighted average shares outstanding for the respective periods. Additionally, for both years ended September 30, 2021 and 2020, we did not pay any distributions from long-term capital gains.</w:t>
      </w:r>
    </w:p>
    <w:p>
      <w:pPr>
        <w:spacing w:after="0" w:line="115"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i w:val="1"/>
          <w:iCs w:val="1"/>
          <w:color w:val="auto"/>
        </w:rPr>
        <w:t>Stock Performance Graph</w:t>
      </w:r>
    </w:p>
    <w:p>
      <w:pPr>
        <w:spacing w:after="0" w:line="123"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This graph compares the return on our common stock with that of the Standard &amp; Poor’s 500 Stock Index and the Russell 2000 Financial Services Index, for the last five fiscal years. The graph assumes that, on September 30, 2015,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60" w:firstLine="438"/>
        <w:spacing w:after="0" w:line="290" w:lineRule="auto"/>
        <w:rPr>
          <w:sz w:val="20"/>
          <w:szCs w:val="20"/>
          <w:color w:val="auto"/>
        </w:rPr>
      </w:pPr>
      <w:r>
        <w:rPr>
          <w:rFonts w:ascii="Arial" w:cs="Arial" w:eastAsia="Arial" w:hAnsi="Arial"/>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FEES AND EXPENSES</w:t>
      </w:r>
    </w:p>
    <w:p>
      <w:pPr>
        <w:spacing w:after="0" w:line="208" w:lineRule="exact"/>
        <w:rPr>
          <w:sz w:val="20"/>
          <w:szCs w:val="20"/>
          <w:color w:val="auto"/>
        </w:rPr>
      </w:pPr>
    </w:p>
    <w:p>
      <w:pPr>
        <w:ind w:right="20" w:firstLine="496"/>
        <w:spacing w:after="0" w:line="231" w:lineRule="auto"/>
        <w:rPr>
          <w:sz w:val="20"/>
          <w:szCs w:val="20"/>
          <w:color w:val="auto"/>
        </w:rPr>
      </w:pPr>
      <w:r>
        <w:rPr>
          <w:rFonts w:ascii="Arial" w:cs="Arial" w:eastAsia="Arial" w:hAnsi="Arial"/>
          <w:sz w:val="14"/>
          <w:szCs w:val="14"/>
          <w:color w:val="auto"/>
        </w:rPr>
        <w:t>The following table is being provided to update, as of September 30, 2021, certain information in our registration statement on Form N-2 (File No. 333-235532), most recently declared effective by the SEC on January 29, 2020. This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reference is made to fees or expenses paid by “you” or “us” or that “we” will pay, stockholders will indirectly bear such fees or expenses as investors in us.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20"/>
                <w:szCs w:val="20"/>
                <w:color w:val="auto"/>
              </w:rPr>
            </w:pPr>
            <w:r>
              <w:rPr>
                <w:rFonts w:ascii="Arial" w:cs="Arial" w:eastAsia="Arial" w:hAnsi="Arial"/>
                <w:sz w:val="14"/>
                <w:szCs w:val="14"/>
                <w:b w:val="1"/>
                <w:bCs w:val="1"/>
                <w:color w:val="auto"/>
              </w:rPr>
              <w:t>Stockholder transaction expenses</w:t>
            </w:r>
          </w:p>
        </w:tc>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8300" w:type="dxa"/>
            <w:vAlign w:val="bottom"/>
            <w:shd w:val="clear" w:color="auto" w:fill="CCECFF"/>
          </w:tcPr>
          <w:p>
            <w:pPr>
              <w:spacing w:after="0"/>
              <w:rPr>
                <w:sz w:val="20"/>
                <w:szCs w:val="20"/>
                <w:color w:val="auto"/>
              </w:rPr>
            </w:pPr>
            <w:r>
              <w:rPr>
                <w:rFonts w:ascii="Arial" w:cs="Arial" w:eastAsia="Arial" w:hAnsi="Arial"/>
                <w:sz w:val="14"/>
                <w:szCs w:val="14"/>
                <w:color w:val="auto"/>
              </w:rPr>
              <w:t>Sales load (as a percentage of offering price)</w:t>
            </w:r>
          </w:p>
        </w:tc>
        <w:tc>
          <w:tcPr>
            <w:tcW w:w="2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w:t>
            </w:r>
          </w:p>
        </w:tc>
      </w:tr>
      <w:tr>
        <w:trPr>
          <w:trHeight w:val="162"/>
        </w:trPr>
        <w:tc>
          <w:tcPr>
            <w:tcW w:w="8300" w:type="dxa"/>
            <w:vAlign w:val="bottom"/>
          </w:tcPr>
          <w:p>
            <w:pPr>
              <w:spacing w:after="0"/>
              <w:rPr>
                <w:sz w:val="20"/>
                <w:szCs w:val="20"/>
                <w:color w:val="auto"/>
              </w:rPr>
            </w:pPr>
            <w:r>
              <w:rPr>
                <w:rFonts w:ascii="Arial" w:cs="Arial" w:eastAsia="Arial" w:hAnsi="Arial"/>
                <w:sz w:val="14"/>
                <w:szCs w:val="14"/>
                <w:color w:val="auto"/>
              </w:rPr>
              <w:t>Offering expenses (as a percentage of offering price)</w:t>
            </w:r>
          </w:p>
        </w:tc>
        <w:tc>
          <w:tcPr>
            <w:tcW w:w="2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43"/>
        </w:trPr>
        <w:tc>
          <w:tcPr>
            <w:tcW w:w="8300" w:type="dxa"/>
            <w:vAlign w:val="bottom"/>
            <w:shd w:val="clear" w:color="auto" w:fill="CCECFF"/>
          </w:tcPr>
          <w:p>
            <w:pPr>
              <w:spacing w:after="0"/>
              <w:rPr>
                <w:sz w:val="20"/>
                <w:szCs w:val="20"/>
                <w:color w:val="auto"/>
              </w:rPr>
            </w:pPr>
            <w:r>
              <w:rPr>
                <w:rFonts w:ascii="Arial" w:cs="Arial" w:eastAsia="Arial" w:hAnsi="Arial"/>
                <w:sz w:val="14"/>
                <w:szCs w:val="14"/>
                <w:color w:val="auto"/>
              </w:rPr>
              <w:t>Total stockholder expenses (as a percentage of offering price)</w:t>
            </w:r>
          </w:p>
        </w:tc>
        <w:tc>
          <w:tcPr>
            <w:tcW w:w="274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21"/>
                <w:szCs w:val="21"/>
                <w:color w:val="auto"/>
              </w:rPr>
            </w:pPr>
          </w:p>
        </w:tc>
      </w:tr>
      <w:tr>
        <w:trPr>
          <w:trHeight w:val="243"/>
        </w:trPr>
        <w:tc>
          <w:tcPr>
            <w:tcW w:w="8300" w:type="dxa"/>
            <w:vAlign w:val="bottom"/>
          </w:tcPr>
          <w:p>
            <w:pPr>
              <w:spacing w:after="0"/>
              <w:rPr>
                <w:sz w:val="20"/>
                <w:szCs w:val="20"/>
                <w:color w:val="auto"/>
              </w:rPr>
            </w:pPr>
            <w:r>
              <w:rPr>
                <w:rFonts w:ascii="Arial" w:cs="Arial" w:eastAsia="Arial" w:hAnsi="Arial"/>
                <w:sz w:val="14"/>
                <w:szCs w:val="14"/>
                <w:b w:val="1"/>
                <w:bCs w:val="1"/>
                <w:color w:val="auto"/>
              </w:rPr>
              <w:t>Estimated annual expenses (as a percentage of average net assets attributable to common shares)</w:t>
            </w:r>
            <w:r>
              <w:rPr>
                <w:rFonts w:ascii="Arial" w:cs="Arial" w:eastAsia="Arial" w:hAnsi="Arial"/>
                <w:sz w:val="12"/>
                <w:szCs w:val="12"/>
                <w:b w:val="1"/>
                <w:bCs w:val="1"/>
                <w:color w:val="auto"/>
              </w:rPr>
              <w:t>(3)</w:t>
            </w:r>
          </w:p>
        </w:tc>
        <w:tc>
          <w:tcPr>
            <w:tcW w:w="27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162"/>
        </w:trPr>
        <w:tc>
          <w:tcPr>
            <w:tcW w:w="8300" w:type="dxa"/>
            <w:vAlign w:val="bottom"/>
            <w:shd w:val="clear" w:color="auto" w:fill="CCECFF"/>
          </w:tcPr>
          <w:p>
            <w:pPr>
              <w:spacing w:after="0"/>
              <w:rPr>
                <w:sz w:val="20"/>
                <w:szCs w:val="20"/>
                <w:color w:val="auto"/>
              </w:rPr>
            </w:pPr>
            <w:r>
              <w:rPr>
                <w:rFonts w:ascii="Arial" w:cs="Arial" w:eastAsia="Arial" w:hAnsi="Arial"/>
                <w:sz w:val="14"/>
                <w:szCs w:val="14"/>
                <w:color w:val="auto"/>
              </w:rPr>
              <w:t>Management fees</w:t>
            </w:r>
          </w:p>
        </w:tc>
        <w:tc>
          <w:tcPr>
            <w:tcW w:w="2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2.18%</w:t>
            </w:r>
          </w:p>
        </w:tc>
        <w:tc>
          <w:tcPr>
            <w:tcW w:w="2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w:t>
            </w:r>
          </w:p>
        </w:tc>
      </w:tr>
      <w:tr>
        <w:trPr>
          <w:trHeight w:val="162"/>
        </w:trPr>
        <w:tc>
          <w:tcPr>
            <w:tcW w:w="8300" w:type="dxa"/>
            <w:vAlign w:val="bottom"/>
          </w:tcPr>
          <w:p>
            <w:pPr>
              <w:spacing w:after="0"/>
              <w:rPr>
                <w:sz w:val="20"/>
                <w:szCs w:val="20"/>
                <w:color w:val="auto"/>
              </w:rPr>
            </w:pPr>
            <w:r>
              <w:rPr>
                <w:rFonts w:ascii="Arial" w:cs="Arial" w:eastAsia="Arial" w:hAnsi="Arial"/>
                <w:sz w:val="14"/>
                <w:szCs w:val="14"/>
                <w:color w:val="auto"/>
              </w:rPr>
              <w:t>Incentive fees</w:t>
            </w:r>
          </w:p>
        </w:tc>
        <w:tc>
          <w:tcPr>
            <w:tcW w:w="2740" w:type="dxa"/>
            <w:vAlign w:val="bottom"/>
          </w:tcPr>
          <w:p>
            <w:pPr>
              <w:jc w:val="right"/>
              <w:spacing w:after="0"/>
              <w:rPr>
                <w:sz w:val="20"/>
                <w:szCs w:val="20"/>
                <w:color w:val="auto"/>
              </w:rPr>
            </w:pPr>
            <w:r>
              <w:rPr>
                <w:rFonts w:ascii="Arial" w:cs="Arial" w:eastAsia="Arial" w:hAnsi="Arial"/>
                <w:sz w:val="14"/>
                <w:szCs w:val="14"/>
                <w:color w:val="auto"/>
              </w:rPr>
              <w:t>1.09%</w:t>
            </w:r>
          </w:p>
        </w:tc>
        <w:tc>
          <w:tcPr>
            <w:tcW w:w="20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62"/>
        </w:trPr>
        <w:tc>
          <w:tcPr>
            <w:tcW w:w="8300" w:type="dxa"/>
            <w:vAlign w:val="bottom"/>
            <w:shd w:val="clear" w:color="auto" w:fill="CCECFF"/>
          </w:tcPr>
          <w:p>
            <w:pPr>
              <w:spacing w:after="0"/>
              <w:rPr>
                <w:sz w:val="20"/>
                <w:szCs w:val="20"/>
                <w:color w:val="auto"/>
              </w:rPr>
            </w:pPr>
            <w:r>
              <w:rPr>
                <w:rFonts w:ascii="Arial" w:cs="Arial" w:eastAsia="Arial" w:hAnsi="Arial"/>
                <w:sz w:val="14"/>
                <w:szCs w:val="14"/>
                <w:color w:val="auto"/>
              </w:rPr>
              <w:t>Interest on borrowed funds</w:t>
            </w:r>
          </w:p>
        </w:tc>
        <w:tc>
          <w:tcPr>
            <w:tcW w:w="2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5.00%</w:t>
            </w:r>
          </w:p>
        </w:tc>
        <w:tc>
          <w:tcPr>
            <w:tcW w:w="2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w:t>
            </w:r>
          </w:p>
        </w:tc>
      </w:tr>
      <w:tr>
        <w:trPr>
          <w:trHeight w:val="162"/>
        </w:trPr>
        <w:tc>
          <w:tcPr>
            <w:tcW w:w="8300" w:type="dxa"/>
            <w:vAlign w:val="bottom"/>
          </w:tcPr>
          <w:p>
            <w:pPr>
              <w:spacing w:after="0"/>
              <w:rPr>
                <w:sz w:val="20"/>
                <w:szCs w:val="20"/>
                <w:color w:val="auto"/>
              </w:rPr>
            </w:pPr>
            <w:r>
              <w:rPr>
                <w:rFonts w:ascii="Arial" w:cs="Arial" w:eastAsia="Arial" w:hAnsi="Arial"/>
                <w:sz w:val="14"/>
                <w:szCs w:val="14"/>
                <w:color w:val="auto"/>
              </w:rPr>
              <w:t>Acquired fund fees and expenses</w:t>
            </w:r>
          </w:p>
        </w:tc>
        <w:tc>
          <w:tcPr>
            <w:tcW w:w="2740" w:type="dxa"/>
            <w:vAlign w:val="bottom"/>
          </w:tcPr>
          <w:p>
            <w:pPr>
              <w:jc w:val="right"/>
              <w:spacing w:after="0"/>
              <w:rPr>
                <w:sz w:val="20"/>
                <w:szCs w:val="20"/>
                <w:color w:val="auto"/>
              </w:rPr>
            </w:pPr>
            <w:r>
              <w:rPr>
                <w:rFonts w:ascii="Arial" w:cs="Arial" w:eastAsia="Arial" w:hAnsi="Arial"/>
                <w:sz w:val="14"/>
                <w:szCs w:val="14"/>
                <w:color w:val="auto"/>
              </w:rPr>
              <w:t>4.54%</w:t>
            </w:r>
          </w:p>
        </w:tc>
        <w:tc>
          <w:tcPr>
            <w:tcW w:w="20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62"/>
        </w:trPr>
        <w:tc>
          <w:tcPr>
            <w:tcW w:w="8300" w:type="dxa"/>
            <w:vAlign w:val="bottom"/>
            <w:shd w:val="clear" w:color="auto" w:fill="CCECFF"/>
          </w:tcPr>
          <w:p>
            <w:pPr>
              <w:spacing w:after="0"/>
              <w:rPr>
                <w:sz w:val="20"/>
                <w:szCs w:val="20"/>
                <w:color w:val="auto"/>
              </w:rPr>
            </w:pPr>
            <w:r>
              <w:rPr>
                <w:rFonts w:ascii="Arial" w:cs="Arial" w:eastAsia="Arial" w:hAnsi="Arial"/>
                <w:sz w:val="14"/>
                <w:szCs w:val="14"/>
                <w:color w:val="auto"/>
              </w:rPr>
              <w:t>Other expenses</w:t>
            </w:r>
          </w:p>
        </w:tc>
        <w:tc>
          <w:tcPr>
            <w:tcW w:w="2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0.51%</w:t>
            </w:r>
          </w:p>
        </w:tc>
        <w:tc>
          <w:tcPr>
            <w:tcW w:w="2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w:t>
            </w:r>
          </w:p>
        </w:tc>
      </w:tr>
      <w:tr>
        <w:trPr>
          <w:trHeight w:val="186"/>
        </w:trPr>
        <w:tc>
          <w:tcPr>
            <w:tcW w:w="8300" w:type="dxa"/>
            <w:vAlign w:val="bottom"/>
          </w:tcPr>
          <w:p>
            <w:pPr>
              <w:spacing w:after="0"/>
              <w:rPr>
                <w:sz w:val="20"/>
                <w:szCs w:val="20"/>
                <w:color w:val="auto"/>
              </w:rPr>
            </w:pPr>
            <w:r>
              <w:rPr>
                <w:rFonts w:ascii="Arial" w:cs="Arial" w:eastAsia="Arial" w:hAnsi="Arial"/>
                <w:sz w:val="14"/>
                <w:szCs w:val="14"/>
                <w:b w:val="1"/>
                <w:bCs w:val="1"/>
                <w:color w:val="auto"/>
              </w:rPr>
              <w:t>Total estimated annual expenses</w:t>
            </w:r>
          </w:p>
        </w:tc>
        <w:tc>
          <w:tcPr>
            <w:tcW w:w="2740" w:type="dxa"/>
            <w:vAlign w:val="bottom"/>
          </w:tcPr>
          <w:p>
            <w:pPr>
              <w:jc w:val="right"/>
              <w:spacing w:after="0"/>
              <w:rPr>
                <w:sz w:val="20"/>
                <w:szCs w:val="20"/>
                <w:color w:val="auto"/>
              </w:rPr>
            </w:pPr>
            <w:r>
              <w:rPr>
                <w:rFonts w:ascii="Arial" w:cs="Arial" w:eastAsia="Arial" w:hAnsi="Arial"/>
                <w:sz w:val="14"/>
                <w:szCs w:val="14"/>
                <w:color w:val="auto"/>
              </w:rPr>
              <w:t>13.32%</w:t>
            </w:r>
          </w:p>
        </w:tc>
        <w:tc>
          <w:tcPr>
            <w:tcW w:w="200" w:type="dxa"/>
            <w:vAlign w:val="bottom"/>
          </w:tcPr>
          <w:p>
            <w:pPr>
              <w:jc w:val="right"/>
              <w:spacing w:after="0"/>
              <w:rPr>
                <w:sz w:val="20"/>
                <w:szCs w:val="20"/>
                <w:color w:val="auto"/>
              </w:rPr>
            </w:pPr>
            <w:r>
              <w:rPr>
                <w:rFonts w:ascii="Arial" w:cs="Arial" w:eastAsia="Arial" w:hAnsi="Arial"/>
                <w:sz w:val="12"/>
                <w:szCs w:val="12"/>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60" w:hanging="452"/>
        <w:spacing w:after="0" w:line="221" w:lineRule="auto"/>
        <w:tabs>
          <w:tab w:leader="none" w:pos="460" w:val="left"/>
        </w:tabs>
        <w:numPr>
          <w:ilvl w:val="0"/>
          <w:numId w:val="43"/>
        </w:numPr>
        <w:rPr>
          <w:rFonts w:ascii="Arial" w:cs="Arial" w:eastAsia="Arial" w:hAnsi="Arial"/>
          <w:sz w:val="20"/>
          <w:szCs w:val="20"/>
          <w:b w:val="1"/>
          <w:bCs w:val="1"/>
          <w:color w:val="auto"/>
          <w:vertAlign w:val="superscript"/>
        </w:rPr>
      </w:pPr>
      <w:r>
        <w:rPr>
          <w:rFonts w:ascii="Arial" w:cs="Arial" w:eastAsia="Arial" w:hAnsi="Arial"/>
          <w:sz w:val="12"/>
          <w:szCs w:val="12"/>
          <w:color w:val="auto"/>
        </w:rPr>
        <w:t>In the event that the securities to which any applicable prospectus relates are sold to or through underwriters or agents, a corresponding prospectus supplement will disclose the applicable sales load.</w:t>
      </w:r>
    </w:p>
    <w:p>
      <w:pPr>
        <w:spacing w:after="0" w:line="122" w:lineRule="exact"/>
        <w:rPr>
          <w:rFonts w:ascii="Arial" w:cs="Arial" w:eastAsia="Arial" w:hAnsi="Arial"/>
          <w:sz w:val="20"/>
          <w:szCs w:val="20"/>
          <w:b w:val="1"/>
          <w:bCs w:val="1"/>
          <w:color w:val="auto"/>
          <w:vertAlign w:val="superscript"/>
        </w:rPr>
      </w:pPr>
    </w:p>
    <w:p>
      <w:pPr>
        <w:ind w:left="460" w:right="80" w:hanging="452"/>
        <w:spacing w:after="0" w:line="182" w:lineRule="auto"/>
        <w:tabs>
          <w:tab w:leader="none" w:pos="460" w:val="left"/>
        </w:tabs>
        <w:numPr>
          <w:ilvl w:val="0"/>
          <w:numId w:val="43"/>
        </w:numPr>
        <w:rPr>
          <w:rFonts w:ascii="Arial" w:cs="Arial" w:eastAsia="Arial" w:hAnsi="Arial"/>
          <w:sz w:val="20"/>
          <w:szCs w:val="20"/>
          <w:b w:val="1"/>
          <w:bCs w:val="1"/>
          <w:color w:val="auto"/>
          <w:vertAlign w:val="superscript"/>
        </w:rPr>
      </w:pPr>
      <w:r>
        <w:rPr>
          <w:rFonts w:ascii="Arial" w:cs="Arial" w:eastAsia="Arial" w:hAnsi="Arial"/>
          <w:sz w:val="12"/>
          <w:szCs w:val="12"/>
          <w:color w:val="auto"/>
        </w:rPr>
        <w:t>In the event that we conduct an offering of our securities, a corresponding prospectus supplement will disclose the estimated amount of offering expenses, the offering price and the offering expenses borne by us as a percentage of the offering price.</w:t>
      </w:r>
    </w:p>
    <w:p>
      <w:pPr>
        <w:ind w:left="460" w:hanging="452"/>
        <w:spacing w:after="0" w:line="187" w:lineRule="auto"/>
        <w:tabs>
          <w:tab w:leader="none" w:pos="460" w:val="left"/>
        </w:tabs>
        <w:numPr>
          <w:ilvl w:val="0"/>
          <w:numId w:val="43"/>
        </w:numPr>
        <w:rPr>
          <w:rFonts w:ascii="Arial" w:cs="Arial" w:eastAsia="Arial" w:hAnsi="Arial"/>
          <w:sz w:val="15"/>
          <w:szCs w:val="15"/>
          <w:b w:val="1"/>
          <w:bCs w:val="1"/>
          <w:color w:val="auto"/>
          <w:vertAlign w:val="superscript"/>
        </w:rPr>
      </w:pPr>
      <w:r>
        <w:rPr>
          <w:rFonts w:ascii="Arial" w:cs="Arial" w:eastAsia="Arial" w:hAnsi="Arial"/>
          <w:sz w:val="9"/>
          <w:szCs w:val="9"/>
          <w:color w:val="auto"/>
        </w:rPr>
        <w:t>Net assets attributable to common shares equals average net assets for the fiscal year ended September 30, 2021.</w:t>
      </w:r>
    </w:p>
    <w:p>
      <w:pPr>
        <w:ind w:left="460" w:hanging="452"/>
        <w:spacing w:after="0" w:line="187" w:lineRule="auto"/>
        <w:tabs>
          <w:tab w:leader="none" w:pos="460" w:val="left"/>
        </w:tabs>
        <w:numPr>
          <w:ilvl w:val="0"/>
          <w:numId w:val="43"/>
        </w:numPr>
        <w:rPr>
          <w:rFonts w:ascii="Arial" w:cs="Arial" w:eastAsia="Arial" w:hAnsi="Arial"/>
          <w:sz w:val="15"/>
          <w:szCs w:val="15"/>
          <w:b w:val="1"/>
          <w:bCs w:val="1"/>
          <w:color w:val="auto"/>
          <w:vertAlign w:val="superscript"/>
        </w:rPr>
      </w:pPr>
      <w:r>
        <w:rPr>
          <w:rFonts w:ascii="Arial" w:cs="Arial" w:eastAsia="Arial" w:hAnsi="Arial"/>
          <w:sz w:val="9"/>
          <w:szCs w:val="9"/>
          <w:color w:val="auto"/>
        </w:rPr>
        <w:t>The contractual management fee is calculated at an annual rate of 1.00% of our average adjusted gross assets on September 30, 2021.</w:t>
      </w:r>
    </w:p>
    <w:p>
      <w:pPr>
        <w:ind w:left="460" w:right="20" w:hanging="452"/>
        <w:spacing w:after="0" w:line="232" w:lineRule="auto"/>
        <w:tabs>
          <w:tab w:leader="none" w:pos="460" w:val="left"/>
        </w:tabs>
        <w:numPr>
          <w:ilvl w:val="0"/>
          <w:numId w:val="43"/>
        </w:numPr>
        <w:rPr>
          <w:rFonts w:ascii="Arial" w:cs="Arial" w:eastAsia="Arial" w:hAnsi="Arial"/>
          <w:sz w:val="19"/>
          <w:szCs w:val="19"/>
          <w:b w:val="1"/>
          <w:bCs w:val="1"/>
          <w:color w:val="auto"/>
          <w:vertAlign w:val="superscript"/>
        </w:rPr>
      </w:pPr>
      <w:r>
        <w:rPr>
          <w:rFonts w:ascii="Arial" w:cs="Arial" w:eastAsia="Arial" w:hAnsi="Arial"/>
          <w:sz w:val="11"/>
          <w:szCs w:val="11"/>
          <w:color w:val="auto"/>
        </w:rPr>
        <w:t>The portion of incentive fees paid with respect to net investment income and capital gains, if any, is based on actual amounts incurred during the fiscal year ended September 30, 2021.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year ended September 30, 2021. For more detailed information about the incentive fee, please see “Item 1. Business—Investment Management Agreement” and “Item 1. Business—Investment Advisory Fees”.</w:t>
      </w:r>
    </w:p>
    <w:p>
      <w:pPr>
        <w:sectPr>
          <w:pgSz w:w="11900" w:h="16838" w:orient="portrait"/>
          <w:cols w:equalWidth="0" w:num="1">
            <w:col w:w="11240"/>
          </w:cols>
          <w:pgMar w:left="320" w:top="269"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type w:val="continuous"/>
        </w:sectPr>
      </w:pPr>
    </w:p>
    <w:bookmarkStart w:id="41" w:name="page42"/>
    <w:bookmarkEnd w:id="41"/>
    <w:p>
      <w:pPr>
        <w:ind w:left="460" w:right="120" w:hanging="452"/>
        <w:spacing w:after="0" w:line="210" w:lineRule="auto"/>
        <w:tabs>
          <w:tab w:leader="none" w:pos="460" w:val="left"/>
        </w:tabs>
        <w:numPr>
          <w:ilvl w:val="0"/>
          <w:numId w:val="44"/>
        </w:numPr>
        <w:rPr>
          <w:rFonts w:ascii="Arial" w:cs="Arial" w:eastAsia="Arial" w:hAnsi="Arial"/>
          <w:sz w:val="20"/>
          <w:szCs w:val="20"/>
          <w:b w:val="1"/>
          <w:bCs w:val="1"/>
          <w:color w:val="auto"/>
          <w:vertAlign w:val="superscript"/>
        </w:rPr>
      </w:pPr>
      <w:r>
        <w:rPr>
          <w:rFonts w:ascii="Arial" w:cs="Arial" w:eastAsia="Arial" w:hAnsi="Arial"/>
          <w:sz w:val="12"/>
          <w:szCs w:val="12"/>
          <w:color w:val="auto"/>
        </w:rPr>
        <w:t>As of September 30, 2021, we had $219.4 million in borrowings outstanding under our Credit Facility, $117.8 million outstanding under our 2023 Notes, $100.0 million outstanding under of 2026 Notes and $228.0 million outstanding under the 2031 Asset-Backed Debt. We may use proceeds of an offering of securities under any applicable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amendment costs incurred on our Credit Facility, and debt issuance costs, if any, for the fiscal year ended September 30, 2021 and we caution you that our actual interest expense in the future will depend on prevailing interest rates and our rate of borrowing, which may be substantially higher than the amount provided in this table.</w:t>
      </w:r>
    </w:p>
    <w:p>
      <w:pPr>
        <w:ind w:left="460" w:hanging="452"/>
        <w:spacing w:after="0" w:line="187" w:lineRule="auto"/>
        <w:tabs>
          <w:tab w:leader="none" w:pos="460" w:val="left"/>
        </w:tabs>
        <w:numPr>
          <w:ilvl w:val="0"/>
          <w:numId w:val="44"/>
        </w:numPr>
        <w:rPr>
          <w:rFonts w:ascii="Arial" w:cs="Arial" w:eastAsia="Arial" w:hAnsi="Arial"/>
          <w:sz w:val="15"/>
          <w:szCs w:val="15"/>
          <w:b w:val="1"/>
          <w:bCs w:val="1"/>
          <w:color w:val="auto"/>
          <w:vertAlign w:val="superscript"/>
        </w:rPr>
      </w:pPr>
      <w:r>
        <w:rPr>
          <w:rFonts w:ascii="Arial" w:cs="Arial" w:eastAsia="Arial" w:hAnsi="Arial"/>
          <w:sz w:val="9"/>
          <w:szCs w:val="9"/>
          <w:color w:val="auto"/>
        </w:rPr>
        <w:t>Our stockholders indirectly bear 87.5% of the expenses of our investment in PSSL. No management fee is charged by PennantPark Investment Advisers in connection with PSSL. PSSL pays the Administrator an annual fee of</w:t>
      </w:r>
    </w:p>
    <w:p>
      <w:pPr>
        <w:ind w:left="460" w:right="60"/>
        <w:spacing w:after="0" w:line="234" w:lineRule="auto"/>
        <w:rPr>
          <w:rFonts w:ascii="Arial" w:cs="Arial" w:eastAsia="Arial" w:hAnsi="Arial"/>
          <w:sz w:val="15"/>
          <w:szCs w:val="15"/>
          <w:b w:val="1"/>
          <w:bCs w:val="1"/>
          <w:color w:val="auto"/>
          <w:vertAlign w:val="superscript"/>
        </w:rPr>
      </w:pPr>
      <w:r>
        <w:rPr>
          <w:rFonts w:ascii="Arial" w:cs="Arial" w:eastAsia="Arial" w:hAnsi="Arial"/>
          <w:sz w:val="12"/>
          <w:szCs w:val="12"/>
          <w:color w:val="auto"/>
        </w:rPr>
        <w:t>0.25% of average gross assets under management. For this chart, PSSL fees and operating expenses are based on our share of the actual fees and operating expenses of PSSL for the fiscal year ended September 30, 2021. Expenses for PSSL may fluctuate over time and may be substantially higher or lower in the future.</w:t>
      </w:r>
    </w:p>
    <w:p>
      <w:pPr>
        <w:ind w:left="460" w:right="80"/>
        <w:spacing w:after="0" w:line="234" w:lineRule="auto"/>
        <w:rPr>
          <w:rFonts w:ascii="Arial" w:cs="Arial" w:eastAsia="Arial" w:hAnsi="Arial"/>
          <w:sz w:val="15"/>
          <w:szCs w:val="15"/>
          <w:b w:val="1"/>
          <w:bCs w:val="1"/>
          <w:color w:val="auto"/>
          <w:vertAlign w:val="superscript"/>
        </w:rPr>
      </w:pPr>
      <w:r>
        <w:rPr>
          <w:rFonts w:ascii="Arial" w:cs="Arial" w:eastAsia="Arial" w:hAnsi="Arial"/>
          <w:sz w:val="12"/>
          <w:szCs w:val="12"/>
          <w:color w:val="auto"/>
        </w:rPr>
        <w:t>Our stockholders indirectly bear 23.08% of the expenses of our investment in PTSF. A management fee equal to 0.30% per annum of the gross assets of PTSF and its subsidiaries is charged by PennantPark Investment Advisers in connection with PTSF (which is waived by PennantPark Investment Advisers). When applicable, fees and operating expenses estimates would be based on historic fees and operating expenses for acquired funds. For PTSF, which has a limited operating history, fees and operating expenses are estimates based on expected fees and operating expenses of PTSF for the applicable fiscal quarter, annualized for a full year. Expenses for PTSF may fluctuate over time and may be substantially higher or lower in the future.</w:t>
      </w:r>
    </w:p>
    <w:p>
      <w:pPr>
        <w:spacing w:after="0" w:line="1" w:lineRule="exact"/>
        <w:rPr>
          <w:rFonts w:ascii="Arial" w:cs="Arial" w:eastAsia="Arial" w:hAnsi="Arial"/>
          <w:sz w:val="15"/>
          <w:szCs w:val="15"/>
          <w:b w:val="1"/>
          <w:bCs w:val="1"/>
          <w:color w:val="auto"/>
          <w:vertAlign w:val="superscript"/>
        </w:rPr>
      </w:pPr>
    </w:p>
    <w:p>
      <w:pPr>
        <w:ind w:left="460" w:right="80" w:hanging="452"/>
        <w:spacing w:after="0" w:line="187" w:lineRule="auto"/>
        <w:tabs>
          <w:tab w:leader="none" w:pos="460" w:val="left"/>
        </w:tabs>
        <w:numPr>
          <w:ilvl w:val="0"/>
          <w:numId w:val="44"/>
        </w:numPr>
        <w:rPr>
          <w:rFonts w:ascii="Arial" w:cs="Arial" w:eastAsia="Arial" w:hAnsi="Arial"/>
          <w:sz w:val="19"/>
          <w:szCs w:val="19"/>
          <w:b w:val="1"/>
          <w:bCs w:val="1"/>
          <w:color w:val="auto"/>
          <w:vertAlign w:val="superscript"/>
        </w:rPr>
      </w:pPr>
      <w:r>
        <w:rPr>
          <w:rFonts w:ascii="Arial" w:cs="Arial" w:eastAsia="Arial" w:hAnsi="Arial"/>
          <w:sz w:val="11"/>
          <w:szCs w:val="11"/>
          <w:color w:val="auto"/>
        </w:rPr>
        <w:t>“Other expenses” includes our general and administrative expenses, professional fees, directors’ fees, insurance costs, taxes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Arial" w:cs="Arial" w:eastAsia="Arial" w:hAnsi="Arial"/>
          <w:sz w:val="19"/>
          <w:szCs w:val="19"/>
          <w:b w:val="1"/>
          <w:bCs w:val="1"/>
          <w:color w:val="auto"/>
          <w:vertAlign w:val="superscript"/>
        </w:rPr>
      </w:pPr>
    </w:p>
    <w:p>
      <w:pPr>
        <w:ind w:left="460" w:right="60" w:hanging="452"/>
        <w:spacing w:after="0" w:line="218" w:lineRule="auto"/>
        <w:tabs>
          <w:tab w:leader="none" w:pos="460" w:val="left"/>
        </w:tabs>
        <w:numPr>
          <w:ilvl w:val="0"/>
          <w:numId w:val="44"/>
        </w:numPr>
        <w:rPr>
          <w:rFonts w:ascii="Arial" w:cs="Arial" w:eastAsia="Arial" w:hAnsi="Arial"/>
          <w:sz w:val="19"/>
          <w:szCs w:val="19"/>
          <w:b w:val="1"/>
          <w:bCs w:val="1"/>
          <w:color w:val="auto"/>
          <w:vertAlign w:val="superscript"/>
        </w:rPr>
      </w:pPr>
      <w:r>
        <w:rPr>
          <w:rFonts w:ascii="Arial" w:cs="Arial" w:eastAsia="Arial" w:hAnsi="Arial"/>
          <w:sz w:val="11"/>
          <w:szCs w:val="11"/>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5.77% of average total assets.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w:t>
      </w:r>
    </w:p>
    <w:p>
      <w:pPr>
        <w:spacing w:after="0" w:line="208" w:lineRule="exact"/>
        <w:rPr>
          <w:sz w:val="20"/>
          <w:szCs w:val="20"/>
          <w:color w:val="auto"/>
        </w:rPr>
      </w:pPr>
    </w:p>
    <w:p>
      <w:pPr>
        <w:ind w:right="60" w:firstLine="496"/>
        <w:spacing w:after="0" w:line="238" w:lineRule="auto"/>
        <w:rPr>
          <w:sz w:val="20"/>
          <w:szCs w:val="20"/>
          <w:color w:val="auto"/>
        </w:rPr>
      </w:pPr>
      <w:r>
        <w:rPr>
          <w:rFonts w:ascii="Arial" w:cs="Arial" w:eastAsia="Arial" w:hAnsi="Arial"/>
          <w:sz w:val="14"/>
          <w:szCs w:val="14"/>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0.50%, (2) total net estimated annual expenses of 12.23% of average net assets attributable to common shares as set forth in the table above (other than performance-based incentive fees) and (3) a 5% annual return.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20"/>
                <w:szCs w:val="20"/>
                <w:color w:val="auto"/>
              </w:rPr>
            </w:pPr>
            <w:r>
              <w:rPr>
                <w:rFonts w:ascii="Arial" w:cs="Arial" w:eastAsia="Arial" w:hAnsi="Arial"/>
                <w:sz w:val="14"/>
                <w:szCs w:val="14"/>
                <w:b w:val="1"/>
                <w:bCs w:val="1"/>
                <w:color w:val="auto"/>
              </w:rPr>
              <w:t>You would pay the following expenses on a $1,000 common stock investment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1 Years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3 Years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5 Years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10 Years</w:t>
            </w:r>
          </w:p>
        </w:tc>
      </w:tr>
      <w:tr>
        <w:trPr>
          <w:trHeight w:val="237"/>
        </w:trPr>
        <w:tc>
          <w:tcPr>
            <w:tcW w:w="65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4"/>
                <w:szCs w:val="14"/>
                <w:color w:val="auto"/>
              </w:rPr>
              <w:t>Assuming a 5% annual return (assumes no return from net realized capital gains or net</w:t>
            </w:r>
          </w:p>
        </w:tc>
        <w:tc>
          <w:tcPr>
            <w:tcW w:w="180" w:type="dxa"/>
            <w:vAlign w:val="bottom"/>
            <w:tcBorders>
              <w:top w:val="single" w:sz="8" w:color="CCECFF"/>
            </w:tcBorders>
            <w:shd w:val="clear" w:color="auto" w:fill="CCECFF"/>
          </w:tcPr>
          <w:p>
            <w:pPr>
              <w:spacing w:after="0"/>
              <w:rPr>
                <w:sz w:val="20"/>
                <w:szCs w:val="20"/>
                <w:color w:val="auto"/>
              </w:rPr>
            </w:pPr>
          </w:p>
        </w:tc>
        <w:tc>
          <w:tcPr>
            <w:tcW w:w="140" w:type="dxa"/>
            <w:vAlign w:val="bottom"/>
            <w:tcBorders>
              <w:top w:val="single" w:sz="8" w:color="auto"/>
            </w:tcBorders>
            <w:shd w:val="clear" w:color="auto" w:fill="CCECFF"/>
          </w:tcPr>
          <w:p>
            <w:pPr>
              <w:spacing w:after="0"/>
              <w:rPr>
                <w:sz w:val="20"/>
                <w:szCs w:val="20"/>
                <w:color w:val="auto"/>
              </w:rPr>
            </w:pPr>
          </w:p>
        </w:tc>
        <w:tc>
          <w:tcPr>
            <w:tcW w:w="740" w:type="dxa"/>
            <w:vAlign w:val="bottom"/>
            <w:tcBorders>
              <w:top w:val="single" w:sz="8" w:color="auto"/>
            </w:tcBorders>
            <w:shd w:val="clear" w:color="auto" w:fill="CCECFF"/>
          </w:tcPr>
          <w:p>
            <w:pPr>
              <w:spacing w:after="0"/>
              <w:rPr>
                <w:sz w:val="20"/>
                <w:szCs w:val="20"/>
                <w:color w:val="auto"/>
              </w:rPr>
            </w:pPr>
          </w:p>
        </w:tc>
        <w:tc>
          <w:tcPr>
            <w:tcW w:w="280" w:type="dxa"/>
            <w:vAlign w:val="bottom"/>
            <w:tcBorders>
              <w:top w:val="single" w:sz="8" w:color="CCECFF"/>
            </w:tcBorders>
            <w:shd w:val="clear" w:color="auto" w:fill="CCECFF"/>
          </w:tcPr>
          <w:p>
            <w:pPr>
              <w:spacing w:after="0"/>
              <w:rPr>
                <w:sz w:val="20"/>
                <w:szCs w:val="20"/>
                <w:color w:val="auto"/>
              </w:rPr>
            </w:pPr>
          </w:p>
        </w:tc>
        <w:tc>
          <w:tcPr>
            <w:tcW w:w="140" w:type="dxa"/>
            <w:vAlign w:val="bottom"/>
            <w:tcBorders>
              <w:top w:val="single" w:sz="8" w:color="auto"/>
            </w:tcBorders>
            <w:shd w:val="clear" w:color="auto" w:fill="CCECFF"/>
          </w:tcPr>
          <w:p>
            <w:pPr>
              <w:spacing w:after="0"/>
              <w:rPr>
                <w:sz w:val="20"/>
                <w:szCs w:val="20"/>
                <w:color w:val="auto"/>
              </w:rPr>
            </w:pPr>
          </w:p>
        </w:tc>
        <w:tc>
          <w:tcPr>
            <w:tcW w:w="740" w:type="dxa"/>
            <w:vAlign w:val="bottom"/>
            <w:tcBorders>
              <w:top w:val="single" w:sz="8" w:color="auto"/>
            </w:tcBorders>
            <w:shd w:val="clear" w:color="auto" w:fill="CCECFF"/>
          </w:tcPr>
          <w:p>
            <w:pPr>
              <w:spacing w:after="0"/>
              <w:rPr>
                <w:sz w:val="20"/>
                <w:szCs w:val="20"/>
                <w:color w:val="auto"/>
              </w:rPr>
            </w:pPr>
          </w:p>
        </w:tc>
        <w:tc>
          <w:tcPr>
            <w:tcW w:w="280" w:type="dxa"/>
            <w:vAlign w:val="bottom"/>
            <w:tcBorders>
              <w:top w:val="single" w:sz="8" w:color="CCECFF"/>
            </w:tcBorders>
            <w:shd w:val="clear" w:color="auto" w:fill="CCECFF"/>
          </w:tcPr>
          <w:p>
            <w:pPr>
              <w:spacing w:after="0"/>
              <w:rPr>
                <w:sz w:val="20"/>
                <w:szCs w:val="20"/>
                <w:color w:val="auto"/>
              </w:rPr>
            </w:pPr>
          </w:p>
        </w:tc>
        <w:tc>
          <w:tcPr>
            <w:tcW w:w="140" w:type="dxa"/>
            <w:vAlign w:val="bottom"/>
            <w:tcBorders>
              <w:top w:val="single" w:sz="8" w:color="auto"/>
            </w:tcBorders>
            <w:shd w:val="clear" w:color="auto" w:fill="CCECFF"/>
          </w:tcPr>
          <w:p>
            <w:pPr>
              <w:spacing w:after="0"/>
              <w:rPr>
                <w:sz w:val="20"/>
                <w:szCs w:val="20"/>
                <w:color w:val="auto"/>
              </w:rPr>
            </w:pPr>
          </w:p>
        </w:tc>
        <w:tc>
          <w:tcPr>
            <w:tcW w:w="740" w:type="dxa"/>
            <w:vAlign w:val="bottom"/>
            <w:tcBorders>
              <w:top w:val="single" w:sz="8" w:color="auto"/>
            </w:tcBorders>
            <w:shd w:val="clear" w:color="auto" w:fill="CCECFF"/>
          </w:tcPr>
          <w:p>
            <w:pPr>
              <w:spacing w:after="0"/>
              <w:rPr>
                <w:sz w:val="20"/>
                <w:szCs w:val="20"/>
                <w:color w:val="auto"/>
              </w:rPr>
            </w:pPr>
          </w:p>
        </w:tc>
        <w:tc>
          <w:tcPr>
            <w:tcW w:w="280" w:type="dxa"/>
            <w:vAlign w:val="bottom"/>
            <w:tcBorders>
              <w:top w:val="single" w:sz="8" w:color="CCECFF"/>
            </w:tcBorders>
            <w:shd w:val="clear" w:color="auto" w:fill="CCECFF"/>
          </w:tcPr>
          <w:p>
            <w:pPr>
              <w:spacing w:after="0"/>
              <w:rPr>
                <w:sz w:val="20"/>
                <w:szCs w:val="20"/>
                <w:color w:val="auto"/>
              </w:rPr>
            </w:pPr>
          </w:p>
        </w:tc>
        <w:tc>
          <w:tcPr>
            <w:tcW w:w="140" w:type="dxa"/>
            <w:vAlign w:val="bottom"/>
            <w:tcBorders>
              <w:top w:val="single" w:sz="8" w:color="auto"/>
            </w:tcBorders>
            <w:shd w:val="clear" w:color="auto" w:fill="CCECFF"/>
          </w:tcPr>
          <w:p>
            <w:pPr>
              <w:spacing w:after="0"/>
              <w:rPr>
                <w:sz w:val="20"/>
                <w:szCs w:val="20"/>
                <w:color w:val="auto"/>
              </w:rPr>
            </w:pPr>
          </w:p>
        </w:tc>
        <w:tc>
          <w:tcPr>
            <w:tcW w:w="760" w:type="dxa"/>
            <w:vAlign w:val="bottom"/>
            <w:tcBorders>
              <w:top w:val="single" w:sz="8" w:color="auto"/>
            </w:tcBorders>
            <w:shd w:val="clear" w:color="auto" w:fill="CCECFF"/>
          </w:tcPr>
          <w:p>
            <w:pPr>
              <w:spacing w:after="0"/>
              <w:rPr>
                <w:sz w:val="20"/>
                <w:szCs w:val="20"/>
                <w:color w:val="auto"/>
              </w:rPr>
            </w:pPr>
          </w:p>
        </w:tc>
        <w:tc>
          <w:tcPr>
            <w:tcW w:w="120" w:type="dxa"/>
            <w:vAlign w:val="bottom"/>
            <w:tcBorders>
              <w:top w:val="single" w:sz="8" w:color="CCECFF"/>
            </w:tcBorders>
            <w:shd w:val="clear" w:color="auto" w:fill="CCECFF"/>
          </w:tcPr>
          <w:p>
            <w:pPr>
              <w:spacing w:after="0"/>
              <w:rPr>
                <w:sz w:val="20"/>
                <w:szCs w:val="20"/>
                <w:color w:val="auto"/>
              </w:rPr>
            </w:pPr>
          </w:p>
        </w:tc>
      </w:tr>
      <w:tr>
        <w:trPr>
          <w:trHeight w:val="162"/>
        </w:trPr>
        <w:tc>
          <w:tcPr>
            <w:tcW w:w="6560" w:type="dxa"/>
            <w:vAlign w:val="bottom"/>
            <w:shd w:val="clear" w:color="auto" w:fill="CCECFF"/>
          </w:tcPr>
          <w:p>
            <w:pPr>
              <w:ind w:left="120"/>
              <w:spacing w:after="0"/>
              <w:rPr>
                <w:sz w:val="20"/>
                <w:szCs w:val="20"/>
                <w:color w:val="auto"/>
              </w:rPr>
            </w:pPr>
            <w:r>
              <w:rPr>
                <w:rFonts w:ascii="Arial" w:cs="Arial" w:eastAsia="Arial" w:hAnsi="Arial"/>
                <w:sz w:val="14"/>
                <w:szCs w:val="14"/>
                <w:color w:val="auto"/>
              </w:rPr>
              <w:t>unrealized capital appreciation)</w:t>
            </w:r>
          </w:p>
        </w:tc>
        <w:tc>
          <w:tcPr>
            <w:tcW w:w="3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rPr>
              <w:t>149</w:t>
            </w:r>
          </w:p>
        </w:tc>
        <w:tc>
          <w:tcPr>
            <w:tcW w:w="4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rPr>
              <w:t>352</w:t>
            </w:r>
          </w:p>
        </w:tc>
        <w:tc>
          <w:tcPr>
            <w:tcW w:w="4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rPr>
              <w:t>527</w:t>
            </w:r>
          </w:p>
        </w:tc>
        <w:tc>
          <w:tcPr>
            <w:tcW w:w="4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CFF"/>
          </w:tcPr>
          <w:p>
            <w:pPr>
              <w:jc w:val="right"/>
              <w:ind w:right="228"/>
              <w:spacing w:after="0"/>
              <w:rPr>
                <w:sz w:val="20"/>
                <w:szCs w:val="20"/>
                <w:color w:val="auto"/>
              </w:rPr>
            </w:pPr>
            <w:r>
              <w:rPr>
                <w:rFonts w:ascii="Arial" w:cs="Arial" w:eastAsia="Arial" w:hAnsi="Arial"/>
                <w:sz w:val="14"/>
                <w:szCs w:val="14"/>
                <w:color w:val="auto"/>
              </w:rPr>
              <w:t>865</w:t>
            </w:r>
          </w:p>
        </w:tc>
        <w:tc>
          <w:tcPr>
            <w:tcW w:w="120" w:type="dxa"/>
            <w:vAlign w:val="bottom"/>
            <w:shd w:val="clear" w:color="auto" w:fill="CCECFF"/>
          </w:tcPr>
          <w:p>
            <w:pPr>
              <w:spacing w:after="0"/>
              <w:rPr>
                <w:sz w:val="14"/>
                <w:szCs w:val="14"/>
                <w:color w:val="auto"/>
              </w:rPr>
            </w:pPr>
          </w:p>
        </w:tc>
      </w:tr>
      <w:tr>
        <w:trPr>
          <w:trHeight w:val="238"/>
        </w:trPr>
        <w:tc>
          <w:tcPr>
            <w:tcW w:w="6560" w:type="dxa"/>
            <w:vAlign w:val="bottom"/>
          </w:tcPr>
          <w:p>
            <w:pPr>
              <w:spacing w:after="0"/>
              <w:rPr>
                <w:sz w:val="20"/>
                <w:szCs w:val="20"/>
                <w:color w:val="auto"/>
              </w:rPr>
            </w:pPr>
            <w:r>
              <w:rPr>
                <w:rFonts w:ascii="Arial" w:cs="Arial" w:eastAsia="Arial" w:hAnsi="Arial"/>
                <w:sz w:val="14"/>
                <w:szCs w:val="14"/>
                <w:color w:val="auto"/>
              </w:rPr>
              <w:t>Assuming a 5% annual return (assumes return only from realized capital gains and thus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82"/>
        </w:trPr>
        <w:tc>
          <w:tcPr>
            <w:tcW w:w="6560" w:type="dxa"/>
            <w:vAlign w:val="bottom"/>
          </w:tcPr>
          <w:p>
            <w:pPr>
              <w:ind w:left="120"/>
              <w:spacing w:after="0"/>
              <w:rPr>
                <w:sz w:val="20"/>
                <w:szCs w:val="20"/>
                <w:color w:val="auto"/>
              </w:rPr>
            </w:pPr>
            <w:r>
              <w:rPr>
                <w:rFonts w:ascii="Arial" w:cs="Arial" w:eastAsia="Arial" w:hAnsi="Arial"/>
                <w:sz w:val="14"/>
                <w:szCs w:val="14"/>
                <w:color w:val="auto"/>
              </w:rPr>
              <w:t>subject to the capital gains incentive fee)</w:t>
            </w: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157</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373</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554</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892</w:t>
            </w:r>
          </w:p>
        </w:tc>
        <w:tc>
          <w:tcPr>
            <w:tcW w:w="120" w:type="dxa"/>
            <w:vAlign w:val="bottom"/>
          </w:tcPr>
          <w:p>
            <w:pPr>
              <w:spacing w:after="0"/>
              <w:rPr>
                <w:sz w:val="15"/>
                <w:szCs w:val="15"/>
                <w:color w:val="auto"/>
              </w:rPr>
            </w:pPr>
          </w:p>
        </w:tc>
      </w:tr>
    </w:tbl>
    <w:p>
      <w:pPr>
        <w:spacing w:after="0" w:line="115" w:lineRule="exact"/>
        <w:rPr>
          <w:sz w:val="20"/>
          <w:szCs w:val="20"/>
          <w:color w:val="auto"/>
        </w:rPr>
      </w:pPr>
    </w:p>
    <w:p>
      <w:pPr>
        <w:ind w:right="80" w:firstLine="496"/>
        <w:spacing w:after="0" w:line="229" w:lineRule="auto"/>
        <w:rPr>
          <w:sz w:val="20"/>
          <w:szCs w:val="20"/>
          <w:color w:val="auto"/>
        </w:rPr>
      </w:pPr>
      <w:r>
        <w:rPr>
          <w:rFonts w:ascii="Arial" w:cs="Arial" w:eastAsia="Arial" w:hAnsi="Arial"/>
          <w:sz w:val="14"/>
          <w:szCs w:val="14"/>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Securities—Distributions” for more information.</w:t>
      </w:r>
    </w:p>
    <w:p>
      <w:pPr>
        <w:spacing w:after="0" w:line="11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3" w:right="339" w:bottom="1440" w:gutter="0" w:footer="0" w:header="0"/>
        </w:sectPr>
      </w:pPr>
    </w:p>
    <w:bookmarkStart w:id="42" w:name="page43"/>
    <w:bookmarkEnd w:id="42"/>
    <w:p>
      <w:pPr>
        <w:spacing w:after="0"/>
        <w:tabs>
          <w:tab w:leader="none" w:pos="98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27"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740" w:hanging="368"/>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 including as a result of the current pandemic caused by COVID-19;</w:t>
      </w:r>
    </w:p>
    <w:p>
      <w:pPr>
        <w:spacing w:after="0" w:line="203" w:lineRule="exact"/>
        <w:rPr>
          <w:rFonts w:ascii="Arial" w:cs="Arial" w:eastAsia="Arial" w:hAnsi="Arial"/>
          <w:sz w:val="14"/>
          <w:szCs w:val="14"/>
          <w:color w:val="auto"/>
        </w:rPr>
      </w:pPr>
    </w:p>
    <w:p>
      <w:pPr>
        <w:ind w:left="740" w:hanging="368"/>
        <w:spacing w:after="0" w:line="253" w:lineRule="auto"/>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106" w:lineRule="exact"/>
        <w:rPr>
          <w:rFonts w:ascii="Arial" w:cs="Arial" w:eastAsia="Arial" w:hAnsi="Arial"/>
          <w:sz w:val="14"/>
          <w:szCs w:val="14"/>
          <w:color w:val="auto"/>
        </w:rPr>
      </w:pPr>
    </w:p>
    <w:p>
      <w:pPr>
        <w:ind w:left="740" w:hanging="368"/>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ability to continue to effectively manage our business due to the significant disruptions caused by the current COVID-19 pandemic;</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203" w:lineRule="exact"/>
        <w:rPr>
          <w:rFonts w:ascii="Arial" w:cs="Arial" w:eastAsia="Arial" w:hAnsi="Arial"/>
          <w:sz w:val="14"/>
          <w:szCs w:val="14"/>
          <w:color w:val="auto"/>
        </w:rPr>
      </w:pPr>
    </w:p>
    <w:p>
      <w:pPr>
        <w:ind w:left="740" w:hanging="368"/>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impact of the Brexit and other world economic and political issues.</w:t>
      </w:r>
    </w:p>
    <w:p>
      <w:pPr>
        <w:spacing w:after="0" w:line="204"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15"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04"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43" w:name="page44"/>
    <w:bookmarkEnd w:id="43"/>
    <w:p>
      <w:pPr>
        <w:ind w:right="180" w:firstLine="438"/>
        <w:spacing w:after="0" w:line="255"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94"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71" w:lineRule="exact"/>
        <w:rPr>
          <w:sz w:val="20"/>
          <w:szCs w:val="20"/>
          <w:color w:val="auto"/>
        </w:rPr>
      </w:pPr>
    </w:p>
    <w:p>
      <w:pPr>
        <w:ind w:right="220" w:firstLine="438"/>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Developments</w:t>
      </w:r>
    </w:p>
    <w:p>
      <w:pPr>
        <w:spacing w:after="0" w:line="136" w:lineRule="exact"/>
        <w:rPr>
          <w:sz w:val="20"/>
          <w:szCs w:val="20"/>
          <w:color w:val="auto"/>
        </w:rPr>
      </w:pPr>
    </w:p>
    <w:p>
      <w:pPr>
        <w:ind w:right="180" w:firstLine="438"/>
        <w:spacing w:after="0" w:line="281" w:lineRule="auto"/>
        <w:rPr>
          <w:sz w:val="20"/>
          <w:szCs w:val="20"/>
          <w:color w:val="auto"/>
        </w:rPr>
      </w:pPr>
      <w:r>
        <w:rPr>
          <w:rFonts w:ascii="Arial" w:cs="Arial" w:eastAsia="Arial" w:hAnsi="Arial"/>
          <w:sz w:val="12"/>
          <w:szCs w:val="12"/>
          <w:color w:val="auto"/>
        </w:rPr>
        <w:t>COVID-19 was first detected in December 2019 and has since been identified as a global pandemic by the World Health Organization. The effect of the ongoing COVID-19 pandemic or any worsening thereof, uncertainty relating to more contagious strains of the virus, the length of recovery of certain economic sectors in the U.S. and globally and the speed and efficiency of the vaccination process, including the extent to which the available vaccines are ineffective against any new COVID_19 variants, may create stress on the market and may affect some of our portfolio</w:t>
      </w:r>
    </w:p>
    <w:p>
      <w:pPr>
        <w:spacing w:after="0" w:line="1"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color w:val="auto"/>
        </w:rPr>
        <w:t>companies. We cannot predict the full impact of the COVID-19 pandemic, including any worsening thereof or its duration in the United States and globally and any impact to our business operations or the business operations of our portfolio companies.</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3"/>
          <w:szCs w:val="13"/>
          <w:color w:val="auto"/>
        </w:rPr>
        <w:t>Due to the nature of these governmental restrictions and their potentially long-lasting duration, some portfolio companies, especially those in vulnerable industries such as retail, food and</w:t>
      </w:r>
    </w:p>
    <w:p>
      <w:pPr>
        <w:spacing w:after="0" w:line="33" w:lineRule="exact"/>
        <w:rPr>
          <w:sz w:val="20"/>
          <w:szCs w:val="20"/>
          <w:color w:val="auto"/>
        </w:rPr>
      </w:pPr>
    </w:p>
    <w:p>
      <w:pPr>
        <w:ind w:right="120"/>
        <w:spacing w:after="0" w:line="280" w:lineRule="auto"/>
        <w:rPr>
          <w:sz w:val="20"/>
          <w:szCs w:val="20"/>
          <w:color w:val="auto"/>
        </w:rPr>
      </w:pPr>
      <w:r>
        <w:rPr>
          <w:rFonts w:ascii="Arial" w:cs="Arial" w:eastAsia="Arial" w:hAnsi="Arial"/>
          <w:sz w:val="12"/>
          <w:szCs w:val="12"/>
          <w:color w:val="auto"/>
        </w:rPr>
        <w:t>beverage and travel, have experienced significant financial distress and may default on their financial obligations to us and their other capital providers. Moreover, certain of our portfolio companies that remain subject to prolonged and severe financial distress, have substantially curtailed their operations, deferred capital expenditures, furloughed or laid off workers and/or terminated relationships with their service providers. Depending on the length and magnitude of the disruption to the operations of our portfolio companies, certain portfolio companies may experience financial distress and possibly default on their financial obligations to us and their other capital providers in the future. These developments could impact the value of our investments in such portfolio companies.</w:t>
      </w:r>
    </w:p>
    <w:p>
      <w:pPr>
        <w:spacing w:after="0" w:line="92" w:lineRule="exact"/>
        <w:rPr>
          <w:sz w:val="20"/>
          <w:szCs w:val="20"/>
          <w:color w:val="auto"/>
        </w:rPr>
      </w:pPr>
    </w:p>
    <w:p>
      <w:pPr>
        <w:ind w:right="180" w:firstLine="438"/>
        <w:spacing w:after="0" w:line="231" w:lineRule="auto"/>
        <w:rPr>
          <w:sz w:val="20"/>
          <w:szCs w:val="20"/>
          <w:color w:val="auto"/>
        </w:rPr>
      </w:pPr>
      <w:r>
        <w:rPr>
          <w:rFonts w:ascii="Arial" w:cs="Arial" w:eastAsia="Arial" w:hAnsi="Arial"/>
          <w:sz w:val="14"/>
          <w:szCs w:val="14"/>
          <w:color w:val="auto"/>
        </w:rPr>
        <w:t>The COVID-19 pandemic, including any worsening thereof, may have an adverse impact on certain sectors of the global economy. Particularly, COVID-19 presents material uncertainty and risk with respect to our future performance and financial results as well as the future performance and financial results of our portfolio companies due to the risk of any sever adverse reactions to the vaccine, politicization of the vaccination process or general public skepticism of the safety and efficacy of the vacine. While we are unable to predict the ultimate adverse effect of COVID-19, or any worsening thereof, on our results of operation, we have identified certain factors that are likely to affect market, economic and geopolitical conditions, and thereby may adversely affect our business, including:</w:t>
      </w:r>
    </w:p>
    <w:p>
      <w:pPr>
        <w:spacing w:after="0" w:line="116" w:lineRule="exact"/>
        <w:rPr>
          <w:sz w:val="20"/>
          <w:szCs w:val="20"/>
          <w:color w:val="auto"/>
        </w:rPr>
      </w:pPr>
    </w:p>
    <w:p>
      <w:pPr>
        <w:ind w:left="800" w:hanging="360"/>
        <w:spacing w:after="0"/>
        <w:tabs>
          <w:tab w:leader="none" w:pos="8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U.S. and global economic recovery;</w:t>
      </w:r>
    </w:p>
    <w:p>
      <w:pPr>
        <w:spacing w:after="0" w:line="190" w:lineRule="exact"/>
        <w:rPr>
          <w:rFonts w:ascii="Arial" w:cs="Arial" w:eastAsia="Arial" w:hAnsi="Arial"/>
          <w:sz w:val="14"/>
          <w:szCs w:val="14"/>
          <w:color w:val="auto"/>
        </w:rPr>
      </w:pPr>
    </w:p>
    <w:p>
      <w:pPr>
        <w:ind w:left="800" w:hanging="360"/>
        <w:spacing w:after="0"/>
        <w:tabs>
          <w:tab w:leader="none" w:pos="8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changes in interest rates, including LIBOR;</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limited availability of credit, both in the United States and internationally;</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disruptions to supply-chains and price volatility;</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changes to existing laws and regulations, or the imposition of new laws and regulations; and</w:t>
      </w:r>
    </w:p>
    <w:p>
      <w:pPr>
        <w:spacing w:after="0" w:line="203" w:lineRule="exact"/>
        <w:rPr>
          <w:rFonts w:ascii="Arial" w:cs="Arial" w:eastAsia="Arial" w:hAnsi="Arial"/>
          <w:sz w:val="14"/>
          <w:szCs w:val="14"/>
          <w:color w:val="auto"/>
        </w:rPr>
      </w:pPr>
    </w:p>
    <w:p>
      <w:pPr>
        <w:ind w:left="800" w:hanging="360"/>
        <w:spacing w:after="0"/>
        <w:tabs>
          <w:tab w:leader="none" w:pos="8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uncertainty regarding future governmental and regulatory policies.</w:t>
      </w:r>
    </w:p>
    <w:p>
      <w:pPr>
        <w:spacing w:after="0" w:line="217"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business disruption and financial harm resulting from the COVID-19 pandemic experienced by some of our portfolio companies may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If such cash flows cannot be sustained, we may be required to reduce the amount of our future distributions to stockholders. As of September 30, 2021, we had two portfolio companies on non-accrual status, and the continuing impact of the COVID-19 pandemic, or any worsening thereof, may result in additional portfolio investments being placed on non-accrual status in the future.</w:t>
      </w:r>
    </w:p>
    <w:p>
      <w:pPr>
        <w:spacing w:after="0" w:line="117" w:lineRule="exact"/>
        <w:rPr>
          <w:sz w:val="20"/>
          <w:szCs w:val="20"/>
          <w:color w:val="auto"/>
        </w:rPr>
      </w:pPr>
    </w:p>
    <w:p>
      <w:pPr>
        <w:ind w:right="20" w:firstLine="483"/>
        <w:spacing w:after="0" w:line="231" w:lineRule="auto"/>
        <w:rPr>
          <w:sz w:val="20"/>
          <w:szCs w:val="20"/>
          <w:color w:val="auto"/>
        </w:rPr>
      </w:pPr>
      <w:r>
        <w:rPr>
          <w:rFonts w:ascii="Arial" w:cs="Arial" w:eastAsia="Arial" w:hAnsi="Arial"/>
          <w:sz w:val="14"/>
          <w:szCs w:val="14"/>
          <w:color w:val="auto"/>
        </w:rPr>
        <w:t>Additionally, as of September 30, 2021 and 2020, our asset coverage ratio, as computed in accordance with the 1940 Act, was 175% and 168%, respectively. Our Credit Facility includes standard covenants and events of default provisions. If we fail to make the required payments or breach the covenants therein, it could result in a default under the Credit Facility. Failure to cure such default or obtain a waiver from the appropriate party would result in an event of default, and the lenders may accelerate the repayment of our indebtedness under the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16" w:lineRule="exact"/>
        <w:rPr>
          <w:sz w:val="20"/>
          <w:szCs w:val="20"/>
          <w:color w:val="auto"/>
        </w:rPr>
      </w:pPr>
    </w:p>
    <w:p>
      <w:pPr>
        <w:ind w:right="120" w:firstLine="438"/>
        <w:spacing w:after="0" w:line="245" w:lineRule="auto"/>
        <w:rPr>
          <w:sz w:val="20"/>
          <w:szCs w:val="20"/>
          <w:color w:val="auto"/>
        </w:rPr>
      </w:pPr>
      <w:r>
        <w:rPr>
          <w:rFonts w:ascii="Arial" w:cs="Arial" w:eastAsia="Arial" w:hAnsi="Arial"/>
          <w:sz w:val="13"/>
          <w:szCs w:val="13"/>
          <w:color w:val="auto"/>
        </w:rPr>
        <w:t>We are also subject to financial risks, including changes in market interest rates. As of September 30, 2021, our debt portfolio consisted of 99%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Credit Facility currently bears interest at LIBOR (or an alternative risk-free floating interest rate index) plus 225 basis points and, after the revolving period ends in August 2024, the rate will reset to Base Rate (or an alternative risk-free floating interest rate index) plus 250 basis points. In connection with the COVID-19 pandemic, the U.S. Federal Reserve and other central banks have reduced interest rates, which has caused LIBOR to decrease. Due to such rates, our gross investment income has decreased, which could result in a decrease in our net investment income if such decreases in LIBOR are not offset by, among other things, a corresponding increase in the spread over LIBOR that we earn on such loans or a decrease in the interest rate of our floating interest rate liabilities tied to LIBOR. See “Item 7A. Quantitative and Qualitative Disclosures About Market Risk” below.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4" w:name="page45"/>
    <w:bookmarkEnd w:id="44"/>
    <w:p>
      <w:pPr>
        <w:ind w:right="320" w:firstLine="496"/>
        <w:spacing w:after="0" w:line="238" w:lineRule="auto"/>
        <w:rPr>
          <w:sz w:val="20"/>
          <w:szCs w:val="20"/>
          <w:color w:val="auto"/>
        </w:rPr>
      </w:pPr>
      <w:r>
        <w:rPr>
          <w:rFonts w:ascii="Arial" w:cs="Arial" w:eastAsia="Arial" w:hAnsi="Arial"/>
          <w:sz w:val="14"/>
          <w:szCs w:val="14"/>
          <w:color w:val="auto"/>
        </w:rPr>
        <w:t>In addition, we have continued to implement our business continuity planning strategy. Our priority has been to safeguard the health of our employees and to ensure continuity of business operations on behalf of our investors. We implemented a heightened level of communication across senior management, our investment team and our board of directors, and we have proactively engaged with our vendors on a regular basis to ensure they continue to meet our criteria for business continuity.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At-the-Market Offering</w:t>
      </w:r>
    </w:p>
    <w:p>
      <w:pPr>
        <w:spacing w:after="0" w:line="136"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On August 20, 2021, the Company entered into equity distribution agreements (together, the “Equity Distribution Agreements”) with each of JMP Securities LLC and Raymond James &amp; Associates, Inc., as the sales agents (each, a “Sales Agent,” and together, the “Sales Agents”), in connection with the sale of shares of the Company’s common stock, par value $0.001 per share (the “Common Stock”), with an aggregate offering price of up to $75 million. The Equity Distribution Agreements provide that the Company may offer and sell shares of the Common Stock from time to time through a Sales Agent in amounts and at times to be determined by the Company. Actual sales will depend on a variety of factors to be determined by the Company from time to time, including, market conditions and the trading price of the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23" w:lineRule="exact"/>
        <w:rPr>
          <w:sz w:val="20"/>
          <w:szCs w:val="20"/>
          <w:color w:val="auto"/>
        </w:rPr>
      </w:pPr>
    </w:p>
    <w:p>
      <w:pPr>
        <w:ind w:right="40" w:firstLine="438"/>
        <w:spacing w:after="0" w:line="244"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04" w:lineRule="exact"/>
        <w:rPr>
          <w:sz w:val="20"/>
          <w:szCs w:val="20"/>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cost of calculating our NAV, including the cost of any third-party valuation services;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203" w:lineRule="exact"/>
        <w:rPr>
          <w:rFonts w:ascii="Arial" w:cs="Arial" w:eastAsia="Arial" w:hAnsi="Arial"/>
          <w:sz w:val="14"/>
          <w:szCs w:val="14"/>
          <w:color w:val="auto"/>
        </w:rPr>
      </w:pPr>
    </w:p>
    <w:p>
      <w:pPr>
        <w:ind w:left="920" w:right="100" w:hanging="359"/>
        <w:spacing w:after="0" w:line="253" w:lineRule="auto"/>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203" w:lineRule="exact"/>
        <w:rPr>
          <w:rFonts w:ascii="Arial" w:cs="Arial" w:eastAsia="Arial" w:hAnsi="Arial"/>
          <w:sz w:val="14"/>
          <w:szCs w:val="14"/>
          <w:color w:val="auto"/>
        </w:rPr>
      </w:pPr>
    </w:p>
    <w:p>
      <w:pPr>
        <w:jc w:val="both"/>
        <w:ind w:left="920" w:right="60" w:hanging="359"/>
        <w:spacing w:after="0" w:line="264" w:lineRule="auto"/>
        <w:tabs>
          <w:tab w:leader="none" w:pos="9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1"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27"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As of September 30, 2021, our portfolio totaled $1,081.6 million and consisted of $934.4 million of first lien secured debt (including $140.9 million in PSSL), $8.9 million of second lien secured debt and $138.3 million of preferred and common equity (including $44.9 million in PSSL). Our debt portfolio consisted of 99% variable-rate investments. As of September 30, 2021, we had two portfolio companies on non-accrual, representing 2.7% and 2.6% of our overall portfolio on a cost and fair value basis, respectively. Overall, the portfolio had net unrealized appreciation of $11.0 million. Our overall portfolio consisted of 110 companies with an average investment size of $9.8 million, had a weighted average yield on debt investments of 7.4%, and was invested 86% in first lien secured debt (including 13% in PSSL), 1% in second lien secured debt and 13% in preferred and common equity (including 4% in PSSL). As of September 30, 2021, 99% of the investments held by PSSL were first lien secured debt.</w:t>
      </w:r>
    </w:p>
    <w:p>
      <w:pPr>
        <w:spacing w:after="0" w:line="118"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As of September 30, 2020, our portfolio totaled $1,086.9 million and consisted of $968.6 million of first lien secured debt (including $125.4 million in PSSL), $29.9 million of second lien secured debt and $88.4 million of preferred and common equity (including $39.9 million in PSSL). Our debt portfolio consisted of 99% variable-rate investments. As of September 30, 2020, we had three portfolio companies on non-accrual, representing 2.1% and 1.8% of our overall portfolio on a cost and fair value basis, respectively. Overall, the portfolio had net unrealized depreciation of $29.9 million. Our overall portfolio consisted of 102 companies with an average investment size of $10.7 million, had a weighted average yield on debt investments of 7.3%, and was invested 89% in first lien secured debt (including 12% in PSSL), 3% in second lien secured debt and 8% in preferred and common equity (including 4% in PSSL). As of September 30, 2020, 97% of the investments held by PSSL were first lien secured debt.</w:t>
      </w:r>
    </w:p>
    <w:p>
      <w:pPr>
        <w:spacing w:after="0" w:line="118"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For the year ended September 30, 2021, we invested $661.1 million in 35 new and 68 existing portfolio companies with a weighted average yield on debt investments of 7.4%. Sales and repayments of investments for the same period totaled $702.1 million.</w:t>
      </w:r>
    </w:p>
    <w:p>
      <w:pPr>
        <w:spacing w:after="0" w:line="93"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For the year ended September 30, 2020, we invested $436.7 million in 19 new and 95 existing portfolio companies with a weighted average yield on debt investments of 8.0%. Sales and repayments of investments for the same period totaled $396.9 million.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As of September 30, 2021, PSSL’s portfolio totaled $564.8 million, consisted of 74 companies with an average investment size of $7.6 million and had a weighted average yield on debt investments of 7.1%. As of September 30, 2020, PSSL’s portfolio totaled $393.0 million, consisted of 45 companies with an average investment size of $7.6 million and had a weighted average yield on debt investments of 6.8%.</w:t>
      </w:r>
    </w:p>
    <w:p>
      <w:pPr>
        <w:spacing w:after="0" w:line="115"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For the year ended September 30, 2021, PSSL invested $354.4 million (of which $285.7 million was purchased from the Company) in 42 new and 29 existing portfolio companies with a weighted average yield on debt investments of 7.2%. PSSL’s sales and repayments of investments for the same period totaled $185.7 million.</w:t>
      </w:r>
    </w:p>
    <w:p>
      <w:pPr>
        <w:spacing w:after="0" w:line="106"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For the year ended September 30, 2020, PSSL invested $87.1 million (of which $86.7 million was purchased from the Company) in 11 new and two existing portfolio companies with a weighted average yield on debt investments of 7.4%. PSSL’s sales and repayments of investments for the same period totaled $172.6 million.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40"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23"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20" w:right="20" w:hanging="359"/>
        <w:spacing w:after="0" w:line="253" w:lineRule="auto"/>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203" w:lineRule="exact"/>
        <w:rPr>
          <w:rFonts w:ascii="Arial" w:cs="Arial" w:eastAsia="Arial" w:hAnsi="Arial"/>
          <w:sz w:val="14"/>
          <w:szCs w:val="14"/>
          <w:color w:val="auto"/>
        </w:rPr>
      </w:pPr>
    </w:p>
    <w:p>
      <w:pPr>
        <w:jc w:val="both"/>
        <w:ind w:left="920" w:right="60" w:hanging="359"/>
        <w:spacing w:after="0" w:line="264" w:lineRule="auto"/>
        <w:tabs>
          <w:tab w:leader="none" w:pos="9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00" w:hanging="359"/>
        <w:spacing w:after="0" w:line="238" w:lineRule="auto"/>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80" w:hanging="359"/>
        <w:spacing w:after="0" w:line="253" w:lineRule="auto"/>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6" w:name="page47"/>
    <w:bookmarkEnd w:id="46"/>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4"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380" w:right="280" w:hanging="809"/>
        <w:spacing w:after="0" w:line="290"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00" w:firstLine="438"/>
        <w:spacing w:after="0" w:line="255"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07"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The SEC recently adopted Rule 2a-5 under the 1940 Act which establishes requirements for determining fair value in good faith for purposes of the 1940 Act. We will comply with the requirements of the rule before the requirement date in 2022.</w:t>
      </w:r>
    </w:p>
    <w:p>
      <w:pPr>
        <w:spacing w:after="0" w:line="106" w:lineRule="exact"/>
        <w:rPr>
          <w:sz w:val="20"/>
          <w:szCs w:val="20"/>
          <w:color w:val="auto"/>
        </w:rPr>
      </w:pPr>
    </w:p>
    <w:p>
      <w:pPr>
        <w:ind w:right="240" w:firstLine="438"/>
        <w:spacing w:after="0" w:line="290" w:lineRule="auto"/>
        <w:rPr>
          <w:sz w:val="20"/>
          <w:szCs w:val="20"/>
          <w:color w:val="auto"/>
        </w:rPr>
      </w:pPr>
      <w:r>
        <w:rPr>
          <w:rFonts w:ascii="Arial" w:cs="Arial" w:eastAsia="Arial" w:hAnsi="Arial"/>
          <w:sz w:val="13"/>
          <w:szCs w:val="13"/>
          <w:color w:val="auto"/>
        </w:rPr>
        <w:t>In addition to using the above inputs to value cash equivalents, investments, our 2023 Notes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84" w:lineRule="exact"/>
        <w:rPr>
          <w:sz w:val="20"/>
          <w:szCs w:val="20"/>
          <w:color w:val="auto"/>
        </w:rPr>
      </w:pPr>
    </w:p>
    <w:p>
      <w:pPr>
        <w:ind w:firstLine="438"/>
        <w:spacing w:after="0" w:line="226" w:lineRule="auto"/>
        <w:rPr>
          <w:sz w:val="20"/>
          <w:szCs w:val="20"/>
          <w:color w:val="auto"/>
        </w:rPr>
      </w:pPr>
      <w:r>
        <w:rPr>
          <w:rFonts w:ascii="Arial" w:cs="Arial" w:eastAsia="Arial" w:hAnsi="Arial"/>
          <w:sz w:val="14"/>
          <w:szCs w:val="14"/>
          <w:color w:val="auto"/>
        </w:rPr>
        <w:t>Generally, 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incurred expenses of $2.9 million and zero relating to amendment costs on the Credit Facility and debt issuance costs on the 2023 Notes during the years ended September 30, 2021 and 2020,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the 2026 Notes and the 2031 Asset-Backed Debt.</w:t>
      </w:r>
    </w:p>
    <w:p>
      <w:pPr>
        <w:spacing w:after="0" w:line="121"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For the years September 30, 2021 and 2020, our Credit Facility or our Prior Credit Facility, as applicable, the 2023 Notes had a net change in unrealized (appreciation) depreciation of $(11.6) million and $14.2 million, respectively. As of September 30, 2021 and 2020, the net unrealized depreciation on our Credit Facility or Prior Credit Facility, as applicable, the 2023 Notes totaled $7.2 million and $18.8 million, respectively. We use a nationally recognized independent valuation service to measure the fair value of our Credit Facility in a manner consistent with the valuation process that the board of directors uses to value our investments. Our 2023 Notes trade on the TASE and we use the closing price on the exchange to determine the fair value.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23"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our Credit Facility, the 2023 during the reporting period, including any reversal of previously recorded unrealized appreciation or depreciation, when gains or losses are realized.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7" w:name="page48"/>
    <w:bookmarkEnd w:id="47"/>
    <w:p>
      <w:pPr>
        <w:jc w:val="both"/>
        <w:ind w:right="8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or PIK, Interest</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23"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6" w:lineRule="exact"/>
        <w:rPr>
          <w:sz w:val="20"/>
          <w:szCs w:val="20"/>
          <w:color w:val="auto"/>
        </w:rPr>
      </w:pPr>
    </w:p>
    <w:p>
      <w:pPr>
        <w:ind w:right="120" w:firstLine="438"/>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83" w:lineRule="exact"/>
        <w:rPr>
          <w:sz w:val="20"/>
          <w:szCs w:val="20"/>
          <w:color w:val="auto"/>
        </w:rPr>
      </w:pPr>
    </w:p>
    <w:p>
      <w:pPr>
        <w:ind w:right="6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Set forth below are the results of operations for the years ended September 30, 2021 and 2020. For information regarding results of operations for the year ended September 30, 2019, see the Company's Form 10-K for the fiscal year ended September 30, 2020, as filed with the SEC on November 18, 2020.</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Investment income for the year ended September 30, 2021 was $82.7 million and was attributable to $72.1 million from first lien secured debt and $10.6 million from other investments.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The decrease in investment income compared to the same periods in the prior year was primarily due to a decrease in the size of our portfolio and in LIBOR.</w:t>
      </w:r>
    </w:p>
    <w:p>
      <w:pPr>
        <w:spacing w:after="0" w:line="124" w:lineRule="exact"/>
        <w:rPr>
          <w:sz w:val="20"/>
          <w:szCs w:val="20"/>
          <w:color w:val="auto"/>
        </w:rPr>
      </w:pPr>
    </w:p>
    <w:p>
      <w:pPr>
        <w:ind w:right="220" w:firstLine="438"/>
        <w:spacing w:after="0" w:line="432" w:lineRule="auto"/>
        <w:rPr>
          <w:sz w:val="20"/>
          <w:szCs w:val="20"/>
          <w:color w:val="auto"/>
        </w:rPr>
      </w:pPr>
      <w:r>
        <w:rPr>
          <w:rFonts w:ascii="Arial" w:cs="Arial" w:eastAsia="Arial" w:hAnsi="Arial"/>
          <w:sz w:val="14"/>
          <w:szCs w:val="14"/>
          <w:color w:val="auto"/>
        </w:rPr>
        <w:t xml:space="preserve">Investment income for the year ended September 30, 2020 was $95.5 million and was attributable to $86.8 million from first lien secured debt and $8.7 million from other investments. </w:t>
      </w:r>
      <w:r>
        <w:rPr>
          <w:rFonts w:ascii="Arial" w:cs="Arial" w:eastAsia="Arial" w:hAnsi="Arial"/>
          <w:sz w:val="14"/>
          <w:szCs w:val="14"/>
          <w:b w:val="1"/>
          <w:bCs w:val="1"/>
          <w:i w:val="1"/>
          <w:iCs w:val="1"/>
          <w:color w:val="auto"/>
        </w:rPr>
        <w:t>Expenses</w:t>
      </w:r>
    </w:p>
    <w:p>
      <w:pPr>
        <w:spacing w:after="0" w:line="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Expenses for the year ended September 30, 2021 totaled $43.1 million. Base management fee for the same period totaled $10.7 million, incentive fee totaled $5.3 million, debt related interest and expenses totaled $24.5 million (including $2.9 million attributable to fees associated with entering into the New Credit Facility amendment fees), general and administrative expenses totaled $2.1 million and provision for taxes totaled $0.4 million. The decrease in expenses compared to the prior year was primarily due to a decrease in management fees under our Investment Management Agreement with the Investment Advisor and debt related interest and expenses.</w:t>
      </w:r>
    </w:p>
    <w:p>
      <w:pPr>
        <w:spacing w:after="0" w:line="117"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Expenses for the year ended September 30, 2020 totaled $52.1 million. Base management fee for the same period totaled $11.4 million, incentive fee totaled $9.3 million, debt related interest and expenses totaled $27.1 million, general and administrative expenses totaled $3.9 million and provision for taxes totaled $0.4 million.</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Net investment income totaled $39.6 million, or $1.02 per share, and $43.4 million, or $1.12 per share, for the years ended September 30, 2021 and 2020, respectively. The decrease in net investment income compared to the prior year was primarily due to a decrease in the size of our portfolio and in LIBOR.</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jc w:val="both"/>
        <w:ind w:right="200" w:firstLine="438"/>
        <w:spacing w:after="0" w:line="238" w:lineRule="auto"/>
        <w:rPr>
          <w:sz w:val="20"/>
          <w:szCs w:val="20"/>
          <w:color w:val="auto"/>
        </w:rPr>
      </w:pPr>
      <w:r>
        <w:rPr>
          <w:rFonts w:ascii="Arial" w:cs="Arial" w:eastAsia="Arial" w:hAnsi="Arial"/>
          <w:sz w:val="14"/>
          <w:szCs w:val="14"/>
          <w:color w:val="auto"/>
        </w:rPr>
        <w:t>Sales and repayments of investments for the years ended September 30, 2021 and 2020 totaled $702.1 million and $396.9 million, respectively. Net realized losses totaled $12.8 million and $12.7 million for the same periods, respectively. The change in realized losses was primarily due to changes in the market conditions of our investments and the values at which they were realized, caused by the fluctuations in the market and in the economy, as discussed above under “COVID-19 Developments”.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Facility and the 2023 Notes</w:t>
      </w:r>
    </w:p>
    <w:p>
      <w:pPr>
        <w:spacing w:after="0" w:line="13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For the years ended September 30, 2021 and 2020, we reported net change in unrealized appreciation (depreciation) on investments of $41.3 million and $(26.5) million, respectively. As of September 30, 2021 and 2020, our net unrealized appreciation (depreciation) on investments totaled $11.0 million and $(29.9) million, respectively. The net change in unrealized appreciation/depreciation on our investments for the year ended September 30, 2021 compared to the prior year was primarily due to changes in the capital market conditions as well as the financial performance of certain portfolio companies primarily driven by the market disruption caused by the COVID-19 pandemic and the uncertainty surrounding its continued adverse economic impact, as discussed above under “COVID-19 Developments.”</w:t>
      </w:r>
    </w:p>
    <w:p>
      <w:pPr>
        <w:spacing w:after="0" w:line="116"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For the year ended September 30, 2021 and 2020, our Credit Facility or Prior Credit Facility, as applicable, and the 2023 Notes had a net change in unrealized (appreciation) depreciation of $(11.6) million and $14.2 million and, respectively. As of September 30, 2021 and 2020, our net unrealized depreciation on our Credit Facility or our Prior Credit Facility, as applicable, and the 2023 Notes totaled $7.2 million and $18.8 million, respectively. The net change in unrealized depreciation for the year ended September 30, 2021 compared to the prior year was primarily due to changes in the capital markets, with the economic instability negatively affecting the value, as further discussed above under “COVID-19 Developments.”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23"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Net change in net assets resulting from operations totaled $56.5 million, or $1.46 per share, and $18.4 million, or $0.47 per share, for the years ended September 30, 2021 and 2020, respectively. The increase in net assets from operations for the year ended September 30, 2021 compared to the prior year was primarily due to appreciation of the portfolio primarily driven by the recovery from the market disruption caused by the COVID-19 pandemic and the uncertainty surrounding its continued adverse economic impact, as discussed above under “COVID-19 Developments”.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September 30, 2021, in accordance with the 1940 Act, with certain limited exceptions, we are only allowed to borrow amounts such that we are in compliance with a 150% asset coverage ratio requirement after such borrowing. For information regarding liquidity and capital resources for the year ended September 30, 2019, see the Company's Form 10-K for the fiscal year ended September 30, 2020, as filed with the SEC on November 18, 2020.</w:t>
      </w:r>
    </w:p>
    <w:p>
      <w:pPr>
        <w:spacing w:after="0" w:line="118"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requirements applicable to us for senior securities was reduced from 200% (i.e., $1 of debt outstanding for each $1 of equity) to 150% (i.e., $2 of debt outstanding for each $1 of equity), effective as of April 5, 2019, subject to compliance with certain disclosure requirements. As of September 30, 2021 and 2020, our asset coverage ratio, as computed in accordance with the 1940 Act, was 175% and 168%, respectively.</w:t>
      </w:r>
    </w:p>
    <w:p>
      <w:pPr>
        <w:spacing w:after="0" w:line="117" w:lineRule="exact"/>
        <w:rPr>
          <w:sz w:val="20"/>
          <w:szCs w:val="20"/>
          <w:color w:val="auto"/>
        </w:rPr>
      </w:pPr>
    </w:p>
    <w:p>
      <w:pPr>
        <w:ind w:right="260" w:firstLine="438"/>
        <w:spacing w:after="0" w:line="233" w:lineRule="auto"/>
        <w:rPr>
          <w:sz w:val="20"/>
          <w:szCs w:val="20"/>
          <w:color w:val="auto"/>
        </w:rPr>
      </w:pPr>
      <w:r>
        <w:rPr>
          <w:rFonts w:ascii="Arial" w:cs="Arial" w:eastAsia="Arial" w:hAnsi="Arial"/>
          <w:sz w:val="14"/>
          <w:szCs w:val="14"/>
          <w:color w:val="auto"/>
        </w:rPr>
        <w:t>The annualized weighted average cost of debt for the years ended September 30, 2021 and 2020, inclusive of the fee on the undrawn commitment on the Credit Facility or Prior Credit Facility, as applicable, amendment costs and debt issuance costs, was 3.9% and 3.7%, respectively (excluding amendment and debt issuance costs, such amounts are 3.5% and 3.7%, respectively). As of September 30, 2021 and 2020, we had $80.6 million and $211.4 million of unused borrowing capacity under our Credit Facility or our Prior Credit Facility, as applicable, respectively, subject to leverage and borrowing base restrictions.</w:t>
      </w:r>
    </w:p>
    <w:p>
      <w:pPr>
        <w:spacing w:after="0" w:line="117"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Funding I’s multi-currency Credit Facility with the Lenders was $300.0 million as of September 30, 2021, subject to satisfaction of certain conditions and regulatory restrictions that the 1940 Act imposes on us as a BDC, has an interest rate spread above LIBOR (or an alternative risk-free floating interest rate index) of 225 basis points, a maturity date of August 2026 and a revolving period that ends in August 2024. As of September 30, 2021 and 2020, Funding I had $219.4 million and $308.6 million of outstanding borrowings under the Credit Facility or the Prior Credit Facility, as applicable, respectively. The Credit Facility or the Prior Credit Facility, as applicable, had a weighted average interest rate of 2.3% and 2.2%, exclusive of the fee on undrawn commitments, as of September 30, 2021 and 2020, respectively.</w:t>
      </w:r>
    </w:p>
    <w:p>
      <w:pPr>
        <w:spacing w:after="0" w:line="103"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During the revolving period, the Credit Facility bears interest at LIBOR (or an alternative risk-free floating interest rate index) plus 225 basis points and, after the revolving period, the rate will reset to Base Rate (or an alternative risk-free floating interest rate index) plus 250 basis points for the remaining two years, maturing in August 2026.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7"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September 30, 2021, we were in compliance with the covenants relating to our Credit Facility.</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93"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November 2017, we issued $138.6 million of our 2023 Notes. The 2023 Notes were issued pursuant to a deed of trust between the Company and Mishmeret Trust Company, Ltd.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trustee.</w:t>
      </w:r>
    </w:p>
    <w:p>
      <w:pPr>
        <w:spacing w:after="0" w:line="124" w:lineRule="exact"/>
        <w:rPr>
          <w:sz w:val="20"/>
          <w:szCs w:val="20"/>
          <w:color w:val="auto"/>
        </w:rPr>
      </w:pPr>
    </w:p>
    <w:p>
      <w:pPr>
        <w:ind w:right="200" w:firstLine="438"/>
        <w:spacing w:after="0" w:line="233" w:lineRule="auto"/>
        <w:rPr>
          <w:sz w:val="20"/>
          <w:szCs w:val="20"/>
          <w:color w:val="auto"/>
        </w:rPr>
      </w:pPr>
      <w:r>
        <w:rPr>
          <w:rFonts w:ascii="Arial" w:cs="Arial" w:eastAsia="Arial" w:hAnsi="Arial"/>
          <w:sz w:val="14"/>
          <w:szCs w:val="14"/>
          <w:color w:val="auto"/>
        </w:rPr>
        <w:t>The 2023 Notes pay interest at a rate of 4.3% per year. As a result of the downgrade of the 2023 Notes from “ilA+” to “ilA-” in March 2020, the interest rate of the 2023 Notes was increased to 4.3% from 3.8%.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17"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ind w:right="260" w:firstLine="438"/>
        <w:spacing w:after="0" w:line="248" w:lineRule="auto"/>
        <w:rPr>
          <w:sz w:val="20"/>
          <w:szCs w:val="20"/>
          <w:color w:val="auto"/>
        </w:rPr>
      </w:pPr>
      <w:r>
        <w:rPr>
          <w:rFonts w:ascii="Arial" w:cs="Arial" w:eastAsia="Arial" w:hAnsi="Arial"/>
          <w:sz w:val="13"/>
          <w:szCs w:val="13"/>
          <w:color w:val="auto"/>
        </w:rPr>
        <w:t>In March 2021, we issued $100.0 million in aggregate principal amount of 2026 Notes at a public offering price per note of 99.4%. Interest on the 2026 Notes is paid semi-annually on April 1 and October 1 of each year, at a rate of 4.25% per year, commencing October 1, 2021. The 2026 Notes mature on April 1, 2026 and may be redeemed in whole or in part at our</w:t>
      </w:r>
    </w:p>
    <w:p>
      <w:pPr>
        <w:ind w:right="40"/>
        <w:spacing w:after="0" w:line="229" w:lineRule="auto"/>
        <w:rPr>
          <w:sz w:val="20"/>
          <w:szCs w:val="20"/>
          <w:color w:val="auto"/>
        </w:rPr>
      </w:pPr>
      <w:r>
        <w:rPr>
          <w:rFonts w:ascii="Arial" w:cs="Arial" w:eastAsia="Arial" w:hAnsi="Arial"/>
          <w:sz w:val="14"/>
          <w:szCs w:val="14"/>
          <w:color w:val="auto"/>
        </w:rPr>
        <w:t>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16" w:lineRule="exact"/>
        <w:rPr>
          <w:sz w:val="20"/>
          <w:szCs w:val="20"/>
          <w:color w:val="auto"/>
        </w:rPr>
      </w:pPr>
    </w:p>
    <w:p>
      <w:pPr>
        <w:ind w:right="220" w:firstLine="438"/>
        <w:spacing w:after="0" w:line="233" w:lineRule="auto"/>
        <w:rPr>
          <w:sz w:val="20"/>
          <w:szCs w:val="20"/>
          <w:color w:val="auto"/>
        </w:rPr>
      </w:pPr>
      <w:r>
        <w:rPr>
          <w:rFonts w:ascii="Arial" w:cs="Arial" w:eastAsia="Arial" w:hAnsi="Arial"/>
          <w:sz w:val="14"/>
          <w:szCs w:val="14"/>
          <w:color w:val="auto"/>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maturing 2031, which bear interest at the three-month LIBOR plus 1.8%, (ii) $15.0 million Class A-2 Senior Secured Fixed Rate Notes due 2031, which bear interest at 3.7%, (iii) $14.0 million Class B-1 Senior Secured Floating Rate Notes due 2031, which bear interest at the three-month LIBOR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9" w:name="page50"/>
    <w:bookmarkEnd w:id="49"/>
    <w:p>
      <w:pPr>
        <w:ind w:right="20"/>
        <w:spacing w:after="0" w:line="154" w:lineRule="exact"/>
        <w:rPr>
          <w:sz w:val="20"/>
          <w:szCs w:val="20"/>
          <w:color w:val="auto"/>
        </w:rPr>
      </w:pPr>
      <w:r>
        <w:rPr>
          <w:rFonts w:ascii="Arial" w:cs="Arial" w:eastAsia="Arial" w:hAnsi="Arial"/>
          <w:sz w:val="13"/>
          <w:szCs w:val="13"/>
          <w:color w:val="auto"/>
        </w:rPr>
        <w:t>plus 2.9%, (iv) $16.0 million Class B-2 Senior Secured Fixed Rate Notes due 2031, which bear interest at 4.3%, (v) $19.0 million Class C</w:t>
      </w:r>
      <w:r>
        <w:rPr>
          <w:rFonts w:ascii="MS PGothic" w:cs="MS PGothic" w:eastAsia="MS PGothic" w:hAnsi="MS PGothic"/>
          <w:sz w:val="13"/>
          <w:szCs w:val="13"/>
          <w:color w:val="auto"/>
        </w:rPr>
        <w:t>‑</w:t>
      </w:r>
      <w:r>
        <w:rPr>
          <w:rFonts w:ascii="Arial" w:cs="Arial" w:eastAsia="Arial" w:hAnsi="Arial"/>
          <w:sz w:val="13"/>
          <w:szCs w:val="13"/>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 three-month LIBOR plus 4.8% and (B) the borrowing of $77.5 million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Loans due 2031, which bear interest at the three-month LIBOR plus 1.8%, under a credit agreement by and among the Securitization Issuers, as borrowers, various financial institutions, as lenders, and U.S. Bank National Association, as collateral agent and as loan agent. The 2031 Asset-Backed Debt is scheduled to mature on October 15, 2031. As of both September 30, 2021 and 2020, the Company had $228.0 million of 2031 Asset-Backed Debt outstanding with a weighted average interest rate of 2.6% and 2.7%, respectively.</w:t>
      </w:r>
    </w:p>
    <w:p>
      <w:pPr>
        <w:spacing w:after="0" w:line="11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On the closing date of the Debt Securitization, in consideration of our transfer to the Securitization Issuer of the initial closing date loan portfolio, which included loans distributed to us by our wholly-owned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117" w:lineRule="exact"/>
        <w:rPr>
          <w:sz w:val="20"/>
          <w:szCs w:val="20"/>
          <w:color w:val="auto"/>
        </w:rPr>
      </w:pPr>
    </w:p>
    <w:p>
      <w:pPr>
        <w:jc w:val="both"/>
        <w:ind w:right="220" w:firstLine="438"/>
        <w:spacing w:after="0" w:line="238" w:lineRule="auto"/>
        <w:rPr>
          <w:sz w:val="20"/>
          <w:szCs w:val="20"/>
          <w:color w:val="auto"/>
        </w:rPr>
      </w:pPr>
      <w:r>
        <w:rPr>
          <w:rFonts w:ascii="Arial" w:cs="Arial" w:eastAsia="Arial" w:hAnsi="Arial"/>
          <w:sz w:val="14"/>
          <w:szCs w:val="14"/>
          <w:color w:val="auto"/>
        </w:rPr>
        <w:t>The 2031 Asset-Backed Debt constitutes secured obligations of the Securitization Issuers, and the indenture governing the 2031 Asset-Backed Debt includes customary covenants and events of default. The 2031 Asset-Backed Debt has not been, and will not be, registered under the Securities Act or any state securities or “blue sky” laws and may not be offered or sold in the United States absent registration with the SEC or an applicable exemption from registration.</w:t>
      </w:r>
    </w:p>
    <w:p>
      <w:pPr>
        <w:spacing w:after="0" w:line="115"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115" w:lineRule="exact"/>
        <w:rPr>
          <w:sz w:val="20"/>
          <w:szCs w:val="20"/>
          <w:color w:val="auto"/>
        </w:rPr>
      </w:pPr>
    </w:p>
    <w:p>
      <w:pPr>
        <w:ind w:right="40" w:firstLine="456"/>
        <w:spacing w:after="0" w:line="231" w:lineRule="auto"/>
        <w:rPr>
          <w:sz w:val="20"/>
          <w:szCs w:val="20"/>
          <w:color w:val="auto"/>
        </w:rPr>
      </w:pPr>
      <w:r>
        <w:rPr>
          <w:rFonts w:ascii="Arial" w:cs="Arial" w:eastAsia="Arial" w:hAnsi="Arial"/>
          <w:sz w:val="14"/>
          <w:szCs w:val="14"/>
          <w:color w:val="auto"/>
        </w:rPr>
        <w:t>On August 20, 2021, we entered into equity distribution agreements (together, the “Equity Distribution Agreements”) with each of JMP Securities LLC and Raymond James &amp; Associates, Inc., as the sales agents (each, a “Sales Agent,” and together, the “Sales Agents”), in connection with the sale of shares of our common stock, par value $0.001 per share (the “Common Stock”), with an aggregate offering price of up to $75 million under an at-the-market offering (the “ATM Program”). The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w:t>
      </w:r>
    </w:p>
    <w:p>
      <w:pPr>
        <w:spacing w:after="0" w:line="116" w:lineRule="exact"/>
        <w:rPr>
          <w:sz w:val="20"/>
          <w:szCs w:val="20"/>
          <w:color w:val="auto"/>
        </w:rPr>
      </w:pPr>
    </w:p>
    <w:p>
      <w:pPr>
        <w:ind w:right="140" w:firstLine="456"/>
        <w:spacing w:after="0" w:line="238" w:lineRule="auto"/>
        <w:rPr>
          <w:sz w:val="20"/>
          <w:szCs w:val="20"/>
          <w:color w:val="auto"/>
        </w:rPr>
      </w:pPr>
      <w:r>
        <w:rPr>
          <w:rFonts w:ascii="Arial" w:cs="Arial" w:eastAsia="Arial" w:hAnsi="Arial"/>
          <w:sz w:val="14"/>
          <w:szCs w:val="14"/>
          <w:color w:val="auto"/>
        </w:rPr>
        <w:t>During the three months ended September 30, 2021, we issued 108,654 shares of our Common Stock under the ATM Program at a weighted-average price of $12.91 per share, raising $1.4 million of gross proceeds. Net proceeds were $1.4 million after commissions to the Sales Agents on shares sold. We incurred $0.4 million of legal and other offering costs associated with establishing the ATM Program. As of September 30, 2021, we had $73.6 million available under the ATM Program.</w:t>
      </w:r>
    </w:p>
    <w:p>
      <w:pPr>
        <w:spacing w:after="0" w:line="115" w:lineRule="exact"/>
        <w:rPr>
          <w:sz w:val="20"/>
          <w:szCs w:val="20"/>
          <w:color w:val="auto"/>
        </w:rPr>
      </w:pPr>
    </w:p>
    <w:p>
      <w:pPr>
        <w:ind w:right="400" w:firstLine="438"/>
        <w:spacing w:after="0" w:line="335" w:lineRule="auto"/>
        <w:rPr>
          <w:sz w:val="20"/>
          <w:szCs w:val="20"/>
          <w:color w:val="auto"/>
        </w:rPr>
      </w:pPr>
      <w:r>
        <w:rPr>
          <w:rFonts w:ascii="Arial" w:cs="Arial" w:eastAsia="Arial" w:hAnsi="Arial"/>
          <w:sz w:val="12"/>
          <w:szCs w:val="12"/>
          <w:color w:val="auto"/>
        </w:rPr>
        <w:t>Through September 30, 2021, we issued 108,654 shares of our Common Stock under the ATM Program at a weighted-average price of $12.91, raising $1.4 million of gross proceeds. Net proceeds were $1.4 million after commissions to the Sales Agents on shares sold. We incurred $0.4 million of legal and other offering costs associated with establishing the ATM Program.</w:t>
      </w:r>
    </w:p>
    <w:p>
      <w:pPr>
        <w:spacing w:after="0" w:line="60"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year ended September 30, 2020 we did not issue any shares.</w:t>
      </w:r>
    </w:p>
    <w:p>
      <w:pPr>
        <w:spacing w:after="0" w:line="104"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2021,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2021,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02"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As of September 30, 2021 and 2020, we had cash equivalents of $49.8 million and $57.5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Our operating activities provided cash of $49.6 million for the year ended September 30, 2021, and our financing activities used cash of $56.3 million for the same period. Our operating activities used cash primarily for our investment activities and our financing activities used cash primarily for paying down our Credit Facility and paying distributions to stockholders.</w:t>
      </w:r>
    </w:p>
    <w:p>
      <w:pPr>
        <w:spacing w:after="0" w:line="84" w:lineRule="exact"/>
        <w:rPr>
          <w:sz w:val="20"/>
          <w:szCs w:val="20"/>
          <w:color w:val="auto"/>
        </w:rPr>
      </w:pPr>
    </w:p>
    <w:p>
      <w:pPr>
        <w:ind w:right="520" w:firstLine="438"/>
        <w:spacing w:after="0" w:line="290" w:lineRule="auto"/>
        <w:rPr>
          <w:sz w:val="20"/>
          <w:szCs w:val="20"/>
          <w:color w:val="auto"/>
        </w:rPr>
      </w:pPr>
      <w:r>
        <w:rPr>
          <w:rFonts w:ascii="Arial" w:cs="Arial" w:eastAsia="Arial" w:hAnsi="Arial"/>
          <w:sz w:val="13"/>
          <w:szCs w:val="13"/>
          <w:color w:val="auto"/>
        </w:rPr>
        <w:t>Our operating activities used cash of $4.9 million for the year ended September 30, 2020, and our financing activities used cash of $0.9 million for the same period. Our operating activities used cash primarily for our investment activities and our financing activities used cash primarily for paying down our Credit Facility and paying distributions to stockholders.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color w:val="auto"/>
        </w:rPr>
        <w:t>Senior Securities</w:t>
      </w:r>
    </w:p>
    <w:p>
      <w:pPr>
        <w:spacing w:after="0" w:line="140" w:lineRule="exact"/>
        <w:rPr>
          <w:sz w:val="20"/>
          <w:szCs w:val="20"/>
          <w:color w:val="auto"/>
        </w:rPr>
      </w:pPr>
    </w:p>
    <w:p>
      <w:pPr>
        <w:ind w:right="140" w:firstLine="729"/>
        <w:spacing w:after="0" w:line="253" w:lineRule="auto"/>
        <w:rPr>
          <w:sz w:val="20"/>
          <w:szCs w:val="20"/>
          <w:color w:val="auto"/>
        </w:rPr>
      </w:pPr>
      <w:r>
        <w:rPr>
          <w:rFonts w:ascii="Arial" w:cs="Arial" w:eastAsia="Arial" w:hAnsi="Arial"/>
          <w:sz w:val="14"/>
          <w:szCs w:val="14"/>
          <w:color w:val="auto"/>
        </w:rPr>
        <w:t>Information about our senior securities is shown in the following table as of September 30, 2021, 2020, 2019, 2018, 2017, 2016, 2015, 2014, 2013 and 2012. The report of RSM US LLP, an independent registered public accounting firm, on the Senior Securities table as of September 30, 2021, is attached as an exhibit to this Report.</w:t>
      </w:r>
    </w:p>
    <w:tbl>
      <w:tblPr>
        <w:tblLayout w:type="fixed"/>
        <w:tblInd w:w="0" w:type="dxa"/>
        <w:tblCellMar>
          <w:top w:w="0" w:type="dxa"/>
          <w:left w:w="0" w:type="dxa"/>
          <w:bottom w:w="0" w:type="dxa"/>
          <w:right w:w="0" w:type="dxa"/>
        </w:tblCellMar>
      </w:tblPr>
      <w:tr>
        <w:trPr>
          <w:trHeight w:val="156"/>
        </w:trPr>
        <w:tc>
          <w:tcPr>
            <w:tcW w:w="3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 Amount</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8"/>
              </w:rPr>
              <w:t>Asset Coverage</w:t>
            </w:r>
          </w:p>
        </w:tc>
        <w:tc>
          <w:tcPr>
            <w:tcW w:w="24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3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Outstanding </w:t>
            </w:r>
            <w:r>
              <w:rPr>
                <w:rFonts w:ascii="Arial" w:cs="Arial" w:eastAsia="Arial" w:hAnsi="Arial"/>
                <w:sz w:val="12"/>
                <w:szCs w:val="12"/>
                <w:b w:val="1"/>
                <w:bCs w:val="1"/>
                <w:color w:val="auto"/>
              </w:rPr>
              <w:t>(1)</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 xml:space="preserve">Per Unit </w:t>
            </w:r>
            <w:r>
              <w:rPr>
                <w:rFonts w:ascii="Arial" w:cs="Arial" w:eastAsia="Arial" w:hAnsi="Arial"/>
                <w:sz w:val="12"/>
                <w:szCs w:val="12"/>
                <w:b w:val="1"/>
                <w:bCs w:val="1"/>
                <w:color w:val="auto"/>
                <w:w w:val="96"/>
              </w:rPr>
              <w:t>(2)</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6"/>
              </w:rPr>
              <w:t xml:space="preserve">Per Unit </w:t>
            </w:r>
            <w:r>
              <w:rPr>
                <w:rFonts w:ascii="Arial" w:cs="Arial" w:eastAsia="Arial" w:hAnsi="Arial"/>
                <w:sz w:val="12"/>
                <w:szCs w:val="12"/>
                <w:b w:val="1"/>
                <w:bCs w:val="1"/>
                <w:color w:val="auto"/>
                <w:w w:val="96"/>
              </w:rPr>
              <w:t>(3)</w:t>
            </w:r>
          </w:p>
        </w:tc>
        <w:tc>
          <w:tcPr>
            <w:tcW w:w="0" w:type="dxa"/>
            <w:vAlign w:val="bottom"/>
          </w:tcPr>
          <w:p>
            <w:pPr>
              <w:spacing w:after="0"/>
              <w:rPr>
                <w:sz w:val="1"/>
                <w:szCs w:val="1"/>
                <w:color w:val="auto"/>
              </w:rPr>
            </w:pPr>
          </w:p>
        </w:tc>
      </w:tr>
      <w:tr>
        <w:trPr>
          <w:trHeight w:val="156"/>
        </w:trPr>
        <w:tc>
          <w:tcPr>
            <w:tcW w:w="37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Credit Facility</w:t>
            </w:r>
          </w:p>
        </w:tc>
        <w:tc>
          <w:tcPr>
            <w:tcW w:w="320" w:type="dxa"/>
            <w:vAlign w:val="bottom"/>
            <w:tcBorders>
              <w:top w:val="single" w:sz="8" w:color="CCECFF"/>
            </w:tcBorders>
            <w:shd w:val="clear" w:color="auto" w:fill="CCECFF"/>
          </w:tcPr>
          <w:p>
            <w:pPr>
              <w:spacing w:after="0"/>
              <w:rPr>
                <w:sz w:val="13"/>
                <w:szCs w:val="13"/>
                <w:color w:val="auto"/>
              </w:rPr>
            </w:pPr>
          </w:p>
        </w:tc>
        <w:tc>
          <w:tcPr>
            <w:tcW w:w="1640" w:type="dxa"/>
            <w:vAlign w:val="bottom"/>
            <w:tcBorders>
              <w:top w:val="single" w:sz="8" w:color="auto"/>
            </w:tcBorders>
            <w:shd w:val="clear" w:color="auto" w:fill="CCECFF"/>
          </w:tcPr>
          <w:p>
            <w:pPr>
              <w:spacing w:after="0"/>
              <w:rPr>
                <w:sz w:val="13"/>
                <w:szCs w:val="13"/>
                <w:color w:val="auto"/>
              </w:rPr>
            </w:pPr>
          </w:p>
        </w:tc>
        <w:tc>
          <w:tcPr>
            <w:tcW w:w="560" w:type="dxa"/>
            <w:vAlign w:val="bottom"/>
            <w:tcBorders>
              <w:top w:val="single" w:sz="8" w:color="auto"/>
            </w:tcBorders>
            <w:shd w:val="clear" w:color="auto" w:fill="CCECFF"/>
          </w:tcPr>
          <w:p>
            <w:pPr>
              <w:spacing w:after="0"/>
              <w:rPr>
                <w:sz w:val="13"/>
                <w:szCs w:val="13"/>
                <w:color w:val="auto"/>
              </w:rPr>
            </w:pPr>
          </w:p>
        </w:tc>
        <w:tc>
          <w:tcPr>
            <w:tcW w:w="4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520" w:type="dxa"/>
            <w:vAlign w:val="bottom"/>
            <w:tcBorders>
              <w:top w:val="single" w:sz="8" w:color="auto"/>
            </w:tcBorders>
            <w:shd w:val="clear" w:color="auto" w:fill="CCECFF"/>
          </w:tcPr>
          <w:p>
            <w:pPr>
              <w:spacing w:after="0"/>
              <w:rPr>
                <w:sz w:val="13"/>
                <w:szCs w:val="13"/>
                <w:color w:val="auto"/>
              </w:rPr>
            </w:pPr>
          </w:p>
        </w:tc>
        <w:tc>
          <w:tcPr>
            <w:tcW w:w="420" w:type="dxa"/>
            <w:vAlign w:val="bottom"/>
            <w:tcBorders>
              <w:top w:val="single" w:sz="8" w:color="CCECFF"/>
            </w:tcBorders>
            <w:shd w:val="clear" w:color="auto" w:fill="CCECFF"/>
          </w:tcPr>
          <w:p>
            <w:pPr>
              <w:spacing w:after="0"/>
              <w:rPr>
                <w:sz w:val="13"/>
                <w:szCs w:val="13"/>
                <w:color w:val="auto"/>
              </w:rPr>
            </w:pPr>
          </w:p>
        </w:tc>
        <w:tc>
          <w:tcPr>
            <w:tcW w:w="2420" w:type="dxa"/>
            <w:vAlign w:val="bottom"/>
            <w:tcBorders>
              <w:top w:val="single" w:sz="8" w:color="auto"/>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Fiscal 2021</w:t>
            </w:r>
          </w:p>
        </w:tc>
        <w:tc>
          <w:tcPr>
            <w:tcW w:w="1960" w:type="dxa"/>
            <w:vAlign w:val="bottom"/>
            <w:gridSpan w:val="2"/>
          </w:tcPr>
          <w:p>
            <w:pPr>
              <w:jc w:val="right"/>
              <w:ind w:right="150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219,400</w:t>
            </w:r>
          </w:p>
        </w:tc>
        <w:tc>
          <w:tcPr>
            <w:tcW w:w="4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1,746</w:t>
            </w:r>
          </w:p>
        </w:tc>
        <w:tc>
          <w:tcPr>
            <w:tcW w:w="420" w:type="dxa"/>
            <w:vAlign w:val="bottom"/>
          </w:tcPr>
          <w:p>
            <w:pPr>
              <w:spacing w:after="0"/>
              <w:rPr>
                <w:sz w:val="14"/>
                <w:szCs w:val="14"/>
                <w:color w:val="auto"/>
              </w:rPr>
            </w:pPr>
          </w:p>
        </w:tc>
        <w:tc>
          <w:tcPr>
            <w:tcW w:w="2420" w:type="dxa"/>
            <w:vAlign w:val="bottom"/>
          </w:tcPr>
          <w:p>
            <w:pPr>
              <w:ind w:left="2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700" w:type="dxa"/>
            <w:vAlign w:val="bottom"/>
            <w:shd w:val="clear" w:color="auto" w:fill="CCECFF"/>
          </w:tcPr>
          <w:p>
            <w:pPr>
              <w:spacing w:after="0"/>
              <w:rPr>
                <w:sz w:val="20"/>
                <w:szCs w:val="20"/>
                <w:color w:val="auto"/>
              </w:rPr>
            </w:pPr>
            <w:r>
              <w:rPr>
                <w:rFonts w:ascii="Arial" w:cs="Arial" w:eastAsia="Arial" w:hAnsi="Arial"/>
                <w:sz w:val="14"/>
                <w:szCs w:val="14"/>
                <w:color w:val="auto"/>
              </w:rPr>
              <w:t>Fiscal 2020</w:t>
            </w:r>
          </w:p>
        </w:tc>
        <w:tc>
          <w:tcPr>
            <w:tcW w:w="320" w:type="dxa"/>
            <w:vAlign w:val="bottom"/>
            <w:shd w:val="clear" w:color="auto" w:fill="CCECFF"/>
          </w:tcPr>
          <w:p>
            <w:pPr>
              <w:spacing w:after="0"/>
              <w:rPr>
                <w:sz w:val="14"/>
                <w:szCs w:val="14"/>
                <w:color w:val="auto"/>
              </w:rPr>
            </w:pPr>
          </w:p>
        </w:tc>
        <w:tc>
          <w:tcPr>
            <w:tcW w:w="164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308,599</w:t>
            </w:r>
          </w:p>
        </w:tc>
        <w:tc>
          <w:tcPr>
            <w:tcW w:w="4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1,677</w:t>
            </w:r>
          </w:p>
        </w:tc>
        <w:tc>
          <w:tcPr>
            <w:tcW w:w="420" w:type="dxa"/>
            <w:vAlign w:val="bottom"/>
            <w:shd w:val="clear" w:color="auto" w:fill="CCECFF"/>
          </w:tcPr>
          <w:p>
            <w:pPr>
              <w:spacing w:after="0"/>
              <w:rPr>
                <w:sz w:val="14"/>
                <w:szCs w:val="14"/>
                <w:color w:val="auto"/>
              </w:rPr>
            </w:pPr>
          </w:p>
        </w:tc>
        <w:tc>
          <w:tcPr>
            <w:tcW w:w="2420" w:type="dxa"/>
            <w:vAlign w:val="bottom"/>
            <w:shd w:val="clear" w:color="auto" w:fill="CCECFF"/>
          </w:tcPr>
          <w:p>
            <w:pPr>
              <w:ind w:left="2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Fiscal 2019</w:t>
            </w: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265,308</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1,786</w:t>
            </w:r>
          </w:p>
        </w:tc>
        <w:tc>
          <w:tcPr>
            <w:tcW w:w="420" w:type="dxa"/>
            <w:vAlign w:val="bottom"/>
          </w:tcPr>
          <w:p>
            <w:pPr>
              <w:spacing w:after="0"/>
              <w:rPr>
                <w:sz w:val="14"/>
                <w:szCs w:val="14"/>
                <w:color w:val="auto"/>
              </w:rPr>
            </w:pPr>
          </w:p>
        </w:tc>
        <w:tc>
          <w:tcPr>
            <w:tcW w:w="2420" w:type="dxa"/>
            <w:vAlign w:val="bottom"/>
          </w:tcPr>
          <w:p>
            <w:pPr>
              <w:ind w:left="2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700" w:type="dxa"/>
            <w:vAlign w:val="bottom"/>
            <w:shd w:val="clear" w:color="auto" w:fill="CCECFF"/>
          </w:tcPr>
          <w:p>
            <w:pPr>
              <w:spacing w:after="0"/>
              <w:rPr>
                <w:sz w:val="20"/>
                <w:szCs w:val="20"/>
                <w:color w:val="auto"/>
              </w:rPr>
            </w:pPr>
            <w:r>
              <w:rPr>
                <w:rFonts w:ascii="Arial" w:cs="Arial" w:eastAsia="Arial" w:hAnsi="Arial"/>
                <w:sz w:val="14"/>
                <w:szCs w:val="14"/>
                <w:color w:val="auto"/>
              </w:rPr>
              <w:t>Fiscal 2018</w:t>
            </w:r>
          </w:p>
        </w:tc>
        <w:tc>
          <w:tcPr>
            <w:tcW w:w="320" w:type="dxa"/>
            <w:vAlign w:val="bottom"/>
            <w:shd w:val="clear" w:color="auto" w:fill="CCECFF"/>
          </w:tcPr>
          <w:p>
            <w:pPr>
              <w:spacing w:after="0"/>
              <w:rPr>
                <w:sz w:val="14"/>
                <w:szCs w:val="14"/>
                <w:color w:val="auto"/>
              </w:rPr>
            </w:pPr>
          </w:p>
        </w:tc>
        <w:tc>
          <w:tcPr>
            <w:tcW w:w="164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333,728</w:t>
            </w:r>
          </w:p>
        </w:tc>
        <w:tc>
          <w:tcPr>
            <w:tcW w:w="4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2,122</w:t>
            </w:r>
          </w:p>
        </w:tc>
        <w:tc>
          <w:tcPr>
            <w:tcW w:w="420" w:type="dxa"/>
            <w:vAlign w:val="bottom"/>
            <w:shd w:val="clear" w:color="auto" w:fill="CCECFF"/>
          </w:tcPr>
          <w:p>
            <w:pPr>
              <w:spacing w:after="0"/>
              <w:rPr>
                <w:sz w:val="14"/>
                <w:szCs w:val="14"/>
                <w:color w:val="auto"/>
              </w:rPr>
            </w:pPr>
          </w:p>
        </w:tc>
        <w:tc>
          <w:tcPr>
            <w:tcW w:w="2420" w:type="dxa"/>
            <w:vAlign w:val="bottom"/>
            <w:shd w:val="clear" w:color="auto" w:fill="CCECFF"/>
          </w:tcPr>
          <w:p>
            <w:pPr>
              <w:ind w:left="2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Fiscal 2017</w:t>
            </w: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253,783</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2,780</w:t>
            </w:r>
          </w:p>
        </w:tc>
        <w:tc>
          <w:tcPr>
            <w:tcW w:w="420" w:type="dxa"/>
            <w:vAlign w:val="bottom"/>
          </w:tcPr>
          <w:p>
            <w:pPr>
              <w:spacing w:after="0"/>
              <w:rPr>
                <w:sz w:val="14"/>
                <w:szCs w:val="14"/>
                <w:color w:val="auto"/>
              </w:rPr>
            </w:pPr>
          </w:p>
        </w:tc>
        <w:tc>
          <w:tcPr>
            <w:tcW w:w="2420" w:type="dxa"/>
            <w:vAlign w:val="bottom"/>
          </w:tcPr>
          <w:p>
            <w:pPr>
              <w:ind w:left="2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700" w:type="dxa"/>
            <w:vAlign w:val="bottom"/>
            <w:shd w:val="clear" w:color="auto" w:fill="CCECFF"/>
          </w:tcPr>
          <w:p>
            <w:pPr>
              <w:spacing w:after="0"/>
              <w:rPr>
                <w:sz w:val="20"/>
                <w:szCs w:val="20"/>
                <w:color w:val="auto"/>
              </w:rPr>
            </w:pPr>
            <w:r>
              <w:rPr>
                <w:rFonts w:ascii="Arial" w:cs="Arial" w:eastAsia="Arial" w:hAnsi="Arial"/>
                <w:sz w:val="14"/>
                <w:szCs w:val="14"/>
                <w:color w:val="auto"/>
              </w:rPr>
              <w:t>Fiscal 2016</w:t>
            </w:r>
          </w:p>
        </w:tc>
        <w:tc>
          <w:tcPr>
            <w:tcW w:w="320" w:type="dxa"/>
            <w:vAlign w:val="bottom"/>
            <w:shd w:val="clear" w:color="auto" w:fill="CCECFF"/>
          </w:tcPr>
          <w:p>
            <w:pPr>
              <w:spacing w:after="0"/>
              <w:rPr>
                <w:sz w:val="14"/>
                <w:szCs w:val="14"/>
                <w:color w:val="auto"/>
              </w:rPr>
            </w:pPr>
          </w:p>
        </w:tc>
        <w:tc>
          <w:tcPr>
            <w:tcW w:w="164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232,908</w:t>
            </w:r>
          </w:p>
        </w:tc>
        <w:tc>
          <w:tcPr>
            <w:tcW w:w="4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2,601</w:t>
            </w:r>
          </w:p>
        </w:tc>
        <w:tc>
          <w:tcPr>
            <w:tcW w:w="420" w:type="dxa"/>
            <w:vAlign w:val="bottom"/>
            <w:shd w:val="clear" w:color="auto" w:fill="CCECFF"/>
          </w:tcPr>
          <w:p>
            <w:pPr>
              <w:spacing w:after="0"/>
              <w:rPr>
                <w:sz w:val="14"/>
                <w:szCs w:val="14"/>
                <w:color w:val="auto"/>
              </w:rPr>
            </w:pPr>
          </w:p>
        </w:tc>
        <w:tc>
          <w:tcPr>
            <w:tcW w:w="2420" w:type="dxa"/>
            <w:vAlign w:val="bottom"/>
            <w:shd w:val="clear" w:color="auto" w:fill="CCECFF"/>
          </w:tcPr>
          <w:p>
            <w:pPr>
              <w:ind w:left="2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Fiscal 2015</w:t>
            </w: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29,600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13,598</w:t>
            </w:r>
          </w:p>
        </w:tc>
        <w:tc>
          <w:tcPr>
            <w:tcW w:w="420" w:type="dxa"/>
            <w:vAlign w:val="bottom"/>
          </w:tcPr>
          <w:p>
            <w:pPr>
              <w:spacing w:after="0"/>
              <w:rPr>
                <w:sz w:val="14"/>
                <w:szCs w:val="14"/>
                <w:color w:val="auto"/>
              </w:rPr>
            </w:pPr>
          </w:p>
        </w:tc>
        <w:tc>
          <w:tcPr>
            <w:tcW w:w="2420" w:type="dxa"/>
            <w:vAlign w:val="bottom"/>
          </w:tcPr>
          <w:p>
            <w:pPr>
              <w:ind w:left="2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700" w:type="dxa"/>
            <w:vAlign w:val="bottom"/>
            <w:shd w:val="clear" w:color="auto" w:fill="CCECFF"/>
          </w:tcPr>
          <w:p>
            <w:pPr>
              <w:spacing w:after="0"/>
              <w:rPr>
                <w:sz w:val="20"/>
                <w:szCs w:val="20"/>
                <w:color w:val="auto"/>
              </w:rPr>
            </w:pPr>
            <w:r>
              <w:rPr>
                <w:rFonts w:ascii="Arial" w:cs="Arial" w:eastAsia="Arial" w:hAnsi="Arial"/>
                <w:sz w:val="14"/>
                <w:szCs w:val="14"/>
                <w:color w:val="auto"/>
              </w:rPr>
              <w:t>Fiscal 2014</w:t>
            </w:r>
          </w:p>
        </w:tc>
        <w:tc>
          <w:tcPr>
            <w:tcW w:w="320" w:type="dxa"/>
            <w:vAlign w:val="bottom"/>
            <w:shd w:val="clear" w:color="auto" w:fill="CCECFF"/>
          </w:tcPr>
          <w:p>
            <w:pPr>
              <w:spacing w:after="0"/>
              <w:rPr>
                <w:sz w:val="14"/>
                <w:szCs w:val="14"/>
                <w:color w:val="auto"/>
              </w:rPr>
            </w:pPr>
          </w:p>
        </w:tc>
        <w:tc>
          <w:tcPr>
            <w:tcW w:w="164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146,400</w:t>
            </w:r>
          </w:p>
        </w:tc>
        <w:tc>
          <w:tcPr>
            <w:tcW w:w="4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2,469</w:t>
            </w:r>
          </w:p>
        </w:tc>
        <w:tc>
          <w:tcPr>
            <w:tcW w:w="420" w:type="dxa"/>
            <w:vAlign w:val="bottom"/>
            <w:shd w:val="clear" w:color="auto" w:fill="CCECFF"/>
          </w:tcPr>
          <w:p>
            <w:pPr>
              <w:spacing w:after="0"/>
              <w:rPr>
                <w:sz w:val="14"/>
                <w:szCs w:val="14"/>
                <w:color w:val="auto"/>
              </w:rPr>
            </w:pPr>
          </w:p>
        </w:tc>
        <w:tc>
          <w:tcPr>
            <w:tcW w:w="2420" w:type="dxa"/>
            <w:vAlign w:val="bottom"/>
            <w:shd w:val="clear" w:color="auto" w:fill="CCECFF"/>
          </w:tcPr>
          <w:p>
            <w:pPr>
              <w:ind w:left="2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Fiscal 2013</w:t>
            </w: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99,600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3,109</w:t>
            </w:r>
          </w:p>
        </w:tc>
        <w:tc>
          <w:tcPr>
            <w:tcW w:w="420" w:type="dxa"/>
            <w:vAlign w:val="bottom"/>
          </w:tcPr>
          <w:p>
            <w:pPr>
              <w:spacing w:after="0"/>
              <w:rPr>
                <w:sz w:val="14"/>
                <w:szCs w:val="14"/>
                <w:color w:val="auto"/>
              </w:rPr>
            </w:pPr>
          </w:p>
        </w:tc>
        <w:tc>
          <w:tcPr>
            <w:tcW w:w="2420" w:type="dxa"/>
            <w:vAlign w:val="bottom"/>
          </w:tcPr>
          <w:p>
            <w:pPr>
              <w:ind w:left="2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700" w:type="dxa"/>
            <w:vAlign w:val="bottom"/>
            <w:shd w:val="clear" w:color="auto" w:fill="CCECFF"/>
          </w:tcPr>
          <w:p>
            <w:pPr>
              <w:spacing w:after="0"/>
              <w:rPr>
                <w:sz w:val="20"/>
                <w:szCs w:val="20"/>
                <w:color w:val="auto"/>
              </w:rPr>
            </w:pPr>
            <w:r>
              <w:rPr>
                <w:rFonts w:ascii="Arial" w:cs="Arial" w:eastAsia="Arial" w:hAnsi="Arial"/>
                <w:sz w:val="14"/>
                <w:szCs w:val="14"/>
                <w:color w:val="auto"/>
              </w:rPr>
              <w:t>Fiscal 2012</w:t>
            </w:r>
          </w:p>
        </w:tc>
        <w:tc>
          <w:tcPr>
            <w:tcW w:w="320" w:type="dxa"/>
            <w:vAlign w:val="bottom"/>
            <w:shd w:val="clear" w:color="auto" w:fill="CCECFF"/>
          </w:tcPr>
          <w:p>
            <w:pPr>
              <w:spacing w:after="0"/>
              <w:rPr>
                <w:sz w:val="14"/>
                <w:szCs w:val="14"/>
                <w:color w:val="auto"/>
              </w:rPr>
            </w:pPr>
          </w:p>
        </w:tc>
        <w:tc>
          <w:tcPr>
            <w:tcW w:w="164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75,500</w:t>
            </w:r>
          </w:p>
        </w:tc>
        <w:tc>
          <w:tcPr>
            <w:tcW w:w="4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2,263</w:t>
            </w:r>
          </w:p>
        </w:tc>
        <w:tc>
          <w:tcPr>
            <w:tcW w:w="420" w:type="dxa"/>
            <w:vAlign w:val="bottom"/>
            <w:shd w:val="clear" w:color="auto" w:fill="CCECFF"/>
          </w:tcPr>
          <w:p>
            <w:pPr>
              <w:spacing w:after="0"/>
              <w:rPr>
                <w:sz w:val="14"/>
                <w:szCs w:val="14"/>
                <w:color w:val="auto"/>
              </w:rPr>
            </w:pPr>
          </w:p>
        </w:tc>
        <w:tc>
          <w:tcPr>
            <w:tcW w:w="2420" w:type="dxa"/>
            <w:vAlign w:val="bottom"/>
            <w:shd w:val="clear" w:color="auto" w:fill="CCECFF"/>
          </w:tcPr>
          <w:p>
            <w:pPr>
              <w:ind w:left="2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b w:val="1"/>
                <w:bCs w:val="1"/>
                <w:color w:val="auto"/>
              </w:rPr>
              <w:t>2023 Notes</w:t>
            </w: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CECFF"/>
          </w:tcPr>
          <w:p>
            <w:pPr>
              <w:spacing w:after="0"/>
              <w:rPr>
                <w:sz w:val="20"/>
                <w:szCs w:val="20"/>
                <w:color w:val="auto"/>
              </w:rPr>
            </w:pPr>
            <w:r>
              <w:rPr>
                <w:rFonts w:ascii="Arial" w:cs="Arial" w:eastAsia="Arial" w:hAnsi="Arial"/>
                <w:sz w:val="14"/>
                <w:szCs w:val="14"/>
                <w:color w:val="auto"/>
              </w:rPr>
              <w:t>Fiscal 2021</w:t>
            </w:r>
          </w:p>
        </w:tc>
        <w:tc>
          <w:tcPr>
            <w:tcW w:w="320" w:type="dxa"/>
            <w:vAlign w:val="bottom"/>
            <w:shd w:val="clear" w:color="auto" w:fill="CCECFF"/>
          </w:tcPr>
          <w:p>
            <w:pPr>
              <w:spacing w:after="0"/>
              <w:rPr>
                <w:sz w:val="14"/>
                <w:szCs w:val="14"/>
                <w:color w:val="auto"/>
              </w:rPr>
            </w:pPr>
          </w:p>
        </w:tc>
        <w:tc>
          <w:tcPr>
            <w:tcW w:w="164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117,793</w:t>
            </w:r>
          </w:p>
        </w:tc>
        <w:tc>
          <w:tcPr>
            <w:tcW w:w="4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1,746</w:t>
            </w:r>
          </w:p>
        </w:tc>
        <w:tc>
          <w:tcPr>
            <w:tcW w:w="420" w:type="dxa"/>
            <w:vAlign w:val="bottom"/>
            <w:shd w:val="clear" w:color="auto" w:fill="CCECFF"/>
          </w:tcPr>
          <w:p>
            <w:pPr>
              <w:spacing w:after="0"/>
              <w:rPr>
                <w:sz w:val="14"/>
                <w:szCs w:val="14"/>
                <w:color w:val="auto"/>
              </w:rPr>
            </w:pPr>
          </w:p>
        </w:tc>
        <w:tc>
          <w:tcPr>
            <w:tcW w:w="2420" w:type="dxa"/>
            <w:vAlign w:val="bottom"/>
            <w:shd w:val="clear" w:color="auto" w:fill="CCECFF"/>
          </w:tcPr>
          <w:p>
            <w:pPr>
              <w:ind w:left="2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Fiscal 2020</w:t>
            </w: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138,580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1,677</w:t>
            </w:r>
          </w:p>
        </w:tc>
        <w:tc>
          <w:tcPr>
            <w:tcW w:w="420" w:type="dxa"/>
            <w:vAlign w:val="bottom"/>
          </w:tcPr>
          <w:p>
            <w:pPr>
              <w:spacing w:after="0"/>
              <w:rPr>
                <w:sz w:val="14"/>
                <w:szCs w:val="14"/>
                <w:color w:val="auto"/>
              </w:rPr>
            </w:pPr>
          </w:p>
        </w:tc>
        <w:tc>
          <w:tcPr>
            <w:tcW w:w="2420" w:type="dxa"/>
            <w:vAlign w:val="bottom"/>
          </w:tcPr>
          <w:p>
            <w:pPr>
              <w:ind w:left="2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700" w:type="dxa"/>
            <w:vAlign w:val="bottom"/>
            <w:shd w:val="clear" w:color="auto" w:fill="CCECFF"/>
          </w:tcPr>
          <w:p>
            <w:pPr>
              <w:spacing w:after="0"/>
              <w:rPr>
                <w:sz w:val="20"/>
                <w:szCs w:val="20"/>
                <w:color w:val="auto"/>
              </w:rPr>
            </w:pPr>
            <w:r>
              <w:rPr>
                <w:rFonts w:ascii="Arial" w:cs="Arial" w:eastAsia="Arial" w:hAnsi="Arial"/>
                <w:sz w:val="14"/>
                <w:szCs w:val="14"/>
                <w:color w:val="auto"/>
              </w:rPr>
              <w:t>Fiscal 2019</w:t>
            </w:r>
          </w:p>
        </w:tc>
        <w:tc>
          <w:tcPr>
            <w:tcW w:w="320" w:type="dxa"/>
            <w:vAlign w:val="bottom"/>
            <w:shd w:val="clear" w:color="auto" w:fill="CCECFF"/>
          </w:tcPr>
          <w:p>
            <w:pPr>
              <w:spacing w:after="0"/>
              <w:rPr>
                <w:sz w:val="14"/>
                <w:szCs w:val="14"/>
                <w:color w:val="auto"/>
              </w:rPr>
            </w:pPr>
          </w:p>
        </w:tc>
        <w:tc>
          <w:tcPr>
            <w:tcW w:w="164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138,580</w:t>
            </w:r>
          </w:p>
        </w:tc>
        <w:tc>
          <w:tcPr>
            <w:tcW w:w="4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1,786</w:t>
            </w:r>
          </w:p>
        </w:tc>
        <w:tc>
          <w:tcPr>
            <w:tcW w:w="420" w:type="dxa"/>
            <w:vAlign w:val="bottom"/>
            <w:shd w:val="clear" w:color="auto" w:fill="CCECFF"/>
          </w:tcPr>
          <w:p>
            <w:pPr>
              <w:spacing w:after="0"/>
              <w:rPr>
                <w:sz w:val="14"/>
                <w:szCs w:val="14"/>
                <w:color w:val="auto"/>
              </w:rPr>
            </w:pPr>
          </w:p>
        </w:tc>
        <w:tc>
          <w:tcPr>
            <w:tcW w:w="2420" w:type="dxa"/>
            <w:vAlign w:val="bottom"/>
            <w:shd w:val="clear" w:color="auto" w:fill="CCECFF"/>
          </w:tcPr>
          <w:p>
            <w:pPr>
              <w:ind w:left="2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Fiscal 2018</w:t>
            </w: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138,580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2,122</w:t>
            </w:r>
          </w:p>
        </w:tc>
        <w:tc>
          <w:tcPr>
            <w:tcW w:w="420" w:type="dxa"/>
            <w:vAlign w:val="bottom"/>
          </w:tcPr>
          <w:p>
            <w:pPr>
              <w:spacing w:after="0"/>
              <w:rPr>
                <w:sz w:val="14"/>
                <w:szCs w:val="14"/>
                <w:color w:val="auto"/>
              </w:rPr>
            </w:pPr>
          </w:p>
        </w:tc>
        <w:tc>
          <w:tcPr>
            <w:tcW w:w="2420" w:type="dxa"/>
            <w:vAlign w:val="bottom"/>
          </w:tcPr>
          <w:p>
            <w:pPr>
              <w:ind w:left="2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70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2026 Notes</w:t>
            </w:r>
          </w:p>
        </w:tc>
        <w:tc>
          <w:tcPr>
            <w:tcW w:w="320" w:type="dxa"/>
            <w:vAlign w:val="bottom"/>
            <w:shd w:val="clear" w:color="auto" w:fill="CCECFF"/>
          </w:tcPr>
          <w:p>
            <w:pPr>
              <w:spacing w:after="0"/>
              <w:rPr>
                <w:sz w:val="14"/>
                <w:szCs w:val="14"/>
                <w:color w:val="auto"/>
              </w:rPr>
            </w:pPr>
          </w:p>
        </w:tc>
        <w:tc>
          <w:tcPr>
            <w:tcW w:w="164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2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24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Fiscal 2021</w:t>
            </w: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100,000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1,746</w:t>
            </w:r>
          </w:p>
        </w:tc>
        <w:tc>
          <w:tcPr>
            <w:tcW w:w="420" w:type="dxa"/>
            <w:vAlign w:val="bottom"/>
          </w:tcPr>
          <w:p>
            <w:pPr>
              <w:spacing w:after="0"/>
              <w:rPr>
                <w:sz w:val="14"/>
                <w:szCs w:val="14"/>
                <w:color w:val="auto"/>
              </w:rPr>
            </w:pPr>
          </w:p>
        </w:tc>
        <w:tc>
          <w:tcPr>
            <w:tcW w:w="2420" w:type="dxa"/>
            <w:vAlign w:val="bottom"/>
          </w:tcPr>
          <w:p>
            <w:pPr>
              <w:ind w:left="2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70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2031 Asset-Backed Debt</w:t>
            </w:r>
          </w:p>
        </w:tc>
        <w:tc>
          <w:tcPr>
            <w:tcW w:w="320" w:type="dxa"/>
            <w:vAlign w:val="bottom"/>
            <w:shd w:val="clear" w:color="auto" w:fill="CCECFF"/>
          </w:tcPr>
          <w:p>
            <w:pPr>
              <w:spacing w:after="0"/>
              <w:rPr>
                <w:sz w:val="14"/>
                <w:szCs w:val="14"/>
                <w:color w:val="auto"/>
              </w:rPr>
            </w:pPr>
          </w:p>
        </w:tc>
        <w:tc>
          <w:tcPr>
            <w:tcW w:w="164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2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24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Fiscal 2021</w:t>
            </w: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228,000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1,746</w:t>
            </w:r>
          </w:p>
        </w:tc>
        <w:tc>
          <w:tcPr>
            <w:tcW w:w="420" w:type="dxa"/>
            <w:vAlign w:val="bottom"/>
          </w:tcPr>
          <w:p>
            <w:pPr>
              <w:spacing w:after="0"/>
              <w:rPr>
                <w:sz w:val="14"/>
                <w:szCs w:val="14"/>
                <w:color w:val="auto"/>
              </w:rPr>
            </w:pPr>
          </w:p>
        </w:tc>
        <w:tc>
          <w:tcPr>
            <w:tcW w:w="2420" w:type="dxa"/>
            <w:vAlign w:val="bottom"/>
          </w:tcPr>
          <w:p>
            <w:pPr>
              <w:ind w:left="2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700" w:type="dxa"/>
            <w:vAlign w:val="bottom"/>
            <w:shd w:val="clear" w:color="auto" w:fill="CCECFF"/>
          </w:tcPr>
          <w:p>
            <w:pPr>
              <w:spacing w:after="0"/>
              <w:rPr>
                <w:sz w:val="20"/>
                <w:szCs w:val="20"/>
                <w:color w:val="auto"/>
              </w:rPr>
            </w:pPr>
            <w:r>
              <w:rPr>
                <w:rFonts w:ascii="Arial" w:cs="Arial" w:eastAsia="Arial" w:hAnsi="Arial"/>
                <w:sz w:val="14"/>
                <w:szCs w:val="14"/>
                <w:color w:val="auto"/>
              </w:rPr>
              <w:t>Fiscal 2020</w:t>
            </w:r>
          </w:p>
        </w:tc>
        <w:tc>
          <w:tcPr>
            <w:tcW w:w="320" w:type="dxa"/>
            <w:vAlign w:val="bottom"/>
            <w:shd w:val="clear" w:color="auto" w:fill="CCECFF"/>
          </w:tcPr>
          <w:p>
            <w:pPr>
              <w:spacing w:after="0"/>
              <w:rPr>
                <w:sz w:val="14"/>
                <w:szCs w:val="14"/>
                <w:color w:val="auto"/>
              </w:rPr>
            </w:pPr>
          </w:p>
        </w:tc>
        <w:tc>
          <w:tcPr>
            <w:tcW w:w="164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228,000</w:t>
            </w:r>
          </w:p>
        </w:tc>
        <w:tc>
          <w:tcPr>
            <w:tcW w:w="4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1,677</w:t>
            </w:r>
          </w:p>
        </w:tc>
        <w:tc>
          <w:tcPr>
            <w:tcW w:w="420" w:type="dxa"/>
            <w:vAlign w:val="bottom"/>
            <w:shd w:val="clear" w:color="auto" w:fill="CCECFF"/>
          </w:tcPr>
          <w:p>
            <w:pPr>
              <w:spacing w:after="0"/>
              <w:rPr>
                <w:sz w:val="14"/>
                <w:szCs w:val="14"/>
                <w:color w:val="auto"/>
              </w:rPr>
            </w:pPr>
          </w:p>
        </w:tc>
        <w:tc>
          <w:tcPr>
            <w:tcW w:w="2420" w:type="dxa"/>
            <w:vAlign w:val="bottom"/>
            <w:shd w:val="clear" w:color="auto" w:fill="CCECFF"/>
          </w:tcPr>
          <w:p>
            <w:pPr>
              <w:ind w:left="2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2"/>
        </w:trPr>
        <w:tc>
          <w:tcPr>
            <w:tcW w:w="3700" w:type="dxa"/>
            <w:vAlign w:val="bottom"/>
          </w:tcPr>
          <w:p>
            <w:pPr>
              <w:spacing w:after="0"/>
              <w:rPr>
                <w:sz w:val="20"/>
                <w:szCs w:val="20"/>
                <w:color w:val="auto"/>
              </w:rPr>
            </w:pPr>
            <w:r>
              <w:rPr>
                <w:rFonts w:ascii="Arial" w:cs="Arial" w:eastAsia="Arial" w:hAnsi="Arial"/>
                <w:sz w:val="14"/>
                <w:szCs w:val="14"/>
                <w:color w:val="auto"/>
              </w:rPr>
              <w:t>Fiscal 2019</w:t>
            </w:r>
          </w:p>
        </w:tc>
        <w:tc>
          <w:tcPr>
            <w:tcW w:w="1960" w:type="dxa"/>
            <w:vAlign w:val="bottom"/>
            <w:gridSpan w:val="2"/>
          </w:tcPr>
          <w:p>
            <w:pPr>
              <w:jc w:val="right"/>
              <w:ind w:right="150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228,000</w:t>
            </w:r>
          </w:p>
        </w:tc>
        <w:tc>
          <w:tcPr>
            <w:tcW w:w="4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1,786</w:t>
            </w:r>
          </w:p>
        </w:tc>
        <w:tc>
          <w:tcPr>
            <w:tcW w:w="420" w:type="dxa"/>
            <w:vAlign w:val="bottom"/>
          </w:tcPr>
          <w:p>
            <w:pPr>
              <w:spacing w:after="0"/>
              <w:rPr>
                <w:sz w:val="15"/>
                <w:szCs w:val="15"/>
                <w:color w:val="auto"/>
              </w:rPr>
            </w:pPr>
          </w:p>
        </w:tc>
        <w:tc>
          <w:tcPr>
            <w:tcW w:w="2420" w:type="dxa"/>
            <w:vAlign w:val="bottom"/>
          </w:tcPr>
          <w:p>
            <w:pPr>
              <w:ind w:left="2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60" w:hanging="452"/>
        <w:spacing w:after="0" w:line="225" w:lineRule="auto"/>
        <w:tabs>
          <w:tab w:leader="none" w:pos="460" w:val="left"/>
        </w:tabs>
        <w:numPr>
          <w:ilvl w:val="0"/>
          <w:numId w:val="50"/>
        </w:numPr>
        <w:rPr>
          <w:rFonts w:ascii="Arial" w:cs="Arial" w:eastAsia="Arial" w:hAnsi="Arial"/>
          <w:sz w:val="20"/>
          <w:szCs w:val="20"/>
          <w:b w:val="1"/>
          <w:bCs w:val="1"/>
          <w:color w:val="auto"/>
          <w:vertAlign w:val="superscript"/>
        </w:rPr>
      </w:pPr>
      <w:r>
        <w:rPr>
          <w:rFonts w:ascii="Arial" w:cs="Arial" w:eastAsia="Arial" w:hAnsi="Arial"/>
          <w:sz w:val="12"/>
          <w:szCs w:val="12"/>
          <w:color w:val="auto"/>
        </w:rPr>
        <w:t>Total cost of each class of senior securities outstanding at the end of the period presented in thousands (000s).</w:t>
      </w:r>
    </w:p>
    <w:p>
      <w:pPr>
        <w:spacing w:after="0" w:line="122" w:lineRule="exact"/>
        <w:rPr>
          <w:rFonts w:ascii="Arial" w:cs="Arial" w:eastAsia="Arial" w:hAnsi="Arial"/>
          <w:sz w:val="20"/>
          <w:szCs w:val="20"/>
          <w:b w:val="1"/>
          <w:bCs w:val="1"/>
          <w:color w:val="auto"/>
          <w:vertAlign w:val="superscript"/>
        </w:rPr>
      </w:pPr>
    </w:p>
    <w:p>
      <w:pPr>
        <w:ind w:left="460" w:right="240" w:hanging="452"/>
        <w:spacing w:after="0" w:line="184" w:lineRule="auto"/>
        <w:tabs>
          <w:tab w:leader="none" w:pos="460" w:val="left"/>
        </w:tabs>
        <w:numPr>
          <w:ilvl w:val="0"/>
          <w:numId w:val="50"/>
        </w:numPr>
        <w:rPr>
          <w:rFonts w:ascii="Arial" w:cs="Arial" w:eastAsia="Arial" w:hAnsi="Arial"/>
          <w:sz w:val="20"/>
          <w:szCs w:val="20"/>
          <w:b w:val="1"/>
          <w:bCs w:val="1"/>
          <w:color w:val="auto"/>
          <w:vertAlign w:val="superscript"/>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41" w:lineRule="exact"/>
        <w:rPr>
          <w:rFonts w:ascii="Arial" w:cs="Arial" w:eastAsia="Arial" w:hAnsi="Arial"/>
          <w:sz w:val="20"/>
          <w:szCs w:val="20"/>
          <w:b w:val="1"/>
          <w:bCs w:val="1"/>
          <w:color w:val="auto"/>
          <w:vertAlign w:val="superscript"/>
        </w:rPr>
      </w:pPr>
    </w:p>
    <w:p>
      <w:pPr>
        <w:ind w:left="460" w:hanging="452"/>
        <w:spacing w:after="0"/>
        <w:tabs>
          <w:tab w:leader="none" w:pos="460" w:val="left"/>
        </w:tabs>
        <w:numPr>
          <w:ilvl w:val="0"/>
          <w:numId w:val="50"/>
        </w:numPr>
        <w:rPr>
          <w:rFonts w:ascii="Arial" w:cs="Arial" w:eastAsia="Arial" w:hAnsi="Arial"/>
          <w:sz w:val="20"/>
          <w:szCs w:val="20"/>
          <w:b w:val="1"/>
          <w:bCs w:val="1"/>
          <w:color w:val="auto"/>
          <w:vertAlign w:val="superscript"/>
        </w:rPr>
      </w:pPr>
      <w:r>
        <w:rPr>
          <w:rFonts w:ascii="Arial" w:cs="Arial" w:eastAsia="Arial" w:hAnsi="Arial"/>
          <w:sz w:val="12"/>
          <w:szCs w:val="12"/>
          <w:color w:val="auto"/>
        </w:rPr>
        <w:t>Not applicable, as senior securities are not registered for public trading in the United States of America.</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September 30, 2021 and 2020, PSSL had total assets of $603.6 million and $406.4 million, respectively. As of the same dates, we and Kemper had remaining commitments to fund first lien secured debt and equity interests in PSSL in an aggregate amount of $48.0 million and $25.3 million, respectively. PSSL invests in portfolio companies in the same industries in which we may directly invest.</w:t>
      </w:r>
    </w:p>
    <w:p>
      <w:pPr>
        <w:spacing w:after="0" w:line="90"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September 30, 2021 and 2020, we and Kemper owned 87.5% and 12.5%, respectively, of each of the outstanding first lien secured debt and equity interests. As of the same dates, our investment made in PSSL consisted of first lien secured debt of $140.9 million (additional $29.4 million unfunded) and $125.4 million (additional $15.5 million unfunded), respectively, and equity interests of $60.4 million (additional $12.6 million unfunded) and $53.7 million (additional $6.6 million unfunded), respectively.</w:t>
      </w:r>
    </w:p>
    <w:p>
      <w:pPr>
        <w:spacing w:after="0" w:line="117"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Additionally, PSSL entered into a $155.0 million senior secured revolving credit facility which bears interest at LIBOR (or an alternative risk-free floating interest rate index) plus 260 basis points, or the PSSL Credit Facility, with Ally Bank. through its wholly-owned subsidiary, PennantPark Senior Secured Loan Facility LLC, or PSSL Subsidiary, subject to leverage and borrowing base restrictions.</w:t>
      </w:r>
    </w:p>
    <w:p>
      <w:pPr>
        <w:spacing w:after="0" w:line="115"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September 30, 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September 30, 2020</w:t>
            </w:r>
          </w:p>
        </w:tc>
        <w:tc>
          <w:tcPr>
            <w:tcW w:w="20" w:type="dxa"/>
            <w:vAlign w:val="bottom"/>
          </w:tcPr>
          <w:p>
            <w:pPr>
              <w:spacing w:after="0"/>
              <w:rPr>
                <w:sz w:val="14"/>
                <w:szCs w:val="14"/>
                <w:color w:val="auto"/>
              </w:rPr>
            </w:pPr>
          </w:p>
        </w:tc>
      </w:tr>
      <w:tr>
        <w:trPr>
          <w:trHeight w:val="155"/>
        </w:trPr>
        <w:tc>
          <w:tcPr>
            <w:tcW w:w="45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31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564,783,128</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392,986,090</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Weighted average cost yield on income producing investments</w:t>
            </w: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6.8%</w:t>
            </w: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3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3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18,932,630</w:t>
            </w:r>
          </w:p>
        </w:tc>
        <w:tc>
          <w:tcPr>
            <w:tcW w:w="220" w:type="dxa"/>
            <w:vAlign w:val="bottom"/>
          </w:tcPr>
          <w:p>
            <w:pPr>
              <w:spacing w:after="0"/>
              <w:rPr>
                <w:sz w:val="14"/>
                <w:szCs w:val="14"/>
                <w:color w:val="auto"/>
              </w:rPr>
            </w:pP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20,614,860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3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84,287,460</w:t>
            </w:r>
          </w:p>
        </w:tc>
        <w:tc>
          <w:tcPr>
            <w:tcW w:w="220" w:type="dxa"/>
            <w:vAlign w:val="bottom"/>
            <w:shd w:val="clear" w:color="auto" w:fill="CCECFF"/>
          </w:tcPr>
          <w:p>
            <w:pPr>
              <w:spacing w:after="0"/>
              <w:rPr>
                <w:sz w:val="14"/>
                <w:szCs w:val="14"/>
                <w:color w:val="auto"/>
              </w:rPr>
            </w:pPr>
          </w:p>
        </w:tc>
        <w:tc>
          <w:tcPr>
            <w:tcW w:w="220" w:type="dxa"/>
            <w:vAlign w:val="bottom"/>
            <w:gridSpan w:val="2"/>
            <w:shd w:val="clear" w:color="auto" w:fill="CCECFF"/>
          </w:tcPr>
          <w:p>
            <w:pPr>
              <w:jc w:val="right"/>
              <w:ind w:right="9"/>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93,320,993</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825"/>
        </w:trPr>
        <w:tc>
          <w:tcPr>
            <w:tcW w:w="4580" w:type="dxa"/>
            <w:vAlign w:val="bottom"/>
          </w:tcPr>
          <w:p>
            <w:pPr>
              <w:spacing w:after="0"/>
              <w:rPr>
                <w:sz w:val="24"/>
                <w:szCs w:val="24"/>
                <w:color w:val="auto"/>
              </w:rPr>
            </w:pPr>
          </w:p>
        </w:tc>
        <w:tc>
          <w:tcPr>
            <w:tcW w:w="3100" w:type="dxa"/>
            <w:vAlign w:val="bottom"/>
          </w:tcPr>
          <w:p>
            <w:pPr>
              <w:jc w:val="right"/>
              <w:ind w:right="1908"/>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58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51" w:name="page52"/>
    <w:bookmarkEnd w:id="51"/>
    <w:p>
      <w:pPr>
        <w:ind w:left="440"/>
        <w:spacing w:after="0"/>
        <w:rPr>
          <w:sz w:val="20"/>
          <w:szCs w:val="20"/>
          <w:color w:val="auto"/>
        </w:rPr>
      </w:pPr>
      <w:r>
        <w:rPr>
          <w:rFonts w:ascii="Arial" w:cs="Arial" w:eastAsia="Arial" w:hAnsi="Arial"/>
          <w:sz w:val="14"/>
          <w:szCs w:val="14"/>
          <w:color w:val="auto"/>
        </w:rPr>
        <w:t>Below is a listing of PSSL’s individual investments as of September 30,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10"/>
                <w:szCs w:val="10"/>
                <w:color w:val="auto"/>
              </w:rPr>
            </w:pPr>
          </w:p>
        </w:tc>
        <w:tc>
          <w:tcPr>
            <w:tcW w:w="9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Maturity</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Coupon</w:t>
            </w:r>
          </w:p>
        </w:tc>
        <w:tc>
          <w:tcPr>
            <w:tcW w:w="14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Cost</w:t>
            </w: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9"/>
                <w:szCs w:val="9"/>
                <w:b w:val="1"/>
                <w:bCs w:val="1"/>
                <w:color w:val="auto"/>
              </w:rPr>
              <w:t>(2)</w:t>
            </w:r>
          </w:p>
        </w:tc>
      </w:tr>
      <w:tr>
        <w:trPr>
          <w:trHeight w:val="128"/>
        </w:trPr>
        <w:tc>
          <w:tcPr>
            <w:tcW w:w="30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First Lien Secured Debt - 1,088.%</w:t>
            </w: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Ad.net Acquisition,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05/06/2026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8,977,500</w:t>
            </w:r>
          </w:p>
        </w:tc>
        <w:tc>
          <w:tcPr>
            <w:tcW w:w="3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8,851,554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8,842,838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Altamira Technologies,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07/24/2025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L+700</w:t>
            </w:r>
          </w:p>
        </w:tc>
        <w:tc>
          <w:tcPr>
            <w:tcW w:w="680" w:type="dxa"/>
            <w:vAlign w:val="bottom"/>
          </w:tcPr>
          <w:p>
            <w:pPr>
              <w:jc w:val="right"/>
              <w:spacing w:after="0"/>
              <w:rPr>
                <w:sz w:val="20"/>
                <w:szCs w:val="20"/>
                <w:color w:val="auto"/>
              </w:rPr>
            </w:pPr>
            <w:r>
              <w:rPr>
                <w:rFonts w:ascii="Arial" w:cs="Arial" w:eastAsia="Arial" w:hAnsi="Arial"/>
                <w:sz w:val="11"/>
                <w:szCs w:val="11"/>
                <w:color w:val="auto"/>
              </w:rPr>
              <w:t>5,525,093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5,375,682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5,179,775</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American Insulated Glass,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12/21/2023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Building Products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5,720,691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5,653,291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5,663,484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Apex Service Partners,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07/31/2025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1,020,636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1,020,636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1,010,430</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Apex Service Partners, LLC Term Loan B</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07/31/2025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2,222,284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2,222,284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2,200,061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Apex Service Partners, LLC Term Loan 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07/31/2025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L+525</w:t>
            </w:r>
          </w:p>
        </w:tc>
        <w:tc>
          <w:tcPr>
            <w:tcW w:w="680" w:type="dxa"/>
            <w:vAlign w:val="bottom"/>
          </w:tcPr>
          <w:p>
            <w:pPr>
              <w:jc w:val="right"/>
              <w:spacing w:after="0"/>
              <w:rPr>
                <w:sz w:val="20"/>
                <w:szCs w:val="20"/>
                <w:color w:val="auto"/>
              </w:rPr>
            </w:pPr>
            <w:r>
              <w:rPr>
                <w:rFonts w:ascii="Arial" w:cs="Arial" w:eastAsia="Arial" w:hAnsi="Arial"/>
                <w:sz w:val="11"/>
                <w:szCs w:val="11"/>
                <w:color w:val="auto"/>
              </w:rPr>
              <w:t>4,173,913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4,103,292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4,132,174</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Applied Technical Services,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12/29/2026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4,511,364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4,419,019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4,421,136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05/16/2022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12,879,690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12,868,714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12,879,690</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11/14/2023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9.50%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L+850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12,281,867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12,231,080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11,980,961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(PIK 9.50%)</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Cano Health</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11/23/2027</w:t>
            </w:r>
          </w:p>
        </w:tc>
        <w:tc>
          <w:tcPr>
            <w:tcW w:w="1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Healthcare, Education &amp; Childcare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2,653,333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2,646,700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2,654,448</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CHA Holdings,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04/10/2025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Construction and Engineering</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5,614,627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5,518,856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5,530,408</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tcPr>
          <w:p>
            <w:pPr>
              <w:spacing w:after="0"/>
              <w:rPr>
                <w:sz w:val="20"/>
                <w:szCs w:val="20"/>
                <w:color w:val="auto"/>
              </w:rPr>
            </w:pPr>
            <w:r>
              <w:rPr>
                <w:rFonts w:ascii="Arial" w:cs="Arial" w:eastAsia="Arial" w:hAnsi="Arial"/>
                <w:sz w:val="11"/>
                <w:szCs w:val="11"/>
                <w:color w:val="auto"/>
              </w:rPr>
              <w:t>Challenger Performance Optimization,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08/31/2023</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L+675</w:t>
            </w:r>
          </w:p>
        </w:tc>
        <w:tc>
          <w:tcPr>
            <w:tcW w:w="680" w:type="dxa"/>
            <w:vAlign w:val="bottom"/>
          </w:tcPr>
          <w:p>
            <w:pPr>
              <w:jc w:val="right"/>
              <w:spacing w:after="0"/>
              <w:rPr>
                <w:sz w:val="20"/>
                <w:szCs w:val="20"/>
                <w:color w:val="auto"/>
              </w:rPr>
            </w:pPr>
            <w:r>
              <w:rPr>
                <w:rFonts w:ascii="Arial" w:cs="Arial" w:eastAsia="Arial" w:hAnsi="Arial"/>
                <w:sz w:val="11"/>
                <w:szCs w:val="11"/>
                <w:color w:val="auto"/>
              </w:rPr>
              <w:t>9,500,705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9,453,659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9,215,683</w:t>
            </w:r>
          </w:p>
        </w:tc>
        <w:tc>
          <w:tcPr>
            <w:tcW w:w="120" w:type="dxa"/>
            <w:vAlign w:val="bottom"/>
          </w:tcPr>
          <w:p>
            <w:pPr>
              <w:spacing w:after="0"/>
              <w:rPr>
                <w:sz w:val="12"/>
                <w:szCs w:val="12"/>
                <w:color w:val="auto"/>
              </w:rPr>
            </w:pPr>
          </w:p>
        </w:tc>
      </w:tr>
      <w:tr>
        <w:trPr>
          <w:trHeight w:val="131"/>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1.00%)</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Connatix Buyer,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07/13/2027</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3,921,757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3,920,000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CoolSys,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08/04/2028</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L+475</w:t>
            </w:r>
          </w:p>
        </w:tc>
        <w:tc>
          <w:tcPr>
            <w:tcW w:w="680" w:type="dxa"/>
            <w:vAlign w:val="bottom"/>
          </w:tcPr>
          <w:p>
            <w:pPr>
              <w:jc w:val="right"/>
              <w:spacing w:after="0"/>
              <w:rPr>
                <w:sz w:val="20"/>
                <w:szCs w:val="20"/>
                <w:color w:val="auto"/>
              </w:rPr>
            </w:pPr>
            <w:r>
              <w:rPr>
                <w:rFonts w:ascii="Arial" w:cs="Arial" w:eastAsia="Arial" w:hAnsi="Arial"/>
                <w:sz w:val="11"/>
                <w:szCs w:val="11"/>
                <w:color w:val="auto"/>
              </w:rPr>
              <w:t>1,909,091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1,890,159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1,913,864</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Crane 1 Services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08/16/2027</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2,131,579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2,100,271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2,110,264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Crash Champions,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08/05/2025</w:t>
            </w:r>
          </w:p>
        </w:tc>
        <w:tc>
          <w:tcPr>
            <w:tcW w:w="1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Automobiles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8,977,500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8,801,543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8,797,950</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Digital Room Holdings,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05/22/2026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5.08%</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3,228,001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3,111,026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3,186,037</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8,746,050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8,694,764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8,746,050</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7,323,008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7,278,084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7,323,008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Dr. Squatch, LLC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8/27/2026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Personal Products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9,803,125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9,800,000</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DRS Holdings III, Inc.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11/03/2025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15,675,682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15,584,366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15,565,952</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tcPr>
          <w:p>
            <w:pPr>
              <w:spacing w:after="0"/>
              <w:rPr>
                <w:sz w:val="20"/>
                <w:szCs w:val="20"/>
                <w:color w:val="auto"/>
              </w:rPr>
            </w:pPr>
            <w:r>
              <w:rPr>
                <w:rFonts w:ascii="Arial" w:cs="Arial" w:eastAsia="Arial" w:hAnsi="Arial"/>
                <w:sz w:val="11"/>
                <w:szCs w:val="11"/>
                <w:color w:val="auto"/>
              </w:rPr>
              <w:t>East Valley Tourist Development Authority</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03/07/2022</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9.00%</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L+800</w:t>
            </w:r>
          </w:p>
        </w:tc>
        <w:tc>
          <w:tcPr>
            <w:tcW w:w="680" w:type="dxa"/>
            <w:vAlign w:val="bottom"/>
          </w:tcPr>
          <w:p>
            <w:pPr>
              <w:jc w:val="right"/>
              <w:spacing w:after="0"/>
              <w:rPr>
                <w:sz w:val="20"/>
                <w:szCs w:val="20"/>
                <w:color w:val="auto"/>
              </w:rPr>
            </w:pPr>
            <w:r>
              <w:rPr>
                <w:rFonts w:ascii="Arial" w:cs="Arial" w:eastAsia="Arial" w:hAnsi="Arial"/>
                <w:sz w:val="11"/>
                <w:szCs w:val="11"/>
                <w:color w:val="auto"/>
              </w:rPr>
              <w:t>5,719,009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5,624,041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5,633,224</w:t>
            </w:r>
          </w:p>
        </w:tc>
        <w:tc>
          <w:tcPr>
            <w:tcW w:w="120" w:type="dxa"/>
            <w:vAlign w:val="bottom"/>
          </w:tcPr>
          <w:p>
            <w:pPr>
              <w:spacing w:after="0"/>
              <w:rPr>
                <w:sz w:val="12"/>
                <w:szCs w:val="12"/>
                <w:color w:val="auto"/>
              </w:rPr>
            </w:pPr>
          </w:p>
        </w:tc>
      </w:tr>
      <w:tr>
        <w:trPr>
          <w:trHeight w:val="131"/>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3.50%)</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ECL Entertainment,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03/312028</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L+750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2,647,212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2,621,341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2,706,774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ECM Industries,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12/23/2025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L+450</w:t>
            </w:r>
          </w:p>
        </w:tc>
        <w:tc>
          <w:tcPr>
            <w:tcW w:w="680" w:type="dxa"/>
            <w:vAlign w:val="bottom"/>
          </w:tcPr>
          <w:p>
            <w:pPr>
              <w:jc w:val="right"/>
              <w:spacing w:after="0"/>
              <w:rPr>
                <w:sz w:val="20"/>
                <w:szCs w:val="20"/>
                <w:color w:val="auto"/>
              </w:rPr>
            </w:pPr>
            <w:r>
              <w:rPr>
                <w:rFonts w:ascii="Arial" w:cs="Arial" w:eastAsia="Arial" w:hAnsi="Arial"/>
                <w:sz w:val="11"/>
                <w:szCs w:val="11"/>
                <w:color w:val="auto"/>
              </w:rPr>
              <w:t>4,994,355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4,994,355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4,894,468</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Fairbanks More Defense</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06/17/2028</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L+475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9,954,660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10,000,000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FlexPrint,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01/02/2024</w:t>
            </w:r>
          </w:p>
        </w:tc>
        <w:tc>
          <w:tcPr>
            <w:tcW w:w="1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6.02%</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L+590</w:t>
            </w:r>
          </w:p>
        </w:tc>
        <w:tc>
          <w:tcPr>
            <w:tcW w:w="680" w:type="dxa"/>
            <w:vAlign w:val="bottom"/>
          </w:tcPr>
          <w:p>
            <w:pPr>
              <w:jc w:val="right"/>
              <w:spacing w:after="0"/>
              <w:rPr>
                <w:sz w:val="20"/>
                <w:szCs w:val="20"/>
                <w:color w:val="auto"/>
              </w:rPr>
            </w:pPr>
            <w:r>
              <w:rPr>
                <w:rFonts w:ascii="Arial" w:cs="Arial" w:eastAsia="Arial" w:hAnsi="Arial"/>
                <w:sz w:val="11"/>
                <w:szCs w:val="11"/>
                <w:color w:val="auto"/>
              </w:rPr>
              <w:t>4,769,595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4,732,000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4,745,747</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Gantech Acquisition Corp.</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05/14/2026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IT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14,925,000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14,648,015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14,626,500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Global Holdings InterCo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03/16/2026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Diversified Financial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3,967,531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3,947,994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3,947,694</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Graffiti Buyer,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08/10/2027</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Trding Companies &amp; Distributors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2,392,857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2,345,748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2,356,964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Hancock Roofing and Construction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12/31/2026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2,481,250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2,424,925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2,456,438</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Holdco Sands Intermediate,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12/19/2025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6,473,725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6,407,142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6,441,356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IMIA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04/09/2027</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13,589,144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13,338,397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13,317,361</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11,566,905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11,527,975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11,566,905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K2 Pure Solutions NoCal, L.P.</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12/20/2023</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L+700</w:t>
            </w:r>
          </w:p>
        </w:tc>
        <w:tc>
          <w:tcPr>
            <w:tcW w:w="680" w:type="dxa"/>
            <w:vAlign w:val="bottom"/>
          </w:tcPr>
          <w:p>
            <w:pPr>
              <w:jc w:val="right"/>
              <w:spacing w:after="0"/>
              <w:rPr>
                <w:sz w:val="20"/>
                <w:szCs w:val="20"/>
                <w:color w:val="auto"/>
              </w:rPr>
            </w:pPr>
            <w:r>
              <w:rPr>
                <w:rFonts w:ascii="Arial" w:cs="Arial" w:eastAsia="Arial" w:hAnsi="Arial"/>
                <w:sz w:val="11"/>
                <w:szCs w:val="11"/>
                <w:color w:val="auto"/>
              </w:rPr>
              <w:t>19,450,000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19,192,725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18,932,630</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10/31/2024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L+750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10,491,277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10,435,348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9,833,474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(PIK 1.00%)</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Lightspeed Buyer Inc.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02/3/2026</w:t>
            </w:r>
          </w:p>
        </w:tc>
        <w:tc>
          <w:tcPr>
            <w:tcW w:w="1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Healthcare Providers and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5,706,549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5,605,574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5,706,549</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Lucky Bucks,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07/20/2027</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Hotel, Gaming and Leisure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4,411,012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4,424,085</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tcPr>
          <w:p>
            <w:pPr>
              <w:spacing w:after="0"/>
              <w:rPr>
                <w:sz w:val="20"/>
                <w:szCs w:val="20"/>
                <w:color w:val="auto"/>
              </w:rPr>
            </w:pPr>
            <w:r>
              <w:rPr>
                <w:rFonts w:ascii="Arial" w:cs="Arial" w:eastAsia="Arial" w:hAnsi="Arial"/>
                <w:sz w:val="11"/>
                <w:szCs w:val="11"/>
                <w:color w:val="auto"/>
              </w:rPr>
              <w:t>Marketplace Events,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09/30/2025</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L+525</w:t>
            </w:r>
          </w:p>
        </w:tc>
        <w:tc>
          <w:tcPr>
            <w:tcW w:w="680" w:type="dxa"/>
            <w:vAlign w:val="bottom"/>
          </w:tcPr>
          <w:p>
            <w:pPr>
              <w:jc w:val="right"/>
              <w:spacing w:after="0"/>
              <w:rPr>
                <w:sz w:val="20"/>
                <w:szCs w:val="20"/>
                <w:color w:val="auto"/>
              </w:rPr>
            </w:pPr>
            <w:r>
              <w:rPr>
                <w:rFonts w:ascii="Arial" w:cs="Arial" w:eastAsia="Arial" w:hAnsi="Arial"/>
                <w:sz w:val="11"/>
                <w:szCs w:val="11"/>
                <w:color w:val="auto"/>
              </w:rPr>
              <w:t>617,487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617,487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617,487</w:t>
            </w:r>
          </w:p>
        </w:tc>
        <w:tc>
          <w:tcPr>
            <w:tcW w:w="120" w:type="dxa"/>
            <w:vAlign w:val="bottom"/>
          </w:tcPr>
          <w:p>
            <w:pPr>
              <w:spacing w:after="0"/>
              <w:rPr>
                <w:sz w:val="12"/>
                <w:szCs w:val="12"/>
                <w:color w:val="auto"/>
              </w:rPr>
            </w:pPr>
          </w:p>
        </w:tc>
      </w:tr>
      <w:tr>
        <w:trPr>
          <w:trHeight w:val="131"/>
        </w:trPr>
        <w:tc>
          <w:tcPr>
            <w:tcW w:w="3080" w:type="dxa"/>
            <w:vAlign w:val="bottom"/>
          </w:tcPr>
          <w:p>
            <w:pPr>
              <w:ind w:left="80"/>
              <w:spacing w:after="0"/>
              <w:rPr>
                <w:sz w:val="20"/>
                <w:szCs w:val="20"/>
                <w:color w:val="auto"/>
              </w:rPr>
            </w:pPr>
            <w:r>
              <w:rPr>
                <w:rFonts w:ascii="Arial" w:cs="Arial" w:eastAsia="Arial" w:hAnsi="Arial"/>
                <w:sz w:val="11"/>
                <w:szCs w:val="11"/>
                <w:color w:val="auto"/>
              </w:rPr>
              <w:t>Super Priority First Lien Term Loan</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6.25%)</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5"/>
        </w:trPr>
        <w:tc>
          <w:tcPr>
            <w:tcW w:w="3080" w:type="dxa"/>
            <w:vAlign w:val="bottom"/>
            <w:shd w:val="clear" w:color="auto" w:fill="CCECFF"/>
          </w:tcPr>
          <w:p>
            <w:pPr>
              <w:spacing w:after="0" w:line="125" w:lineRule="exact"/>
              <w:rPr>
                <w:sz w:val="20"/>
                <w:szCs w:val="20"/>
                <w:color w:val="auto"/>
              </w:rPr>
            </w:pPr>
            <w:r>
              <w:rPr>
                <w:rFonts w:ascii="Arial" w:cs="Arial" w:eastAsia="Arial" w:hAnsi="Arial"/>
                <w:sz w:val="11"/>
                <w:szCs w:val="11"/>
                <w:color w:val="auto"/>
                <w:w w:val="93"/>
              </w:rPr>
              <w:t>Marketplace Events, LLC - Super Priority First Lien Unfunded Term</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5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31"/>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Loan</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09/30/2025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589,122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Marketplace Events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09/30/2026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0.00%</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(3)</w:t>
            </w: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4,614,973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3,441,474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4,614,973</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Mars Acquisition Holdings Corp.</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05/14/2026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9,812,779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9,900,000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MBS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04/16/2027</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Internet Software and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7,481,250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7,337,843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7,331,625</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05/23/2024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Media: Advertising, Printing &amp; Publishing</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5,531,856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5,411,520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5,476,537</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Mission Critical Electronics,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09/28/2022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5,889,949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5,877,013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5,889,949</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NBH Group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08/19/2026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Healthcare, Education &amp; Culture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10,901,830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10,687,200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10,683,794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New Milani Group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06/06/2024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14,550,000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14,481,129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13,895,250</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OIS Management Services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07/09/2026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Healthcare Equipment and Supplies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L+475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1,995,000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1,965,911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1,965,075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One Stop Mailing,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05/07/2027</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Air Freight and Logistics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14,919,643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14,631,178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14,658,549</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Output Services Group,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03/27/2024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7,743,419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7,732,934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7,046,511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Ox Two,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05/18/2026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Construction and Building</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4,975,000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4,901,154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4,875,500</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PH Beauty Holdings III,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5.12%</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9,692,670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9,514,071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9,466,540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Plant Health Intermediate,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1,577,806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1,568,099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1,577,806</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PlayPower, Inc.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05/8/2026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5.63%</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3,805,440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3,719,648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3,735,687</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Recteq,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01/29/2026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Leisure Products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4,975,000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4,887,511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4,925,250</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w w:val="94"/>
              </w:rPr>
              <w:t>Research Now Group, Inc. and Survey Sampling International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10,679,701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10,591,506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10,543,962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Sales Benchmark Index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01/03/2025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Professional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5,578,331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5,495,801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5,438,872</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Sargent &amp; Greenleaf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5,549,876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5,492,898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5,549,876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Schlesinger Global,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07/14/2025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L+700</w:t>
            </w:r>
          </w:p>
        </w:tc>
        <w:tc>
          <w:tcPr>
            <w:tcW w:w="680" w:type="dxa"/>
            <w:vAlign w:val="bottom"/>
          </w:tcPr>
          <w:p>
            <w:pPr>
              <w:jc w:val="right"/>
              <w:spacing w:after="0"/>
              <w:rPr>
                <w:sz w:val="20"/>
                <w:szCs w:val="20"/>
                <w:color w:val="auto"/>
              </w:rPr>
            </w:pPr>
            <w:r>
              <w:rPr>
                <w:rFonts w:ascii="Arial" w:cs="Arial" w:eastAsia="Arial" w:hAnsi="Arial"/>
                <w:sz w:val="11"/>
                <w:szCs w:val="11"/>
                <w:color w:val="auto"/>
              </w:rPr>
              <w:t>11,784,634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11,760,259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11,254,326</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Smile Brands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10/14/2024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5.32%</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12,576,323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12,458,672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12,450,560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tcPr>
          <w:p>
            <w:pPr>
              <w:spacing w:after="0"/>
              <w:rPr>
                <w:sz w:val="20"/>
                <w:szCs w:val="20"/>
                <w:color w:val="auto"/>
              </w:rPr>
            </w:pPr>
            <w:r>
              <w:rPr>
                <w:rFonts w:ascii="Arial" w:cs="Arial" w:eastAsia="Arial" w:hAnsi="Arial"/>
                <w:sz w:val="11"/>
                <w:szCs w:val="11"/>
                <w:color w:val="auto"/>
              </w:rPr>
              <w:t>Snak Club,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07/19/2022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L+600</w:t>
            </w:r>
          </w:p>
        </w:tc>
        <w:tc>
          <w:tcPr>
            <w:tcW w:w="680" w:type="dxa"/>
            <w:vAlign w:val="bottom"/>
          </w:tcPr>
          <w:p>
            <w:pPr>
              <w:jc w:val="right"/>
              <w:spacing w:after="0"/>
              <w:rPr>
                <w:sz w:val="20"/>
                <w:szCs w:val="20"/>
                <w:color w:val="auto"/>
              </w:rPr>
            </w:pPr>
            <w:r>
              <w:rPr>
                <w:rFonts w:ascii="Arial" w:cs="Arial" w:eastAsia="Arial" w:hAnsi="Arial"/>
                <w:sz w:val="11"/>
                <w:szCs w:val="11"/>
                <w:color w:val="auto"/>
              </w:rPr>
              <w:t>4,388,056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4,361,678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4,388,056</w:t>
            </w:r>
          </w:p>
        </w:tc>
        <w:tc>
          <w:tcPr>
            <w:tcW w:w="120" w:type="dxa"/>
            <w:vAlign w:val="bottom"/>
          </w:tcPr>
          <w:p>
            <w:pPr>
              <w:spacing w:after="0"/>
              <w:rPr>
                <w:sz w:val="11"/>
                <w:szCs w:val="11"/>
                <w:color w:val="auto"/>
              </w:rPr>
            </w:pPr>
          </w:p>
        </w:tc>
      </w:tr>
      <w:tr>
        <w:trPr>
          <w:trHeight w:val="135"/>
        </w:trPr>
        <w:tc>
          <w:tcPr>
            <w:tcW w:w="3080" w:type="dxa"/>
            <w:vAlign w:val="bottom"/>
            <w:shd w:val="clear" w:color="auto" w:fill="CCECFF"/>
          </w:tcPr>
          <w:p>
            <w:pPr>
              <w:spacing w:after="0"/>
              <w:rPr>
                <w:sz w:val="20"/>
                <w:szCs w:val="20"/>
                <w:color w:val="auto"/>
              </w:rPr>
            </w:pPr>
            <w:r>
              <w:rPr>
                <w:rFonts w:ascii="Arial" w:cs="Arial" w:eastAsia="Arial" w:hAnsi="Arial"/>
                <w:sz w:val="11"/>
                <w:szCs w:val="11"/>
                <w:color w:val="auto"/>
              </w:rPr>
              <w:t>Solutionreach,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01/17/2024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5,892,286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5,854,034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5,892,286</w:t>
            </w:r>
          </w:p>
        </w:tc>
        <w:tc>
          <w:tcPr>
            <w:tcW w:w="120" w:type="dxa"/>
            <w:vAlign w:val="bottom"/>
            <w:shd w:val="clear" w:color="auto" w:fill="CCECFF"/>
          </w:tcPr>
          <w:p>
            <w:pPr>
              <w:spacing w:after="0"/>
              <w:rPr>
                <w:sz w:val="11"/>
                <w:szCs w:val="1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auto"/>
        </w:rPr>
        <w:t>Below is a listing of PSSL’s individual investments as of September 30, 2021(continued):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13455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120" w:type="dxa"/>
            <w:vAlign w:val="bottom"/>
            <w:tcBorders>
              <w:top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Spread</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Above</w:t>
            </w:r>
          </w:p>
        </w:tc>
        <w:tc>
          <w:tcPr>
            <w:tcW w:w="1020" w:type="dxa"/>
            <w:vAlign w:val="bottom"/>
            <w:gridSpan w:val="3"/>
          </w:tcPr>
          <w:p>
            <w:pPr>
              <w:jc w:val="right"/>
              <w:ind w:right="560"/>
              <w:spacing w:after="0" w:line="122" w:lineRule="exact"/>
              <w:rPr>
                <w:sz w:val="20"/>
                <w:szCs w:val="20"/>
                <w:color w:val="auto"/>
              </w:rPr>
            </w:pPr>
            <w:r>
              <w:rPr>
                <w:rFonts w:ascii="Arial" w:cs="Arial" w:eastAsia="Arial" w:hAnsi="Arial"/>
                <w:sz w:val="11"/>
                <w:szCs w:val="11"/>
                <w:b w:val="1"/>
                <w:bCs w:val="1"/>
                <w:color w:val="auto"/>
              </w:rPr>
              <w:t>Par /</w:t>
            </w: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7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Spectacle Gary Holdings, LLC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12/23/2025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Hotels, Restaurants and Leisure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1M L+900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4,389,000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4,505,648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4,764,830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STV Group Incorporated</w:t>
            </w:r>
          </w:p>
        </w:tc>
        <w:tc>
          <w:tcPr>
            <w:tcW w:w="540" w:type="dxa"/>
            <w:vAlign w:val="bottom"/>
          </w:tcPr>
          <w:p>
            <w:pPr>
              <w:jc w:val="center"/>
              <w:spacing w:after="0"/>
              <w:rPr>
                <w:sz w:val="20"/>
                <w:szCs w:val="20"/>
                <w:color w:val="auto"/>
              </w:rPr>
            </w:pPr>
            <w:r>
              <w:rPr>
                <w:rFonts w:ascii="Arial" w:cs="Arial" w:eastAsia="Arial" w:hAnsi="Arial"/>
                <w:sz w:val="11"/>
                <w:szCs w:val="11"/>
                <w:color w:val="auto"/>
                <w:w w:val="87"/>
              </w:rPr>
              <w:t>12/11/2026</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Construction and Building</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5.33%</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9,075,412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9,003,666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9,030,035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TAC LifePort Purchaser, LLC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03/01/2026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4,860,463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4,948,403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TeleGuam Holdings, LLC</w:t>
            </w:r>
          </w:p>
        </w:tc>
        <w:tc>
          <w:tcPr>
            <w:tcW w:w="540" w:type="dxa"/>
            <w:vAlign w:val="bottom"/>
          </w:tcPr>
          <w:p>
            <w:pPr>
              <w:jc w:val="center"/>
              <w:spacing w:after="0"/>
              <w:rPr>
                <w:sz w:val="20"/>
                <w:szCs w:val="20"/>
                <w:color w:val="auto"/>
              </w:rPr>
            </w:pPr>
            <w:r>
              <w:rPr>
                <w:rFonts w:ascii="Arial" w:cs="Arial" w:eastAsia="Arial" w:hAnsi="Arial"/>
                <w:sz w:val="11"/>
                <w:szCs w:val="11"/>
                <w:color w:val="auto"/>
                <w:w w:val="87"/>
              </w:rPr>
              <w:t>11/20/2025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Telecommunications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1M L+450</w:t>
            </w:r>
          </w:p>
        </w:tc>
        <w:tc>
          <w:tcPr>
            <w:tcW w:w="680" w:type="dxa"/>
            <w:vAlign w:val="bottom"/>
          </w:tcPr>
          <w:p>
            <w:pPr>
              <w:jc w:val="right"/>
              <w:spacing w:after="0"/>
              <w:rPr>
                <w:sz w:val="20"/>
                <w:szCs w:val="20"/>
                <w:color w:val="auto"/>
              </w:rPr>
            </w:pPr>
            <w:r>
              <w:rPr>
                <w:rFonts w:ascii="Arial" w:cs="Arial" w:eastAsia="Arial" w:hAnsi="Arial"/>
                <w:sz w:val="11"/>
                <w:szCs w:val="11"/>
                <w:color w:val="auto"/>
              </w:rPr>
              <w:t>10,337,380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10,312,931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10,234,006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07/18/2025</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1M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2,309,486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2,306,149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2,296,969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The Aegis Technologies Group, LLC</w:t>
            </w: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10/31/2025</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6.77%</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5,713,461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5,633,702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5,656,327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The Bluebird Group LLC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07/27/2026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Professional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3M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1,743,846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1,709,872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1,732,860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The Infosoft Group, LLC</w:t>
            </w: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09/16/2024</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6M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13,383,253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13,375,955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13,383,253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The Vertex Companies, LLC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08/30/2027</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Construction and Engineering</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6M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5,634,134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5,523,212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5,528,647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TPC Canada Parent, Inc. and TPC US Parent, LLC</w:t>
            </w:r>
          </w:p>
        </w:tc>
        <w:tc>
          <w:tcPr>
            <w:tcW w:w="540" w:type="dxa"/>
            <w:vAlign w:val="bottom"/>
          </w:tcPr>
          <w:p>
            <w:pPr>
              <w:jc w:val="center"/>
              <w:spacing w:after="0"/>
              <w:rPr>
                <w:sz w:val="20"/>
                <w:szCs w:val="20"/>
                <w:color w:val="auto"/>
              </w:rPr>
            </w:pPr>
            <w:r>
              <w:rPr>
                <w:rFonts w:ascii="Arial" w:cs="Arial" w:eastAsia="Arial" w:hAnsi="Arial"/>
                <w:sz w:val="11"/>
                <w:szCs w:val="11"/>
                <w:color w:val="auto"/>
                <w:w w:val="87"/>
              </w:rPr>
              <w:t>11/24/2025</w:t>
            </w:r>
          </w:p>
        </w:tc>
        <w:tc>
          <w:tcPr>
            <w:tcW w:w="2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3M L+525</w:t>
            </w:r>
          </w:p>
        </w:tc>
        <w:tc>
          <w:tcPr>
            <w:tcW w:w="680" w:type="dxa"/>
            <w:vAlign w:val="bottom"/>
          </w:tcPr>
          <w:p>
            <w:pPr>
              <w:jc w:val="right"/>
              <w:spacing w:after="0"/>
              <w:rPr>
                <w:sz w:val="20"/>
                <w:szCs w:val="20"/>
                <w:color w:val="auto"/>
              </w:rPr>
            </w:pPr>
            <w:r>
              <w:rPr>
                <w:rFonts w:ascii="Arial" w:cs="Arial" w:eastAsia="Arial" w:hAnsi="Arial"/>
                <w:sz w:val="11"/>
                <w:szCs w:val="11"/>
                <w:color w:val="auto"/>
              </w:rPr>
              <w:t>8,834,066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8,654,973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8,569,044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03/26/2026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Diversified Consumer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1M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8,558,226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8,593,467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8,558,226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TWS Acquisition Corporation</w:t>
            </w: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06/16/2025</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Diversified Consumer Services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6,636,062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6,598,947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6,636,062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Tyto Athene, LLC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08/27/2024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IT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11,442,500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11,334,186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11,442,500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UBEO, LLC</w:t>
            </w: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04/03/2024</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1M L+450</w:t>
            </w:r>
          </w:p>
        </w:tc>
        <w:tc>
          <w:tcPr>
            <w:tcW w:w="680" w:type="dxa"/>
            <w:vAlign w:val="bottom"/>
          </w:tcPr>
          <w:p>
            <w:pPr>
              <w:jc w:val="right"/>
              <w:spacing w:after="0"/>
              <w:rPr>
                <w:sz w:val="20"/>
                <w:szCs w:val="20"/>
                <w:color w:val="auto"/>
              </w:rPr>
            </w:pPr>
            <w:r>
              <w:rPr>
                <w:rFonts w:ascii="Arial" w:cs="Arial" w:eastAsia="Arial" w:hAnsi="Arial"/>
                <w:sz w:val="11"/>
                <w:szCs w:val="11"/>
                <w:color w:val="auto"/>
              </w:rPr>
              <w:t>17,571,320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17,457,179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17,483,464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08/30/2024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and Pharmaceuticals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11,030,410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10,848,799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10,975,256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Walker Edison Furniture Company LLC</w:t>
            </w: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03/31/2027</w:t>
            </w:r>
          </w:p>
        </w:tc>
        <w:tc>
          <w:tcPr>
            <w:tcW w:w="2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5"/>
              </w:rPr>
              <w:t>Wholesale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12,437,500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12,141,939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11,971,094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Wildcat Buyerco, Inc.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02/27/2026</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Electronic Equipment, Instruments, and Components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3M L+500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5,705,549</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5,655,884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5,678,016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First Lien Secured Debt</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558,879,885</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557,731,845</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gridSpan w:val="3"/>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 - 10.5%</w:t>
            </w: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0" w:type="dxa"/>
            <w:vAlign w:val="bottom"/>
            <w:gridSpan w:val="3"/>
          </w:tcPr>
          <w:p>
            <w:pPr>
              <w:spacing w:after="0"/>
              <w:rPr>
                <w:sz w:val="20"/>
                <w:szCs w:val="20"/>
                <w:color w:val="auto"/>
              </w:rPr>
            </w:pPr>
            <w:r>
              <w:rPr>
                <w:rFonts w:ascii="Arial" w:cs="Arial" w:eastAsia="Arial" w:hAnsi="Arial"/>
                <w:sz w:val="11"/>
                <w:szCs w:val="11"/>
                <w:color w:val="auto"/>
              </w:rPr>
              <w:t>DBI Intermediate Holdco, LLC, Term Loan B</w:t>
            </w: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02/02/2026</w:t>
            </w:r>
          </w:p>
        </w:tc>
        <w:tc>
          <w:tcPr>
            <w:tcW w:w="220" w:type="dxa"/>
            <w:vAlign w:val="bottom"/>
          </w:tcPr>
          <w:p>
            <w:pPr>
              <w:spacing w:after="0"/>
              <w:rPr>
                <w:sz w:val="12"/>
                <w:szCs w:val="12"/>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11.00%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2,434,333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2,434,333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2,434,333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(PIK 9.00%)</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Inventus Power, Inc.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09/29/2024</w:t>
            </w:r>
          </w:p>
        </w:tc>
        <w:tc>
          <w:tcPr>
            <w:tcW w:w="2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3M L+850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3,000,000</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2,946,584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2,940,000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Second Lien Secured Debt</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5,380,917</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5,374,333</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gridSpan w:val="3"/>
            <w:shd w:val="clear" w:color="auto" w:fill="CCECFF"/>
          </w:tcPr>
          <w:p>
            <w:pPr>
              <w:spacing w:after="0"/>
              <w:rPr>
                <w:sz w:val="20"/>
                <w:szCs w:val="20"/>
                <w:color w:val="auto"/>
              </w:rPr>
            </w:pPr>
            <w:r>
              <w:rPr>
                <w:rFonts w:ascii="Arial" w:cs="Arial" w:eastAsia="Arial" w:hAnsi="Arial"/>
                <w:sz w:val="12"/>
                <w:szCs w:val="12"/>
                <w:b w:val="1"/>
                <w:bCs w:val="1"/>
                <w:color w:val="auto"/>
              </w:rPr>
              <w:t>Equity Securities - 3.3%</w:t>
            </w: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DBI Intermediate Holdco, LLC, Series A-1</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13.00%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6,784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DBI Intermediate Holdco, LLC, Series AA</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7,007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6,731,347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1,314,706.0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DBI Intermediate Holdco, LLC, Series B</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New MPE Holdings, LLC</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Media: Diversified and Production</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362,244.0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Equity Securities</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12,002,178</w:t>
            </w:r>
          </w:p>
        </w:tc>
        <w:tc>
          <w:tcPr>
            <w:tcW w:w="22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1,676,950</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Investments - 1101.7%</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576,262,980</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564,783,128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0" w:type="dxa"/>
            <w:vAlign w:val="bottom"/>
            <w:gridSpan w:val="3"/>
          </w:tcPr>
          <w:p>
            <w:pPr>
              <w:spacing w:after="0"/>
              <w:rPr>
                <w:sz w:val="20"/>
                <w:szCs w:val="20"/>
                <w:color w:val="auto"/>
              </w:rPr>
            </w:pPr>
            <w:r>
              <w:rPr>
                <w:rFonts w:ascii="Arial" w:cs="Arial" w:eastAsia="Arial" w:hAnsi="Arial"/>
                <w:sz w:val="11"/>
                <w:szCs w:val="11"/>
                <w:b w:val="1"/>
                <w:bCs w:val="1"/>
                <w:color w:val="auto"/>
              </w:rPr>
              <w:t>Cash and Cash Equivalents - 55.3%</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28,190,894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28,190,894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US Bank Cash</w:t>
            </w: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195,787</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182,647</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28,386,681</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28,373,541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gridSpan w:val="3"/>
          </w:tcPr>
          <w:p>
            <w:pPr>
              <w:spacing w:after="0"/>
              <w:rPr>
                <w:sz w:val="20"/>
                <w:szCs w:val="20"/>
                <w:color w:val="auto"/>
              </w:rPr>
            </w:pPr>
            <w:r>
              <w:rPr>
                <w:rFonts w:ascii="Arial" w:cs="Arial" w:eastAsia="Arial" w:hAnsi="Arial"/>
                <w:sz w:val="11"/>
                <w:szCs w:val="11"/>
                <w:b w:val="1"/>
                <w:bCs w:val="1"/>
                <w:color w:val="auto"/>
              </w:rPr>
              <w:t>Total Investments and Cash Equivalents —1,157.1%</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604,649,661</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593,156,669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CFF"/>
            </w:tcBorders>
            <w:gridSpan w:val="3"/>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 — (1057.1)%</w:t>
            </w:r>
          </w:p>
        </w:tc>
        <w:tc>
          <w:tcPr>
            <w:tcW w:w="5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256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7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7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200" w:type="dxa"/>
            <w:vAlign w:val="bottom"/>
            <w:gridSpan w:val="3"/>
            <w:vMerge w:val="continue"/>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5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(541,892,538)</w:t>
            </w:r>
          </w:p>
        </w:tc>
        <w:tc>
          <w:tcPr>
            <w:tcW w:w="0" w:type="dxa"/>
            <w:vAlign w:val="bottom"/>
          </w:tcPr>
          <w:p>
            <w:pPr>
              <w:spacing w:after="0"/>
              <w:rPr>
                <w:sz w:val="1"/>
                <w:szCs w:val="1"/>
                <w:color w:val="auto"/>
              </w:rPr>
            </w:pPr>
          </w:p>
        </w:tc>
      </w:tr>
      <w:tr>
        <w:trPr>
          <w:trHeight w:val="128"/>
        </w:trPr>
        <w:tc>
          <w:tcPr>
            <w:tcW w:w="3200" w:type="dxa"/>
            <w:vAlign w:val="bottom"/>
            <w:gridSpan w:val="3"/>
          </w:tcPr>
          <w:p>
            <w:pPr>
              <w:spacing w:after="0"/>
              <w:rPr>
                <w:sz w:val="20"/>
                <w:szCs w:val="20"/>
                <w:color w:val="auto"/>
              </w:rPr>
            </w:pPr>
            <w:r>
              <w:rPr>
                <w:rFonts w:ascii="Arial" w:cs="Arial" w:eastAsia="Arial" w:hAnsi="Arial"/>
                <w:sz w:val="11"/>
                <w:szCs w:val="11"/>
                <w:b w:val="1"/>
                <w:bCs w:val="1"/>
                <w:color w:val="auto"/>
              </w:rPr>
              <w:t>Members' Equity—100.0%</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51,264,131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120" w:type="dxa"/>
            <w:vAlign w:val="bottom"/>
            <w:tcBorders>
              <w:bottom w:val="single" w:sz="8" w:color="auto"/>
            </w:tcBorders>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120" w:type="dxa"/>
            <w:vAlign w:val="bottom"/>
            <w:tcBorders>
              <w:bottom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120" w:type="dxa"/>
            <w:vAlign w:val="bottom"/>
            <w:tcBorders>
              <w:bottom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380" w:right="60" w:hanging="372"/>
        <w:spacing w:after="0" w:line="276" w:lineRule="auto"/>
        <w:tabs>
          <w:tab w:leader="none" w:pos="380" w:val="left"/>
        </w:tabs>
        <w:numPr>
          <w:ilvl w:val="0"/>
          <w:numId w:val="51"/>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Non-income producing security.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53" w:name="page54"/>
    <w:bookmarkEnd w:id="53"/>
    <w:p>
      <w:pPr>
        <w:ind w:left="440"/>
        <w:spacing w:after="0"/>
        <w:rPr>
          <w:sz w:val="20"/>
          <w:szCs w:val="20"/>
          <w:color w:val="auto"/>
        </w:rPr>
      </w:pPr>
      <w:r>
        <w:rPr>
          <w:rFonts w:ascii="Arial" w:cs="Arial" w:eastAsia="Arial" w:hAnsi="Arial"/>
          <w:sz w:val="14"/>
          <w:szCs w:val="14"/>
          <w:color w:val="auto"/>
        </w:rPr>
        <w:t>Below is a listing of PSSL’s individual investments as of September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10"/>
                <w:szCs w:val="10"/>
                <w:color w:val="auto"/>
              </w:rPr>
            </w:pPr>
          </w:p>
        </w:tc>
        <w:tc>
          <w:tcPr>
            <w:tcW w:w="1040" w:type="dxa"/>
            <w:vAlign w:val="bottom"/>
            <w:gridSpan w:val="4"/>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Maturity</w:t>
            </w:r>
          </w:p>
        </w:tc>
        <w:tc>
          <w:tcPr>
            <w:tcW w:w="2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Coupon</w:t>
            </w:r>
          </w:p>
        </w:tc>
        <w:tc>
          <w:tcPr>
            <w:tcW w:w="140" w:type="dxa"/>
            <w:vAlign w:val="bottom"/>
          </w:tcPr>
          <w:p>
            <w:pPr>
              <w:spacing w:after="0"/>
              <w:rPr>
                <w:sz w:val="11"/>
                <w:szCs w:val="11"/>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Par</w:t>
            </w:r>
          </w:p>
        </w:tc>
        <w:tc>
          <w:tcPr>
            <w:tcW w:w="10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4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9"/>
                <w:szCs w:val="9"/>
                <w:b w:val="1"/>
                <w:bCs w:val="1"/>
                <w:color w:val="auto"/>
                <w:w w:val="95"/>
              </w:rPr>
              <w:t>(2)</w:t>
            </w:r>
          </w:p>
        </w:tc>
      </w:tr>
      <w:tr>
        <w:trPr>
          <w:trHeight w:val="128"/>
        </w:trPr>
        <w:tc>
          <w:tcPr>
            <w:tcW w:w="304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First Lien Secured Debt—838.2%</w:t>
            </w: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07/24/2025</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L+600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4,856,155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4,795,251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4,686,189</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American Auto Auction Group,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01/02/2024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Transportation: Consumer</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L+500</w:t>
            </w:r>
          </w:p>
        </w:tc>
        <w:tc>
          <w:tcPr>
            <w:tcW w:w="560" w:type="dxa"/>
            <w:vAlign w:val="bottom"/>
          </w:tcPr>
          <w:p>
            <w:pPr>
              <w:jc w:val="right"/>
              <w:spacing w:after="0"/>
              <w:rPr>
                <w:sz w:val="20"/>
                <w:szCs w:val="20"/>
                <w:color w:val="auto"/>
              </w:rPr>
            </w:pPr>
            <w:r>
              <w:rPr>
                <w:rFonts w:ascii="Arial" w:cs="Arial" w:eastAsia="Arial" w:hAnsi="Arial"/>
                <w:sz w:val="11"/>
                <w:szCs w:val="11"/>
                <w:color w:val="auto"/>
              </w:rPr>
              <w:t>7,670,399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7,596,860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7,440,287</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By Light Professional IT Services,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05/16/2022</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L+625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10,901,843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10,774,172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10,792,825</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Cadence Aerospace,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11/14/2023</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9.50%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L+850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11,802,082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11,730,187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11,322,915</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Cardenas Markets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11/29/2023</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L+575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4,779,776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4,759,527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4,779,776</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Centauri Group Holdings,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02/12/2024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L+525</w:t>
            </w:r>
          </w:p>
        </w:tc>
        <w:tc>
          <w:tcPr>
            <w:tcW w:w="560" w:type="dxa"/>
            <w:vAlign w:val="bottom"/>
          </w:tcPr>
          <w:p>
            <w:pPr>
              <w:jc w:val="right"/>
              <w:spacing w:after="0"/>
              <w:rPr>
                <w:sz w:val="20"/>
                <w:szCs w:val="20"/>
                <w:color w:val="auto"/>
              </w:rPr>
            </w:pPr>
            <w:r>
              <w:rPr>
                <w:rFonts w:ascii="Arial" w:cs="Arial" w:eastAsia="Arial" w:hAnsi="Arial"/>
                <w:sz w:val="11"/>
                <w:szCs w:val="11"/>
                <w:color w:val="auto"/>
              </w:rPr>
              <w:t>5,330,847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5,330,847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5,304,193</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Challenger Performance Optimization,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08/31/2023</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L+575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9,663,392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9,595,826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8,986,954</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Country Fresh Holdings,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05/01/2023</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L+500</w:t>
            </w:r>
          </w:p>
        </w:tc>
        <w:tc>
          <w:tcPr>
            <w:tcW w:w="560" w:type="dxa"/>
            <w:vAlign w:val="bottom"/>
          </w:tcPr>
          <w:p>
            <w:pPr>
              <w:jc w:val="right"/>
              <w:spacing w:after="0"/>
              <w:rPr>
                <w:sz w:val="20"/>
                <w:szCs w:val="20"/>
                <w:color w:val="auto"/>
              </w:rPr>
            </w:pPr>
            <w:r>
              <w:rPr>
                <w:rFonts w:ascii="Arial" w:cs="Arial" w:eastAsia="Arial" w:hAnsi="Arial"/>
                <w:sz w:val="11"/>
                <w:szCs w:val="11"/>
                <w:color w:val="auto"/>
              </w:rPr>
              <w:t>182,403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179,976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Holdings, LLC (Revolver)</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05/01/2023</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450,110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450,111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450,110</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Douglas Products and Packaging Company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10/19/2022</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8,836,683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8,756,358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8,704,133</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10/19/2022</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L+575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7,403,183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7,370,405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7,292,135</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DRS Holdings III,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11/03/2025</w:t>
            </w:r>
          </w:p>
        </w:tc>
        <w:tc>
          <w:tcPr>
            <w:tcW w:w="220" w:type="dxa"/>
            <w:vAlign w:val="bottom"/>
          </w:tcPr>
          <w:p>
            <w:pPr>
              <w:spacing w:after="0"/>
              <w:rPr>
                <w:sz w:val="11"/>
                <w:szCs w:val="11"/>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8,022,149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7,950,609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7,875,344</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05/31/2024</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Banking, Finance, Insurance and Real Estate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5.46%</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60"/>
              <w:spacing w:after="0"/>
              <w:rPr>
                <w:sz w:val="20"/>
                <w:szCs w:val="20"/>
                <w:color w:val="auto"/>
              </w:rPr>
            </w:pPr>
            <w:r>
              <w:rPr>
                <w:rFonts w:ascii="Arial" w:cs="Arial" w:eastAsia="Arial" w:hAnsi="Arial"/>
                <w:sz w:val="11"/>
                <w:szCs w:val="11"/>
                <w:color w:val="auto"/>
              </w:rPr>
              <w:t>L+525A $</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10,000,000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7,411,600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6,809,125</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GCOM Software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11/14/2022</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L+625</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16,646,228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16,562,972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16,646,228</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Good2Grow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11/18/2024</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Beverages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L+425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9,499,183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9,429,133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9,427,938</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GSM Holdings,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06/03/2024</w:t>
            </w:r>
          </w:p>
        </w:tc>
        <w:tc>
          <w:tcPr>
            <w:tcW w:w="220" w:type="dxa"/>
            <w:vAlign w:val="bottom"/>
          </w:tcPr>
          <w:p>
            <w:pPr>
              <w:spacing w:after="0"/>
              <w:rPr>
                <w:sz w:val="11"/>
                <w:szCs w:val="11"/>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L+450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19,470,523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19,354,235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19,275,817</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IMIA Holdings,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10/26/2025</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L+450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12,143,568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12,097,717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12,022,132</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Impact Group,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06/27/2023</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8.37%</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L+737</w:t>
            </w:r>
          </w:p>
        </w:tc>
        <w:tc>
          <w:tcPr>
            <w:tcW w:w="560" w:type="dxa"/>
            <w:vAlign w:val="bottom"/>
          </w:tcPr>
          <w:p>
            <w:pPr>
              <w:jc w:val="right"/>
              <w:spacing w:after="0"/>
              <w:rPr>
                <w:sz w:val="20"/>
                <w:szCs w:val="20"/>
                <w:color w:val="auto"/>
              </w:rPr>
            </w:pPr>
            <w:r>
              <w:rPr>
                <w:rFonts w:ascii="Arial" w:cs="Arial" w:eastAsia="Arial" w:hAnsi="Arial"/>
                <w:sz w:val="11"/>
                <w:szCs w:val="11"/>
                <w:color w:val="auto"/>
              </w:rPr>
              <w:t>9,290,185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9,216,206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9,336,636</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09/29/2023</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L+475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8,587,606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8,587,606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8,458,792</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K2 Pure Solutions NoCal, L.P.</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12/20/2023</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L+700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19,650,000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19,436,214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19,217,700</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10/31/2024</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L+750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9,975,861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9,902,990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9,188,766</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LSF9 Atlantis Holdings,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05/01/2023</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Retail</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L+600</w:t>
            </w:r>
          </w:p>
        </w:tc>
        <w:tc>
          <w:tcPr>
            <w:tcW w:w="560" w:type="dxa"/>
            <w:vAlign w:val="bottom"/>
          </w:tcPr>
          <w:p>
            <w:pPr>
              <w:jc w:val="right"/>
              <w:spacing w:after="0"/>
              <w:rPr>
                <w:sz w:val="20"/>
                <w:szCs w:val="20"/>
                <w:color w:val="auto"/>
              </w:rPr>
            </w:pPr>
            <w:r>
              <w:rPr>
                <w:rFonts w:ascii="Arial" w:cs="Arial" w:eastAsia="Arial" w:hAnsi="Arial"/>
                <w:sz w:val="11"/>
                <w:szCs w:val="11"/>
                <w:color w:val="auto"/>
              </w:rPr>
              <w:t>6,843,750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6,872,048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6,631,320</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12/08/2023</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L+600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4,313,910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4,273,019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4,197,866</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01/27/2023</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0.00%</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480" w:type="dxa"/>
            <w:vAlign w:val="bottom"/>
          </w:tcPr>
          <w:p>
            <w:pPr>
              <w:spacing w:after="0"/>
              <w:rPr>
                <w:sz w:val="11"/>
                <w:szCs w:val="11"/>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1"/>
                <w:szCs w:val="11"/>
                <w:color w:val="auto"/>
              </w:rPr>
              <w:t>— C $</w:t>
            </w:r>
          </w:p>
        </w:tc>
        <w:tc>
          <w:tcPr>
            <w:tcW w:w="560" w:type="dxa"/>
            <w:vAlign w:val="bottom"/>
          </w:tcPr>
          <w:p>
            <w:pPr>
              <w:jc w:val="right"/>
              <w:spacing w:after="0"/>
              <w:rPr>
                <w:sz w:val="20"/>
                <w:szCs w:val="20"/>
                <w:color w:val="auto"/>
              </w:rPr>
            </w:pPr>
            <w:r>
              <w:rPr>
                <w:rFonts w:ascii="Arial" w:cs="Arial" w:eastAsia="Arial" w:hAnsi="Arial"/>
                <w:sz w:val="11"/>
                <w:szCs w:val="11"/>
                <w:color w:val="auto"/>
              </w:rPr>
              <w:t>5,730,254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4,449,786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3,623,691</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05/23/2024</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Media: Advertising, Printing &amp; Publishing</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4,812,500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4,771,073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4,583,906</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Mission Critical Electronics,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09/28/2022</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L+500</w:t>
            </w:r>
          </w:p>
        </w:tc>
        <w:tc>
          <w:tcPr>
            <w:tcW w:w="560" w:type="dxa"/>
            <w:vAlign w:val="bottom"/>
          </w:tcPr>
          <w:p>
            <w:pPr>
              <w:jc w:val="right"/>
              <w:spacing w:after="0"/>
              <w:rPr>
                <w:sz w:val="20"/>
                <w:szCs w:val="20"/>
                <w:color w:val="auto"/>
              </w:rPr>
            </w:pPr>
            <w:r>
              <w:rPr>
                <w:rFonts w:ascii="Arial" w:cs="Arial" w:eastAsia="Arial" w:hAnsi="Arial"/>
                <w:sz w:val="11"/>
                <w:szCs w:val="11"/>
                <w:color w:val="auto"/>
              </w:rPr>
              <w:t>5,949,731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5,927,114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5,877,737</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New Milani Group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06/06/2024</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14,662,500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14,568,019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13,379,531</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Output Services Group,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03/27/2024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L+450</w:t>
            </w:r>
          </w:p>
        </w:tc>
        <w:tc>
          <w:tcPr>
            <w:tcW w:w="560" w:type="dxa"/>
            <w:vAlign w:val="bottom"/>
          </w:tcPr>
          <w:p>
            <w:pPr>
              <w:jc w:val="right"/>
              <w:spacing w:after="0"/>
              <w:rPr>
                <w:sz w:val="20"/>
                <w:szCs w:val="20"/>
                <w:color w:val="auto"/>
              </w:rPr>
            </w:pPr>
            <w:r>
              <w:rPr>
                <w:rFonts w:ascii="Arial" w:cs="Arial" w:eastAsia="Arial" w:hAnsi="Arial"/>
                <w:sz w:val="11"/>
                <w:szCs w:val="11"/>
                <w:color w:val="auto"/>
              </w:rPr>
              <w:t>7,803,419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7,825,029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7,101,111</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PH Beauty Holdings III,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09/29/2025</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5.19%</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9,792,594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9,717,936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9,156,076</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Plant Health Intermediate,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10/19/2022</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1,594,030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1,579,915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1,570,120</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05/8/2026</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Products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5.72%</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4,025,520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3,990,707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3,824,244</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Sargent &amp; Greenleaf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12/20/2024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L+550</w:t>
            </w:r>
          </w:p>
        </w:tc>
        <w:tc>
          <w:tcPr>
            <w:tcW w:w="560" w:type="dxa"/>
            <w:vAlign w:val="bottom"/>
          </w:tcPr>
          <w:p>
            <w:pPr>
              <w:jc w:val="right"/>
              <w:spacing w:after="0"/>
              <w:rPr>
                <w:sz w:val="20"/>
                <w:szCs w:val="20"/>
                <w:color w:val="auto"/>
              </w:rPr>
            </w:pPr>
            <w:r>
              <w:rPr>
                <w:rFonts w:ascii="Arial" w:cs="Arial" w:eastAsia="Arial" w:hAnsi="Arial"/>
                <w:sz w:val="11"/>
                <w:szCs w:val="11"/>
                <w:color w:val="auto"/>
              </w:rPr>
              <w:t>4,925,000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4,860,858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4,836,350</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07/14/2025</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L+600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11,904,617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11,904,617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11,041,532</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Smile Brands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10/14/2024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4.93%</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L+450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11,175,938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11,090,654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10,840,659</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Snak Club,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07/19/2021</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4,561,971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4,561,971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4,493,542</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Solutionreach,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01/17/2024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6,214,305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6,149,172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6,145,948</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STV Group Incorporated</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12/11/2026</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Construction and Building</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5.40%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7,762,222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7,692,023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7,684,600</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TeleGuam Holdings,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11/20/2025</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L+450</w:t>
            </w:r>
          </w:p>
        </w:tc>
        <w:tc>
          <w:tcPr>
            <w:tcW w:w="560" w:type="dxa"/>
            <w:vAlign w:val="bottom"/>
          </w:tcPr>
          <w:p>
            <w:pPr>
              <w:jc w:val="right"/>
              <w:spacing w:after="0"/>
              <w:rPr>
                <w:sz w:val="20"/>
                <w:szCs w:val="20"/>
                <w:color w:val="auto"/>
              </w:rPr>
            </w:pPr>
            <w:r>
              <w:rPr>
                <w:rFonts w:ascii="Arial" w:cs="Arial" w:eastAsia="Arial" w:hAnsi="Arial"/>
                <w:sz w:val="11"/>
                <w:szCs w:val="11"/>
                <w:color w:val="auto"/>
              </w:rPr>
              <w:t>8,309,797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8,272,104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8,060,503</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07/18/2025</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4,950,000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4,783,595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4,764,375</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The Infosoft Group,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09/16/2024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6M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8,602,807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8,584,634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8,602,807</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11/24/2025</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8,924,066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8,837,614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8,656,344</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TVC Enterprises,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01/18/2024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L+550</w:t>
            </w:r>
          </w:p>
        </w:tc>
        <w:tc>
          <w:tcPr>
            <w:tcW w:w="560" w:type="dxa"/>
            <w:vAlign w:val="bottom"/>
          </w:tcPr>
          <w:p>
            <w:pPr>
              <w:jc w:val="right"/>
              <w:spacing w:after="0"/>
              <w:rPr>
                <w:sz w:val="20"/>
                <w:szCs w:val="20"/>
                <w:color w:val="auto"/>
              </w:rPr>
            </w:pPr>
            <w:r>
              <w:rPr>
                <w:rFonts w:ascii="Arial" w:cs="Arial" w:eastAsia="Arial" w:hAnsi="Arial"/>
                <w:sz w:val="11"/>
                <w:szCs w:val="11"/>
                <w:color w:val="auto"/>
              </w:rPr>
              <w:t>9,747,335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9,747,335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9,674,230</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06/16/2025</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L+625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6,910,465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6,797,117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6,772,256</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UBEO,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04/03/2024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L+450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21,930,702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21,762,065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20,614,860</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08/30/2024</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11,463,443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11,311,325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11,119,540</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Walker Edison Furniture Company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09/26/2024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L+625</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10,594,047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10,440,520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10,594,047</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Whitney, Bradley &amp; Brown,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10/18/2022</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L+750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254,095</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250,910</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251,557</w:t>
            </w:r>
          </w:p>
        </w:tc>
        <w:tc>
          <w:tcPr>
            <w:tcW w:w="120" w:type="dxa"/>
            <w:vAlign w:val="bottom"/>
            <w:shd w:val="clear" w:color="auto" w:fill="CCECFF"/>
          </w:tcPr>
          <w:p>
            <w:pPr>
              <w:spacing w:after="0"/>
              <w:rPr>
                <w:sz w:val="11"/>
                <w:szCs w:val="11"/>
                <w:color w:val="auto"/>
              </w:rPr>
            </w:pPr>
          </w:p>
        </w:tc>
      </w:tr>
      <w:tr>
        <w:trPr>
          <w:trHeight w:val="129"/>
        </w:trPr>
        <w:tc>
          <w:tcPr>
            <w:tcW w:w="30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392,309,962</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382,299,150</w:t>
            </w:r>
          </w:p>
        </w:tc>
        <w:tc>
          <w:tcPr>
            <w:tcW w:w="120" w:type="dxa"/>
            <w:vAlign w:val="bottom"/>
            <w:tcBorders>
              <w:bottom w:val="single" w:sz="8" w:color="CCECFF"/>
            </w:tcBorders>
          </w:tcPr>
          <w:p>
            <w:pPr>
              <w:spacing w:after="0"/>
              <w:rPr>
                <w:sz w:val="11"/>
                <w:szCs w:val="11"/>
                <w:color w:val="auto"/>
              </w:rPr>
            </w:pPr>
          </w:p>
        </w:tc>
      </w:tr>
      <w:tr>
        <w:trPr>
          <w:trHeight w:val="128"/>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Debt—19.5%</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40" w:type="dxa"/>
            <w:vAlign w:val="bottom"/>
            <w:gridSpan w:val="2"/>
          </w:tcPr>
          <w:p>
            <w:pPr>
              <w:spacing w:after="0"/>
              <w:rPr>
                <w:sz w:val="20"/>
                <w:szCs w:val="20"/>
                <w:color w:val="auto"/>
              </w:rPr>
            </w:pPr>
            <w:r>
              <w:rPr>
                <w:rFonts w:ascii="Arial" w:cs="Arial" w:eastAsia="Arial" w:hAnsi="Arial"/>
                <w:sz w:val="11"/>
                <w:szCs w:val="11"/>
                <w:color w:val="auto"/>
              </w:rPr>
              <w:t>Country Fresh Holdings,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04/29/2024</w:t>
            </w:r>
          </w:p>
        </w:tc>
        <w:tc>
          <w:tcPr>
            <w:tcW w:w="2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9.50%</w:t>
            </w:r>
          </w:p>
        </w:tc>
        <w:tc>
          <w:tcPr>
            <w:tcW w:w="140" w:type="dxa"/>
            <w:vAlign w:val="bottom"/>
          </w:tcPr>
          <w:p>
            <w:pPr>
              <w:spacing w:after="0"/>
              <w:rPr>
                <w:sz w:val="12"/>
                <w:szCs w:val="12"/>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L+850</w:t>
            </w:r>
          </w:p>
        </w:tc>
        <w:tc>
          <w:tcPr>
            <w:tcW w:w="560" w:type="dxa"/>
            <w:vAlign w:val="bottom"/>
          </w:tcPr>
          <w:p>
            <w:pPr>
              <w:jc w:val="right"/>
              <w:spacing w:after="0"/>
              <w:rPr>
                <w:sz w:val="20"/>
                <w:szCs w:val="20"/>
                <w:color w:val="auto"/>
              </w:rPr>
            </w:pPr>
            <w:r>
              <w:rPr>
                <w:rFonts w:ascii="Arial" w:cs="Arial" w:eastAsia="Arial" w:hAnsi="Arial"/>
                <w:sz w:val="11"/>
                <w:szCs w:val="11"/>
                <w:color w:val="auto"/>
              </w:rPr>
              <w:t>964,045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964,045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889,813</w:t>
            </w:r>
          </w:p>
        </w:tc>
        <w:tc>
          <w:tcPr>
            <w:tcW w:w="120" w:type="dxa"/>
            <w:vAlign w:val="bottom"/>
          </w:tcPr>
          <w:p>
            <w:pPr>
              <w:spacing w:after="0"/>
              <w:rPr>
                <w:sz w:val="12"/>
                <w:szCs w:val="12"/>
                <w:color w:val="auto"/>
              </w:rPr>
            </w:pPr>
          </w:p>
        </w:tc>
      </w:tr>
      <w:tr>
        <w:trPr>
          <w:trHeight w:val="131"/>
        </w:trPr>
        <w:tc>
          <w:tcPr>
            <w:tcW w:w="2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(PIK 9.50%)</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DBI Holding, LLC, Term Loan B</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03/26/2021</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9.00%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120" w:type="dxa"/>
            <w:vAlign w:val="bottom"/>
            <w:shd w:val="clear" w:color="auto" w:fill="CCECFF"/>
          </w:tcPr>
          <w:p>
            <w:pPr>
              <w:spacing w:after="0"/>
              <w:rPr>
                <w:sz w:val="11"/>
                <w:szCs w:val="11"/>
                <w:color w:val="auto"/>
              </w:rPr>
            </w:pPr>
          </w:p>
        </w:tc>
      </w:tr>
      <w:tr>
        <w:trPr>
          <w:trHeight w:val="135"/>
        </w:trPr>
        <w:tc>
          <w:tcPr>
            <w:tcW w:w="212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(PIK 9.00%)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40" w:type="dxa"/>
            <w:vAlign w:val="bottom"/>
            <w:gridSpan w:val="2"/>
          </w:tcPr>
          <w:p>
            <w:pPr>
              <w:spacing w:after="0"/>
              <w:rPr>
                <w:sz w:val="20"/>
                <w:szCs w:val="20"/>
                <w:color w:val="auto"/>
              </w:rPr>
            </w:pPr>
            <w:r>
              <w:rPr>
                <w:rFonts w:ascii="Arial" w:cs="Arial" w:eastAsia="Arial" w:hAnsi="Arial"/>
                <w:sz w:val="11"/>
                <w:szCs w:val="11"/>
                <w:color w:val="auto"/>
              </w:rPr>
              <w:t>DBI Holding, LLC, Term Loan 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02/02/2026</w:t>
            </w:r>
          </w:p>
        </w:tc>
        <w:tc>
          <w:tcPr>
            <w:tcW w:w="2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9.00%</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7,977,513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7,977,513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7,977,513</w:t>
            </w:r>
          </w:p>
        </w:tc>
        <w:tc>
          <w:tcPr>
            <w:tcW w:w="120" w:type="dxa"/>
            <w:vAlign w:val="bottom"/>
          </w:tcPr>
          <w:p>
            <w:pPr>
              <w:spacing w:after="0"/>
              <w:rPr>
                <w:sz w:val="12"/>
                <w:szCs w:val="12"/>
                <w:color w:val="auto"/>
              </w:rPr>
            </w:pPr>
          </w:p>
        </w:tc>
      </w:tr>
      <w:tr>
        <w:trPr>
          <w:trHeight w:val="131"/>
        </w:trPr>
        <w:tc>
          <w:tcPr>
            <w:tcW w:w="2120" w:type="dxa"/>
            <w:vAlign w:val="bottom"/>
            <w:tcBorders>
              <w:bottom w:val="single" w:sz="8" w:color="CCECFF"/>
            </w:tcBorders>
          </w:tcPr>
          <w:p>
            <w:pPr>
              <w:spacing w:after="0"/>
              <w:rPr>
                <w:sz w:val="11"/>
                <w:szCs w:val="11"/>
                <w:color w:val="auto"/>
              </w:rPr>
            </w:pPr>
          </w:p>
        </w:tc>
        <w:tc>
          <w:tcPr>
            <w:tcW w:w="9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800" w:type="dxa"/>
            <w:vAlign w:val="bottom"/>
            <w:tcBorders>
              <w:bottom w:val="single" w:sz="8" w:color="CCECFF"/>
            </w:tcBorders>
            <w:gridSpan w:val="2"/>
          </w:tcPr>
          <w:p>
            <w:pPr>
              <w:jc w:val="right"/>
              <w:spacing w:after="0"/>
              <w:rPr>
                <w:sz w:val="20"/>
                <w:szCs w:val="20"/>
                <w:color w:val="auto"/>
              </w:rPr>
            </w:pPr>
            <w:r>
              <w:rPr>
                <w:rFonts w:ascii="Arial" w:cs="Arial" w:eastAsia="Arial" w:hAnsi="Arial"/>
                <w:sz w:val="11"/>
                <w:szCs w:val="11"/>
                <w:color w:val="auto"/>
              </w:rPr>
              <w:t>(PIK 9.00%)</w:t>
            </w:r>
          </w:p>
        </w:tc>
        <w:tc>
          <w:tcPr>
            <w:tcW w:w="14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8"/>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8,957,504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8,883,272</w:t>
            </w:r>
          </w:p>
        </w:tc>
        <w:tc>
          <w:tcPr>
            <w:tcW w:w="120" w:type="dxa"/>
            <w:vAlign w:val="bottom"/>
            <w:shd w:val="clear" w:color="auto" w:fill="CCECFF"/>
          </w:tcPr>
          <w:p>
            <w:pPr>
              <w:spacing w:after="0"/>
              <w:rPr>
                <w:sz w:val="11"/>
                <w:szCs w:val="11"/>
                <w:color w:val="auto"/>
              </w:rPr>
            </w:pPr>
          </w:p>
        </w:tc>
      </w:tr>
      <w:tr>
        <w:trPr>
          <w:trHeight w:val="129"/>
        </w:trPr>
        <w:tc>
          <w:tcPr>
            <w:tcW w:w="3040" w:type="dxa"/>
            <w:vAlign w:val="bottom"/>
            <w:gridSpan w:val="2"/>
          </w:tcPr>
          <w:p>
            <w:pPr>
              <w:spacing w:after="0"/>
              <w:rPr>
                <w:sz w:val="20"/>
                <w:szCs w:val="20"/>
                <w:color w:val="auto"/>
              </w:rPr>
            </w:pPr>
            <w:r>
              <w:rPr>
                <w:rFonts w:ascii="Arial" w:cs="Arial" w:eastAsia="Arial" w:hAnsi="Arial"/>
                <w:sz w:val="11"/>
                <w:szCs w:val="11"/>
                <w:b w:val="1"/>
                <w:bCs w:val="1"/>
                <w:color w:val="auto"/>
              </w:rPr>
              <w:t>Equity Securities—4.0%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 Company Inc.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1,713,105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DBI Holding, LLC, Series A-1</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5,034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1,803,668</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DBI Holding, LLC, Series B</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1,065,021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28"/>
        </w:trPr>
        <w:tc>
          <w:tcPr>
            <w:tcW w:w="30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6,983,936</w:t>
            </w:r>
          </w:p>
        </w:tc>
        <w:tc>
          <w:tcPr>
            <w:tcW w:w="22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1,803,668</w:t>
            </w:r>
          </w:p>
        </w:tc>
        <w:tc>
          <w:tcPr>
            <w:tcW w:w="120" w:type="dxa"/>
            <w:vAlign w:val="bottom"/>
            <w:tcBorders>
              <w:bottom w:val="single" w:sz="8" w:color="CCECFF"/>
            </w:tcBorders>
          </w:tcPr>
          <w:p>
            <w:pPr>
              <w:spacing w:after="0"/>
              <w:rPr>
                <w:sz w:val="11"/>
                <w:szCs w:val="11"/>
                <w:color w:val="auto"/>
              </w:rPr>
            </w:pPr>
          </w:p>
        </w:tc>
      </w:tr>
      <w:tr>
        <w:trPr>
          <w:trHeight w:val="128"/>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Investments—861.6%</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408,251,402</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4"/>
              </w:rPr>
              <w:t>392,986,090</w:t>
            </w:r>
          </w:p>
        </w:tc>
        <w:tc>
          <w:tcPr>
            <w:tcW w:w="120" w:type="dxa"/>
            <w:vAlign w:val="bottom"/>
            <w:shd w:val="clear" w:color="auto" w:fill="CCECFF"/>
          </w:tcPr>
          <w:p>
            <w:pPr>
              <w:spacing w:after="0"/>
              <w:rPr>
                <w:sz w:val="11"/>
                <w:szCs w:val="11"/>
                <w:color w:val="auto"/>
              </w:rPr>
            </w:pPr>
          </w:p>
        </w:tc>
      </w:tr>
      <w:tr>
        <w:trPr>
          <w:trHeight w:val="129"/>
        </w:trPr>
        <w:tc>
          <w:tcPr>
            <w:tcW w:w="3040" w:type="dxa"/>
            <w:vAlign w:val="bottom"/>
            <w:gridSpan w:val="2"/>
          </w:tcPr>
          <w:p>
            <w:pPr>
              <w:spacing w:after="0"/>
              <w:rPr>
                <w:sz w:val="20"/>
                <w:szCs w:val="20"/>
                <w:color w:val="auto"/>
              </w:rPr>
            </w:pPr>
            <w:r>
              <w:rPr>
                <w:rFonts w:ascii="Arial" w:cs="Arial" w:eastAsia="Arial" w:hAnsi="Arial"/>
                <w:sz w:val="11"/>
                <w:szCs w:val="11"/>
                <w:b w:val="1"/>
                <w:bCs w:val="1"/>
                <w:color w:val="auto"/>
              </w:rPr>
              <w:t>Cash and Cash Equivalents—24.4%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6,005,963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6,005,963</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5,109,410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5,115,516</w:t>
            </w:r>
          </w:p>
        </w:tc>
        <w:tc>
          <w:tcPr>
            <w:tcW w:w="120" w:type="dxa"/>
            <w:vAlign w:val="bottom"/>
            <w:tcBorders>
              <w:bottom w:val="single" w:sz="8" w:color="CCECFF"/>
            </w:tcBorders>
          </w:tcPr>
          <w:p>
            <w:pPr>
              <w:spacing w:after="0"/>
              <w:rPr>
                <w:sz w:val="11"/>
                <w:szCs w:val="11"/>
                <w:color w:val="auto"/>
              </w:rPr>
            </w:pPr>
          </w:p>
        </w:tc>
      </w:tr>
      <w:tr>
        <w:trPr>
          <w:trHeight w:val="128"/>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11,115,373</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11,121,479</w:t>
            </w:r>
          </w:p>
        </w:tc>
        <w:tc>
          <w:tcPr>
            <w:tcW w:w="120" w:type="dxa"/>
            <w:vAlign w:val="bottom"/>
            <w:shd w:val="clear" w:color="auto" w:fill="CCECFF"/>
          </w:tcPr>
          <w:p>
            <w:pPr>
              <w:spacing w:after="0"/>
              <w:rPr>
                <w:sz w:val="11"/>
                <w:szCs w:val="11"/>
                <w:color w:val="auto"/>
              </w:rPr>
            </w:pPr>
          </w:p>
        </w:tc>
      </w:tr>
      <w:tr>
        <w:trPr>
          <w:trHeight w:val="169"/>
        </w:trPr>
        <w:tc>
          <w:tcPr>
            <w:tcW w:w="30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Investments and Cash Equivalents—886.0%</w:t>
            </w:r>
          </w:p>
        </w:tc>
        <w:tc>
          <w:tcPr>
            <w:tcW w:w="120" w:type="dxa"/>
            <w:vAlign w:val="bottom"/>
            <w:tcBorders>
              <w:bottom w:val="single" w:sz="8" w:color="CCECFF"/>
            </w:tcBorders>
          </w:tcPr>
          <w:p>
            <w:pPr>
              <w:spacing w:after="0"/>
              <w:rPr>
                <w:sz w:val="14"/>
                <w:szCs w:val="14"/>
                <w:color w:val="auto"/>
              </w:rPr>
            </w:pPr>
          </w:p>
        </w:tc>
        <w:tc>
          <w:tcPr>
            <w:tcW w:w="54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68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68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480" w:type="dxa"/>
            <w:vAlign w:val="bottom"/>
            <w:tcBorders>
              <w:bottom w:val="single" w:sz="8" w:color="CCECFF"/>
            </w:tcBorders>
          </w:tcPr>
          <w:p>
            <w:pPr>
              <w:spacing w:after="0"/>
              <w:rPr>
                <w:sz w:val="14"/>
                <w:szCs w:val="14"/>
                <w:color w:val="auto"/>
              </w:rPr>
            </w:pPr>
          </w:p>
        </w:tc>
        <w:tc>
          <w:tcPr>
            <w:tcW w:w="32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56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419,366,775</w:t>
            </w:r>
          </w:p>
        </w:tc>
        <w:tc>
          <w:tcPr>
            <w:tcW w:w="2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404,107,569</w:t>
            </w:r>
          </w:p>
        </w:tc>
        <w:tc>
          <w:tcPr>
            <w:tcW w:w="120" w:type="dxa"/>
            <w:vAlign w:val="bottom"/>
            <w:tcBorders>
              <w:bottom w:val="single" w:sz="8" w:color="CCECFF"/>
            </w:tcBorders>
          </w:tcPr>
          <w:p>
            <w:pPr>
              <w:spacing w:after="0"/>
              <w:rPr>
                <w:sz w:val="14"/>
                <w:szCs w:val="14"/>
                <w:color w:val="auto"/>
              </w:rPr>
            </w:pPr>
          </w:p>
        </w:tc>
      </w:tr>
      <w:tr>
        <w:trPr>
          <w:trHeight w:val="115"/>
        </w:trPr>
        <w:tc>
          <w:tcPr>
            <w:tcW w:w="3040" w:type="dxa"/>
            <w:vAlign w:val="bottom"/>
            <w:gridSpan w:val="2"/>
            <w:shd w:val="clear" w:color="auto" w:fill="CCECFF"/>
          </w:tcPr>
          <w:p>
            <w:pPr>
              <w:spacing w:after="0" w:line="116" w:lineRule="exact"/>
              <w:rPr>
                <w:sz w:val="20"/>
                <w:szCs w:val="20"/>
                <w:color w:val="auto"/>
              </w:rPr>
            </w:pPr>
            <w:r>
              <w:rPr>
                <w:rFonts w:ascii="Arial" w:cs="Arial" w:eastAsia="Arial" w:hAnsi="Arial"/>
                <w:sz w:val="11"/>
                <w:szCs w:val="11"/>
                <w:b w:val="1"/>
                <w:bCs w:val="1"/>
                <w:color w:val="auto"/>
              </w:rPr>
              <w:t>Liabilities in Excess of Other Assets—(786.0)%</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4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3"/>
              </w:rPr>
              <w:t>(358,495,484)</w:t>
            </w:r>
          </w:p>
        </w:tc>
      </w:tr>
      <w:tr>
        <w:trPr>
          <w:trHeight w:val="128"/>
        </w:trPr>
        <w:tc>
          <w:tcPr>
            <w:tcW w:w="3040" w:type="dxa"/>
            <w:vAlign w:val="bottom"/>
            <w:gridSpan w:val="2"/>
          </w:tcPr>
          <w:p>
            <w:pPr>
              <w:spacing w:after="0"/>
              <w:rPr>
                <w:sz w:val="20"/>
                <w:szCs w:val="20"/>
                <w:color w:val="auto"/>
              </w:rPr>
            </w:pPr>
            <w:r>
              <w:rPr>
                <w:rFonts w:ascii="Arial" w:cs="Arial" w:eastAsia="Arial" w:hAnsi="Arial"/>
                <w:sz w:val="11"/>
                <w:szCs w:val="11"/>
                <w:b w:val="1"/>
                <w:bCs w:val="1"/>
                <w:color w:val="auto"/>
              </w:rPr>
              <w:t>Members' Equity—100.0%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45,612,085</w:t>
            </w:r>
          </w:p>
        </w:tc>
        <w:tc>
          <w:tcPr>
            <w:tcW w:w="120" w:type="dxa"/>
            <w:vAlign w:val="bottom"/>
          </w:tcPr>
          <w:p>
            <w:pPr>
              <w:spacing w:after="0"/>
              <w:rPr>
                <w:sz w:val="11"/>
                <w:szCs w:val="11"/>
                <w:color w:val="auto"/>
              </w:rPr>
            </w:pPr>
          </w:p>
        </w:tc>
      </w:tr>
      <w:tr>
        <w:trPr>
          <w:trHeight w:val="20"/>
        </w:trPr>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r>
    </w:tbl>
    <w:p>
      <w:pPr>
        <w:spacing w:after="0" w:line="34" w:lineRule="exact"/>
        <w:rPr>
          <w:sz w:val="20"/>
          <w:szCs w:val="20"/>
          <w:color w:val="auto"/>
        </w:rPr>
      </w:pPr>
    </w:p>
    <w:p>
      <w:pPr>
        <w:ind w:left="380" w:right="160" w:hanging="372"/>
        <w:spacing w:after="0" w:line="252" w:lineRule="auto"/>
        <w:tabs>
          <w:tab w:leader="none" w:pos="3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EURIBOR or “E”.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Canadian Dollars (C$)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2"/>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2"/>
        </w:trPr>
        <w:tc>
          <w:tcPr>
            <w:tcW w:w="7720" w:type="dxa"/>
            <w:vAlign w:val="bottom"/>
            <w:gridSpan w:val="2"/>
          </w:tcPr>
          <w:p>
            <w:pPr>
              <w:ind w:left="440"/>
              <w:spacing w:after="0"/>
              <w:rPr>
                <w:sz w:val="20"/>
                <w:szCs w:val="20"/>
                <w:color w:val="auto"/>
              </w:rPr>
            </w:pPr>
            <w:r>
              <w:rPr>
                <w:rFonts w:ascii="Arial" w:cs="Arial" w:eastAsia="Arial" w:hAnsi="Arial"/>
                <w:sz w:val="14"/>
                <w:szCs w:val="14"/>
                <w:color w:val="auto"/>
              </w:rPr>
              <w:t>Below is the financial information for PSSL:</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120" w:type="dxa"/>
            <w:vAlign w:val="bottom"/>
          </w:tcPr>
          <w:p>
            <w:pPr>
              <w:spacing w:after="0"/>
              <w:rPr>
                <w:sz w:val="24"/>
                <w:szCs w:val="24"/>
                <w:color w:val="auto"/>
              </w:rPr>
            </w:pPr>
          </w:p>
        </w:tc>
        <w:tc>
          <w:tcPr>
            <w:tcW w:w="5600" w:type="dxa"/>
            <w:vAlign w:val="bottom"/>
          </w:tcPr>
          <w:p>
            <w:pPr>
              <w:ind w:left="2340"/>
              <w:spacing w:after="0"/>
              <w:rPr>
                <w:sz w:val="20"/>
                <w:szCs w:val="20"/>
                <w:color w:val="auto"/>
              </w:rPr>
            </w:pPr>
            <w:r>
              <w:rPr>
                <w:rFonts w:ascii="Arial" w:cs="Arial" w:eastAsia="Arial" w:hAnsi="Arial"/>
                <w:sz w:val="14"/>
                <w:szCs w:val="14"/>
                <w:b w:val="1"/>
                <w:bCs w:val="1"/>
                <w:color w:val="auto"/>
              </w:rPr>
              <w:t>Statements of Assets and Liabilities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24"/>
                <w:szCs w:val="2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Investments at fair value (cost—$576,262,980 and $408,251,402, respectively)</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564,783,128</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392,986,090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Cash and cash equivalents (cost—$28,386,681 and $11,115,373 ,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28,373,541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11,121,479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1,413,529</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2,235,595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Receivable for investment sold</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7,323,360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1,665,633</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62,812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gridSpan w:val="2"/>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603,559,191</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406,405,976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CFF"/>
          </w:tcPr>
          <w:p>
            <w:pPr>
              <w:spacing w:after="0"/>
              <w:rPr>
                <w:sz w:val="13"/>
                <w:szCs w:val="13"/>
                <w:color w:val="auto"/>
              </w:rPr>
            </w:pPr>
          </w:p>
        </w:tc>
        <w:tc>
          <w:tcPr>
            <w:tcW w:w="14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Payable for investments purchased</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31,963,307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PSSL Credit facility payable</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112,000,000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Capital One, NA credit facility payable</w:t>
            </w:r>
          </w:p>
        </w:tc>
        <w:tc>
          <w:tcPr>
            <w:tcW w:w="140" w:type="dxa"/>
            <w:vAlign w:val="bottom"/>
          </w:tcPr>
          <w:p>
            <w:pPr>
              <w:spacing w:after="0"/>
              <w:rPr>
                <w:sz w:val="14"/>
                <w:szCs w:val="14"/>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216,969,469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2032 Asset-backed debt, net (par—$246,000,000)</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242,756,901</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Notes payable to members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161,000,000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143,290,000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payable on PSSL Credit Facility</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1,740,807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490,858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Interest payable on notes to members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2,655,607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32,719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178,438</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10,845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gridSpan w:val="2"/>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552,295,060</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360,793,891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gridSpan w:val="2"/>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51,264,131</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45,612,085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603,559,191</w:t>
            </w:r>
          </w:p>
        </w:tc>
        <w:tc>
          <w:tcPr>
            <w:tcW w:w="2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406,405,976</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120" w:type="dxa"/>
            <w:vAlign w:val="bottom"/>
            <w:tcBorders>
              <w:bottom w:val="single" w:sz="8" w:color="auto"/>
            </w:tcBorders>
          </w:tcPr>
          <w:p>
            <w:pPr>
              <w:spacing w:after="0"/>
              <w:rPr>
                <w:sz w:val="3"/>
                <w:szCs w:val="3"/>
                <w:color w:val="auto"/>
              </w:rPr>
            </w:pPr>
          </w:p>
        </w:tc>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190" w:lineRule="auto"/>
        <w:tabs>
          <w:tab w:leader="none" w:pos="380" w:val="left"/>
        </w:tabs>
        <w:numPr>
          <w:ilvl w:val="0"/>
          <w:numId w:val="53"/>
        </w:numPr>
        <w:rPr>
          <w:rFonts w:ascii="Arial" w:cs="Arial" w:eastAsia="Arial" w:hAnsi="Arial"/>
          <w:sz w:val="20"/>
          <w:szCs w:val="20"/>
          <w:b w:val="1"/>
          <w:bCs w:val="1"/>
          <w:color w:val="auto"/>
          <w:vertAlign w:val="superscript"/>
        </w:rPr>
      </w:pPr>
      <w:r>
        <w:rPr>
          <w:rFonts w:ascii="Arial" w:cs="Arial" w:eastAsia="Arial" w:hAnsi="Arial"/>
          <w:sz w:val="12"/>
          <w:szCs w:val="12"/>
          <w:color w:val="auto"/>
        </w:rPr>
        <w:t>As of both September 30, 2021 and 2020, PSSL had $0.6 million and zero unfunded commitments to fund investments, respectively.</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4400" w:type="dxa"/>
            <w:vAlign w:val="bottom"/>
          </w:tcPr>
          <w:p>
            <w:pPr>
              <w:ind w:left="2660"/>
              <w:spacing w:after="0"/>
              <w:rPr>
                <w:sz w:val="20"/>
                <w:szCs w:val="20"/>
                <w:color w:val="auto"/>
              </w:rPr>
            </w:pPr>
            <w:r>
              <w:rPr>
                <w:rFonts w:ascii="Arial" w:cs="Arial" w:eastAsia="Arial" w:hAnsi="Arial"/>
                <w:sz w:val="14"/>
                <w:szCs w:val="14"/>
                <w:b w:val="1"/>
                <w:bCs w:val="1"/>
                <w:color w:val="auto"/>
              </w:rPr>
              <w:t>Statements of Operations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6"/>
                <w:szCs w:val="16"/>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income:</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300" w:type="dxa"/>
            <w:vAlign w:val="bottom"/>
            <w:gridSpan w:val="2"/>
            <w:shd w:val="clear" w:color="auto" w:fill="CCECFF"/>
          </w:tcPr>
          <w:p>
            <w:pPr>
              <w:jc w:val="right"/>
              <w:ind w:right="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33,364,275</w:t>
            </w:r>
          </w:p>
        </w:tc>
        <w:tc>
          <w:tcPr>
            <w:tcW w:w="160" w:type="dxa"/>
            <w:vAlign w:val="bottom"/>
            <w:shd w:val="clear" w:color="auto" w:fill="CCECFF"/>
          </w:tcPr>
          <w:p>
            <w:pPr>
              <w:spacing w:after="0"/>
              <w:rPr>
                <w:sz w:val="14"/>
                <w:szCs w:val="14"/>
                <w:color w:val="auto"/>
              </w:rPr>
            </w:pPr>
          </w:p>
        </w:tc>
        <w:tc>
          <w:tcPr>
            <w:tcW w:w="260" w:type="dxa"/>
            <w:vAlign w:val="bottom"/>
            <w:gridSpan w:val="2"/>
            <w:shd w:val="clear" w:color="auto" w:fill="CCECFF"/>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33,260,154</w:t>
            </w:r>
          </w:p>
        </w:tc>
        <w:tc>
          <w:tcPr>
            <w:tcW w:w="280" w:type="dxa"/>
            <w:vAlign w:val="bottom"/>
            <w:shd w:val="clear" w:color="auto" w:fill="CCECFF"/>
          </w:tcPr>
          <w:p>
            <w:pPr>
              <w:spacing w:after="0"/>
              <w:rPr>
                <w:sz w:val="14"/>
                <w:szCs w:val="14"/>
                <w:color w:val="auto"/>
              </w:rPr>
            </w:pPr>
          </w:p>
        </w:tc>
        <w:tc>
          <w:tcPr>
            <w:tcW w:w="140" w:type="dxa"/>
            <w:vAlign w:val="bottom"/>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39,288,981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Borders>
              <w:bottom w:val="single" w:sz="8" w:color="CCECFF"/>
            </w:tcBorders>
            <w:gridSpan w:val="2"/>
          </w:tcPr>
          <w:p>
            <w:pPr>
              <w:ind w:left="26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982,118</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138,795</w:t>
            </w:r>
          </w:p>
        </w:tc>
        <w:tc>
          <w:tcPr>
            <w:tcW w:w="28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785,111</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gridSpan w:val="2"/>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1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34,346,393</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1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33,398,949</w:t>
            </w:r>
          </w:p>
        </w:tc>
        <w:tc>
          <w:tcPr>
            <w:tcW w:w="28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1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40,074,092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Interest and expenses on PSSL Credit Facility and 2032 Asset-Backed Debt</w:t>
            </w: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9,648,602</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11,865,971</w:t>
            </w:r>
          </w:p>
        </w:tc>
        <w:tc>
          <w:tcPr>
            <w:tcW w:w="2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16,487,783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gridSpan w:val="2"/>
          </w:tcPr>
          <w:p>
            <w:pPr>
              <w:ind w:left="260"/>
              <w:spacing w:after="0"/>
              <w:rPr>
                <w:sz w:val="20"/>
                <w:szCs w:val="20"/>
                <w:color w:val="auto"/>
              </w:rPr>
            </w:pPr>
            <w:r>
              <w:rPr>
                <w:rFonts w:ascii="Arial" w:cs="Arial" w:eastAsia="Arial" w:hAnsi="Arial"/>
                <w:sz w:val="14"/>
                <w:szCs w:val="14"/>
                <w:color w:val="auto"/>
              </w:rPr>
              <w:t>Interest expense on notes to members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12,635,490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13,531,037</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14,247,817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w:t>
            </w: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1,200,000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1,200,000</w:t>
            </w:r>
          </w:p>
        </w:tc>
        <w:tc>
          <w:tcPr>
            <w:tcW w:w="2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Borders>
              <w:bottom w:val="single" w:sz="8" w:color="CCECFF"/>
            </w:tcBorders>
            <w:gridSpan w:val="2"/>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1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906,134</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485,660</w:t>
            </w:r>
          </w:p>
        </w:tc>
        <w:tc>
          <w:tcPr>
            <w:tcW w:w="28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454,600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gridSpan w:val="2"/>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1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1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24,390,226</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1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27,082,668</w:t>
            </w:r>
          </w:p>
        </w:tc>
        <w:tc>
          <w:tcPr>
            <w:tcW w:w="28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1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32,340,200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2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9,956,167</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6,316,281</w:t>
            </w:r>
          </w:p>
        </w:tc>
        <w:tc>
          <w:tcPr>
            <w:tcW w:w="28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7,733,892</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520" w:type="dxa"/>
            <w:vAlign w:val="bottom"/>
            <w:gridSpan w:val="2"/>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Realized and unrealized (loss) gain on investments and credit facility foreign</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1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20" w:type="dxa"/>
            <w:vAlign w:val="bottom"/>
            <w:gridSpan w:val="2"/>
            <w:shd w:val="clear" w:color="auto" w:fill="CCECFF"/>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gridSpan w:val="2"/>
          </w:tcPr>
          <w:p>
            <w:pPr>
              <w:spacing w:after="0"/>
              <w:rPr>
                <w:sz w:val="20"/>
                <w:szCs w:val="20"/>
                <w:color w:val="auto"/>
              </w:rPr>
            </w:pPr>
            <w:r>
              <w:rPr>
                <w:rFonts w:ascii="Arial" w:cs="Arial" w:eastAsia="Arial" w:hAnsi="Arial"/>
                <w:sz w:val="14"/>
                <w:szCs w:val="14"/>
                <w:color w:val="auto"/>
              </w:rPr>
              <w:t>Net realized (loss) gain on 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(4,732,408)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(992,974)</w:t>
            </w:r>
          </w:p>
        </w:tc>
        <w:tc>
          <w:tcPr>
            <w:tcW w:w="14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(885,069)</w:t>
            </w:r>
          </w:p>
        </w:tc>
        <w:tc>
          <w:tcPr>
            <w:tcW w:w="0" w:type="dxa"/>
            <w:vAlign w:val="bottom"/>
          </w:tcPr>
          <w:p>
            <w:pPr>
              <w:spacing w:after="0"/>
              <w:rPr>
                <w:sz w:val="1"/>
                <w:szCs w:val="1"/>
                <w:color w:val="auto"/>
              </w:rPr>
            </w:pPr>
          </w:p>
        </w:tc>
      </w:tr>
      <w:tr>
        <w:trPr>
          <w:trHeight w:val="162"/>
        </w:trPr>
        <w:tc>
          <w:tcPr>
            <w:tcW w:w="65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gridSpan w:val="2"/>
          </w:tcPr>
          <w:p>
            <w:pPr>
              <w:ind w:left="260"/>
              <w:spacing w:after="0"/>
              <w:rPr>
                <w:sz w:val="20"/>
                <w:szCs w:val="20"/>
                <w:color w:val="auto"/>
              </w:rPr>
            </w:pPr>
            <w:r>
              <w:rPr>
                <w:rFonts w:ascii="Arial" w:cs="Arial" w:eastAsia="Arial" w:hAnsi="Arial"/>
                <w:sz w:val="14"/>
                <w:szCs w:val="14"/>
                <w:color w:val="auto"/>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3,377,322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(9,368,121)</w:t>
            </w:r>
          </w:p>
        </w:tc>
        <w:tc>
          <w:tcPr>
            <w:tcW w:w="14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(5,976,299)</w:t>
            </w:r>
          </w:p>
        </w:tc>
        <w:tc>
          <w:tcPr>
            <w:tcW w:w="0" w:type="dxa"/>
            <w:vAlign w:val="bottom"/>
          </w:tcPr>
          <w:p>
            <w:pPr>
              <w:spacing w:after="0"/>
              <w:rPr>
                <w:sz w:val="1"/>
                <w:szCs w:val="1"/>
                <w:color w:val="auto"/>
              </w:rPr>
            </w:pPr>
          </w:p>
        </w:tc>
      </w:tr>
      <w:tr>
        <w:trPr>
          <w:trHeight w:val="162"/>
        </w:trPr>
        <w:tc>
          <w:tcPr>
            <w:tcW w:w="65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Credit facility foreign currency translation</w:t>
            </w: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(489,034)</w:t>
            </w: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(2,210,907)</w:t>
            </w:r>
          </w:p>
        </w:tc>
        <w:tc>
          <w:tcPr>
            <w:tcW w:w="14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1,887,878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20" w:type="dxa"/>
            <w:vAlign w:val="bottom"/>
            <w:gridSpan w:val="2"/>
          </w:tcPr>
          <w:p>
            <w:pPr>
              <w:ind w:left="260"/>
              <w:spacing w:after="0" w:line="133" w:lineRule="exact"/>
              <w:rPr>
                <w:sz w:val="20"/>
                <w:szCs w:val="20"/>
                <w:color w:val="auto"/>
              </w:rPr>
            </w:pPr>
            <w:r>
              <w:rPr>
                <w:rFonts w:ascii="Arial" w:cs="Arial" w:eastAsia="Arial" w:hAnsi="Arial"/>
                <w:sz w:val="14"/>
                <w:szCs w:val="14"/>
                <w:b w:val="1"/>
                <w:bCs w:val="1"/>
                <w:color w:val="auto"/>
              </w:rPr>
              <w:t>Net change in unrealized (depreciation) appreciation on investments and credit</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20" w:type="dxa"/>
            <w:vAlign w:val="bottom"/>
            <w:gridSpan w:val="2"/>
          </w:tcPr>
          <w:p>
            <w:pPr>
              <w:ind w:left="360"/>
              <w:spacing w:after="0"/>
              <w:rPr>
                <w:sz w:val="20"/>
                <w:szCs w:val="20"/>
                <w:color w:val="auto"/>
              </w:rPr>
            </w:pPr>
            <w:r>
              <w:rPr>
                <w:rFonts w:ascii="Arial" w:cs="Arial" w:eastAsia="Arial" w:hAnsi="Arial"/>
                <w:sz w:val="14"/>
                <w:szCs w:val="14"/>
                <w:b w:val="1"/>
                <w:bCs w:val="1"/>
                <w:color w:val="auto"/>
              </w:rPr>
              <w:t>facility foreign currency translations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2,888,288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(11,579,028)</w:t>
            </w:r>
          </w:p>
        </w:tc>
        <w:tc>
          <w:tcPr>
            <w:tcW w:w="14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(4,088,421)</w:t>
            </w:r>
          </w:p>
        </w:tc>
        <w:tc>
          <w:tcPr>
            <w:tcW w:w="0" w:type="dxa"/>
            <w:vAlign w:val="bottom"/>
          </w:tcPr>
          <w:p>
            <w:pPr>
              <w:spacing w:after="0"/>
              <w:rPr>
                <w:sz w:val="1"/>
                <w:szCs w:val="1"/>
                <w:color w:val="auto"/>
              </w:rPr>
            </w:pPr>
          </w:p>
        </w:tc>
      </w:tr>
      <w:tr>
        <w:trPr>
          <w:trHeight w:val="133"/>
        </w:trPr>
        <w:tc>
          <w:tcPr>
            <w:tcW w:w="6520" w:type="dxa"/>
            <w:vAlign w:val="bottom"/>
            <w:tcBorders>
              <w:top w:val="single" w:sz="8" w:color="CCECFF"/>
            </w:tcBorders>
            <w:gridSpan w:val="2"/>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Net realized and unrealized (loss) gain from investments and credit facility foreign</w:t>
            </w:r>
          </w:p>
        </w:tc>
        <w:tc>
          <w:tcPr>
            <w:tcW w:w="1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160" w:type="dxa"/>
            <w:vAlign w:val="bottom"/>
            <w:tcBorders>
              <w:top w:val="single" w:sz="8" w:color="auto"/>
            </w:tcBorders>
            <w:shd w:val="clear" w:color="auto" w:fill="CCECFF"/>
          </w:tcPr>
          <w:p>
            <w:pPr>
              <w:spacing w:after="0"/>
              <w:rPr>
                <w:sz w:val="11"/>
                <w:szCs w:val="11"/>
                <w:color w:val="auto"/>
              </w:rPr>
            </w:pPr>
          </w:p>
        </w:tc>
        <w:tc>
          <w:tcPr>
            <w:tcW w:w="16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116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116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20" w:type="dxa"/>
            <w:vAlign w:val="bottom"/>
            <w:gridSpan w:val="2"/>
            <w:shd w:val="clear" w:color="auto" w:fill="CCECFF"/>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(1,844,120)</w:t>
            </w: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(12,572,002)</w:t>
            </w:r>
          </w:p>
        </w:tc>
        <w:tc>
          <w:tcPr>
            <w:tcW w:w="14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(4,973,490)</w:t>
            </w:r>
          </w:p>
        </w:tc>
        <w:tc>
          <w:tcPr>
            <w:tcW w:w="0" w:type="dxa"/>
            <w:vAlign w:val="bottom"/>
          </w:tcPr>
          <w:p>
            <w:pPr>
              <w:spacing w:after="0"/>
              <w:rPr>
                <w:sz w:val="1"/>
                <w:szCs w:val="1"/>
                <w:color w:val="auto"/>
              </w:rPr>
            </w:pPr>
          </w:p>
        </w:tc>
      </w:tr>
      <w:tr>
        <w:trPr>
          <w:trHeight w:val="156"/>
        </w:trPr>
        <w:tc>
          <w:tcPr>
            <w:tcW w:w="6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(decrease) in members' equity resulting from operations</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8,112,047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(6,255,721)</w:t>
            </w:r>
          </w:p>
        </w:tc>
        <w:tc>
          <w:tcPr>
            <w:tcW w:w="2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2,760,402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120" w:type="dxa"/>
            <w:vAlign w:val="bottom"/>
            <w:tcBorders>
              <w:bottom w:val="single" w:sz="8" w:color="auto"/>
            </w:tcBorders>
          </w:tcPr>
          <w:p>
            <w:pPr>
              <w:spacing w:after="0"/>
              <w:rPr>
                <w:sz w:val="3"/>
                <w:szCs w:val="3"/>
                <w:color w:val="auto"/>
              </w:rPr>
            </w:pPr>
          </w:p>
        </w:tc>
        <w:tc>
          <w:tcPr>
            <w:tcW w:w="4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190" w:lineRule="auto"/>
        <w:tabs>
          <w:tab w:leader="none" w:pos="380" w:val="left"/>
        </w:tabs>
        <w:numPr>
          <w:ilvl w:val="0"/>
          <w:numId w:val="54"/>
        </w:numPr>
        <w:rPr>
          <w:rFonts w:ascii="Arial" w:cs="Arial" w:eastAsia="Arial" w:hAnsi="Arial"/>
          <w:sz w:val="20"/>
          <w:szCs w:val="20"/>
          <w:b w:val="1"/>
          <w:bCs w:val="1"/>
          <w:color w:val="auto"/>
          <w:vertAlign w:val="superscript"/>
        </w:rPr>
      </w:pPr>
      <w:r>
        <w:rPr>
          <w:rFonts w:ascii="Arial" w:cs="Arial" w:eastAsia="Arial" w:hAnsi="Arial"/>
          <w:sz w:val="12"/>
          <w:szCs w:val="12"/>
          <w:color w:val="auto"/>
        </w:rPr>
        <w:t>No management or incentive fees are payable by PSSL. If any fees were to be charged, they would be separately disclosed in the Statements of Operations.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i w:val="1"/>
          <w:iCs w:val="1"/>
          <w:color w:val="auto"/>
        </w:rPr>
        <w:t>Recent Developments</w:t>
      </w:r>
    </w:p>
    <w:p>
      <w:pPr>
        <w:ind w:right="60" w:firstLine="729"/>
        <w:spacing w:after="0" w:line="226" w:lineRule="auto"/>
        <w:rPr>
          <w:sz w:val="20"/>
          <w:szCs w:val="20"/>
          <w:color w:val="auto"/>
        </w:rPr>
      </w:pPr>
      <w:r>
        <w:rPr>
          <w:rFonts w:ascii="Arial" w:cs="Arial" w:eastAsia="Arial" w:hAnsi="Arial"/>
          <w:sz w:val="14"/>
          <w:szCs w:val="14"/>
          <w:color w:val="auto"/>
        </w:rPr>
        <w:t>On October 6, 2021, we issued an additional $85 million aggregate principal amount of our 4.25% Notes due 2026 (the “Add-On Notes”) in an add-on offering (the “Add-On Offering”) pursuant to the Base Indenture, dated March 23, 2021 (the “Base Indenture”), between the Company and American Stock Transfer &amp; Trust Company, LLC (the “Trustee”), as supplemented by the First Supplemental Indenture, dated March 23, 2021, between the Company and the Trustee (together with the Base Indenture, the “Indenture”). In connection with the Add-On Offering, the Company entered into an underwriting agreement (the “Underwriting Agreement”), by and among the Company, PennantPark Investment Advisers, LLC (the “Investment Adviser”) and Goldman Sachs &amp; Co. LLC, Keefe, Bruyette &amp; Woods, Inc. and Truist Securities, Inc., as representatives of the several underwriters named on Schedule A to the Underwriting Agreement.</w:t>
      </w:r>
    </w:p>
    <w:p>
      <w:pPr>
        <w:spacing w:after="0" w:line="118" w:lineRule="exact"/>
        <w:rPr>
          <w:sz w:val="20"/>
          <w:szCs w:val="20"/>
          <w:color w:val="auto"/>
        </w:rPr>
      </w:pPr>
    </w:p>
    <w:p>
      <w:pPr>
        <w:ind w:right="100" w:firstLine="729"/>
        <w:spacing w:after="0" w:line="253" w:lineRule="auto"/>
        <w:rPr>
          <w:sz w:val="20"/>
          <w:szCs w:val="20"/>
          <w:color w:val="auto"/>
        </w:rPr>
      </w:pPr>
      <w:r>
        <w:rPr>
          <w:rFonts w:ascii="Arial" w:cs="Arial" w:eastAsia="Arial" w:hAnsi="Arial"/>
          <w:sz w:val="14"/>
          <w:szCs w:val="14"/>
          <w:color w:val="auto"/>
        </w:rPr>
        <w:t>The Add-On Notes constitute a further issuance of the $100 million aggregate principal amount of the 2026 Notes issued by the Company on March 23, 2021 (the “Existing Notes”) under the Indenture.</w:t>
      </w:r>
    </w:p>
    <w:p>
      <w:pPr>
        <w:spacing w:after="0" w:line="106" w:lineRule="exact"/>
        <w:rPr>
          <w:sz w:val="20"/>
          <w:szCs w:val="20"/>
          <w:color w:val="auto"/>
        </w:rPr>
      </w:pPr>
    </w:p>
    <w:p>
      <w:pPr>
        <w:ind w:right="120" w:firstLine="729"/>
        <w:spacing w:after="0" w:line="238" w:lineRule="auto"/>
        <w:rPr>
          <w:sz w:val="20"/>
          <w:szCs w:val="20"/>
          <w:color w:val="auto"/>
        </w:rPr>
      </w:pPr>
      <w:r>
        <w:rPr>
          <w:rFonts w:ascii="Arial" w:cs="Arial" w:eastAsia="Arial" w:hAnsi="Arial"/>
          <w:sz w:val="14"/>
          <w:szCs w:val="14"/>
          <w:color w:val="auto"/>
        </w:rPr>
        <w:t>The Add-On Notes are treated as a single series with the Existing Notes and have the same terms as the Existing Notes, other than the issue date and the offering price. The Add-On Notes have the same CUSIP number and are fungible and rank equally with the Existing Notes. Upon issuance of the Add-On Notes, the outstanding aggregate principal amount of the Company’s 4.25% notes due 2026 is $185 million.</w:t>
      </w:r>
    </w:p>
    <w:p>
      <w:pPr>
        <w:spacing w:after="0" w:line="264"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Subsequent to quarter end, PFLT had new funded investments of $82.3 million, net of sales and repayments. PSSL had new funded investments of $23.3 million, net of sales and repayments.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investment company taxable income, determined without regard to any deduction for dividends paid.</w:t>
      </w:r>
    </w:p>
    <w:p>
      <w:pPr>
        <w:spacing w:after="0" w:line="115"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During both years ended September 30, 2021 and 2020, we declared distributions of $1.14 per share for total distributions of $44.2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On November 22, 2017, we terminated our dividend reinvestment plan. The termination of the plan applies to the reinvestment of cash distributions paid on or after December 22, 2017.</w:t>
      </w:r>
    </w:p>
    <w:p>
      <w:pPr>
        <w:spacing w:after="0" w:line="148"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right="180" w:firstLine="438"/>
        <w:spacing w:after="0" w:line="255" w:lineRule="auto"/>
        <w:rPr>
          <w:sz w:val="20"/>
          <w:szCs w:val="20"/>
          <w:color w:val="auto"/>
        </w:rPr>
      </w:pPr>
      <w:r>
        <w:rPr>
          <w:rFonts w:ascii="Arial" w:cs="Arial" w:eastAsia="Arial" w:hAnsi="Arial"/>
          <w:sz w:val="13"/>
          <w:szCs w:val="13"/>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evaluating the potential impact that the adoption of this guidance will have on the Company’s financial statements.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56" w:name="page57"/>
    <w:bookmarkEnd w:id="56"/>
    <w:p>
      <w:pPr>
        <w:spacing w:after="0"/>
        <w:tabs>
          <w:tab w:leader="none" w:pos="98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September 30, 2021, our debt portfolio consisted of 99% variable-rate investments. The variable-rate loans are usually based on a LIBOR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03"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jc w:val="center"/>
              <w:ind w:left="588"/>
              <w:spacing w:after="0"/>
              <w:rPr>
                <w:sz w:val="20"/>
                <w:szCs w:val="20"/>
                <w:color w:val="auto"/>
              </w:rPr>
            </w:pPr>
            <w:r>
              <w:rPr>
                <w:rFonts w:ascii="Arial" w:cs="Arial" w:eastAsia="Arial" w:hAnsi="Arial"/>
                <w:sz w:val="14"/>
                <w:szCs w:val="14"/>
                <w:b w:val="1"/>
                <w:bCs w:val="1"/>
                <w:color w:val="auto"/>
                <w:w w:val="93"/>
              </w:rPr>
              <w:t>Change in Interest Income,</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Change in Interest Income,</w:t>
            </w:r>
          </w:p>
        </w:tc>
        <w:tc>
          <w:tcPr>
            <w:tcW w:w="0" w:type="dxa"/>
            <w:vAlign w:val="bottom"/>
          </w:tcPr>
          <w:p>
            <w:pPr>
              <w:spacing w:after="0"/>
              <w:rPr>
                <w:sz w:val="1"/>
                <w:szCs w:val="1"/>
                <w:color w:val="auto"/>
              </w:rPr>
            </w:pPr>
          </w:p>
        </w:tc>
      </w:tr>
      <w:tr>
        <w:trPr>
          <w:trHeight w:val="149"/>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Change in Interest Rates</w:t>
            </w:r>
          </w:p>
        </w:tc>
        <w:tc>
          <w:tcPr>
            <w:tcW w:w="220" w:type="dxa"/>
            <w:vAlign w:val="bottom"/>
          </w:tcPr>
          <w:p>
            <w:pPr>
              <w:spacing w:after="0"/>
              <w:rPr>
                <w:sz w:val="12"/>
                <w:szCs w:val="12"/>
                <w:color w:val="auto"/>
              </w:rPr>
            </w:pPr>
          </w:p>
        </w:tc>
        <w:tc>
          <w:tcPr>
            <w:tcW w:w="282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w w:val="92"/>
              </w:rPr>
              <w:t>Net of Interest Expense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jc w:val="center"/>
              <w:ind w:left="588"/>
              <w:spacing w:after="0"/>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2820" w:type="dxa"/>
            <w:vAlign w:val="bottom"/>
            <w:tcBorders>
              <w:top w:val="single" w:sz="8" w:color="auto"/>
            </w:tcBorders>
            <w:shd w:val="clear" w:color="auto" w:fill="CCECFF"/>
          </w:tcPr>
          <w:p>
            <w:pPr>
              <w:jc w:val="right"/>
              <w:ind w:right="266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(903)</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(1,651)</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right"/>
              <w:ind w:right="80"/>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220" w:type="dxa"/>
            <w:vAlign w:val="bottom"/>
            <w:shd w:val="clear" w:color="auto" w:fill="CCECFF"/>
          </w:tcPr>
          <w:p>
            <w:pPr>
              <w:spacing w:after="0"/>
              <w:rPr>
                <w:sz w:val="14"/>
                <w:szCs w:val="14"/>
                <w:color w:val="auto"/>
              </w:rPr>
            </w:pPr>
          </w:p>
        </w:tc>
        <w:tc>
          <w:tcPr>
            <w:tcW w:w="282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3,463</w:t>
            </w: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8,577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Arial" w:cs="Arial" w:eastAsia="Arial" w:hAnsi="Arial"/>
                <w:sz w:val="14"/>
                <w:szCs w:val="14"/>
                <w:color w:val="auto"/>
              </w:rPr>
              <w:t>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3040" w:type="dxa"/>
            <w:vAlign w:val="bottom"/>
            <w:gridSpan w:val="2"/>
            <w:shd w:val="clear" w:color="auto" w:fill="CCECFF"/>
          </w:tcPr>
          <w:p>
            <w:pPr>
              <w:jc w:val="right"/>
              <w:ind w:right="26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13,690</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6"/>
        </w:trPr>
        <w:tc>
          <w:tcPr>
            <w:tcW w:w="72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7780" w:type="dxa"/>
            <w:vAlign w:val="bottom"/>
            <w:gridSpan w:val="10"/>
          </w:tcPr>
          <w:p>
            <w:pPr>
              <w:ind w:left="280"/>
              <w:spacing w:after="0"/>
              <w:rPr>
                <w:sz w:val="20"/>
                <w:szCs w:val="20"/>
                <w:color w:val="auto"/>
              </w:rPr>
            </w:pPr>
            <w:r>
              <w:rPr>
                <w:rFonts w:ascii="Arial" w:cs="Arial" w:eastAsia="Arial" w:hAnsi="Arial"/>
                <w:sz w:val="14"/>
                <w:szCs w:val="14"/>
                <w:b w:val="1"/>
                <w:bCs w:val="1"/>
                <w:color w:val="auto"/>
              </w:rPr>
              <w:t>Consolidated Financial Statements and Supplementary Data</w:t>
            </w:r>
          </w:p>
        </w:tc>
        <w:tc>
          <w:tcPr>
            <w:tcW w:w="2760" w:type="dxa"/>
            <w:vAlign w:val="bottom"/>
          </w:tcPr>
          <w:p>
            <w:pPr>
              <w:spacing w:after="0"/>
              <w:rPr>
                <w:sz w:val="16"/>
                <w:szCs w:val="16"/>
                <w:color w:val="auto"/>
              </w:rPr>
            </w:pPr>
          </w:p>
        </w:tc>
      </w:tr>
      <w:tr>
        <w:trPr>
          <w:trHeight w:val="297"/>
        </w:trPr>
        <w:tc>
          <w:tcPr>
            <w:tcW w:w="7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760" w:type="dxa"/>
            <w:vAlign w:val="bottom"/>
          </w:tcPr>
          <w:p>
            <w:pPr>
              <w:jc w:val="right"/>
              <w:ind w:right="68"/>
              <w:spacing w:after="0"/>
              <w:rPr>
                <w:sz w:val="20"/>
                <w:szCs w:val="20"/>
                <w:color w:val="auto"/>
              </w:rPr>
            </w:pPr>
            <w:r>
              <w:rPr>
                <w:rFonts w:ascii="Arial" w:cs="Arial" w:eastAsia="Arial" w:hAnsi="Arial"/>
                <w:sz w:val="14"/>
                <w:szCs w:val="14"/>
                <w:b w:val="1"/>
                <w:bCs w:val="1"/>
                <w:color w:val="auto"/>
              </w:rPr>
              <w:t>Page</w:t>
            </w:r>
          </w:p>
        </w:tc>
      </w:tr>
      <w:tr>
        <w:trPr>
          <w:trHeight w:val="268"/>
        </w:trPr>
        <w:tc>
          <w:tcPr>
            <w:tcW w:w="8500" w:type="dxa"/>
            <w:vAlign w:val="bottom"/>
            <w:gridSpan w:val="11"/>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Management’s Report on Internal Control Over Financial Reporting</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77"/>
        </w:trPr>
        <w:tc>
          <w:tcPr>
            <w:tcW w:w="3380" w:type="dxa"/>
            <w:vAlign w:val="bottom"/>
            <w:tcBorders>
              <w:top w:val="single" w:sz="8" w:color="0000EE"/>
              <w:bottom w:val="single" w:sz="8" w:color="0000EE"/>
            </w:tcBorders>
            <w:gridSpan w:val="3"/>
          </w:tcPr>
          <w:p>
            <w:pPr>
              <w:spacing w:after="0"/>
              <w:rPr>
                <w:rFonts w:ascii="Arial" w:cs="Arial" w:eastAsia="Arial" w:hAnsi="Arial"/>
                <w:sz w:val="14"/>
                <w:szCs w:val="14"/>
                <w:color w:val="0000EE"/>
                <w:w w:val="93"/>
              </w:rPr>
            </w:pPr>
            <w:hyperlink w:anchor="page60">
              <w:r>
                <w:rPr>
                  <w:rFonts w:ascii="Arial" w:cs="Arial" w:eastAsia="Arial" w:hAnsi="Arial"/>
                  <w:sz w:val="14"/>
                  <w:szCs w:val="14"/>
                  <w:color w:val="0000EE"/>
                  <w:w w:val="93"/>
                </w:rPr>
                <w:t>Report of Independent Registered Public Accounting Firm</w:t>
              </w:r>
            </w:hyperlink>
          </w:p>
        </w:tc>
        <w:tc>
          <w:tcPr>
            <w:tcW w:w="540" w:type="dxa"/>
            <w:vAlign w:val="bottom"/>
            <w:tcBorders>
              <w:top w:val="single" w:sz="8" w:color="0000EE"/>
            </w:tcBorders>
          </w:tcPr>
          <w:p>
            <w:pPr>
              <w:spacing w:after="0"/>
              <w:rPr>
                <w:sz w:val="24"/>
                <w:szCs w:val="24"/>
                <w:color w:val="auto"/>
              </w:rPr>
            </w:pPr>
          </w:p>
        </w:tc>
        <w:tc>
          <w:tcPr>
            <w:tcW w:w="4580" w:type="dxa"/>
            <w:vAlign w:val="bottom"/>
            <w:gridSpan w:val="7"/>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77"/>
        </w:trPr>
        <w:tc>
          <w:tcPr>
            <w:tcW w:w="8500" w:type="dxa"/>
            <w:vAlign w:val="bottom"/>
            <w:gridSpan w:val="11"/>
          </w:tcPr>
          <w:p>
            <w:pPr>
              <w:spacing w:after="0"/>
              <w:rPr>
                <w:rFonts w:ascii="Arial" w:cs="Arial" w:eastAsia="Arial" w:hAnsi="Arial"/>
                <w:sz w:val="14"/>
                <w:szCs w:val="14"/>
                <w:color w:val="0000EE"/>
              </w:rPr>
            </w:pPr>
            <w:hyperlink w:anchor="page61">
              <w:r>
                <w:rPr>
                  <w:rFonts w:ascii="Arial" w:cs="Arial" w:eastAsia="Arial" w:hAnsi="Arial"/>
                  <w:sz w:val="14"/>
                  <w:szCs w:val="14"/>
                  <w:color w:val="0000EE"/>
                </w:rPr>
                <w:t>Report of Independent Registered Public Accounting Firm on Internal Control Over Financial Reporting</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77"/>
        </w:trPr>
        <w:tc>
          <w:tcPr>
            <w:tcW w:w="4940" w:type="dxa"/>
            <w:vAlign w:val="bottom"/>
            <w:tcBorders>
              <w:top w:val="single" w:sz="8" w:color="0000EE"/>
              <w:bottom w:val="single" w:sz="8" w:color="0000EE"/>
            </w:tcBorders>
            <w:gridSpan w:val="6"/>
          </w:tcPr>
          <w:p>
            <w:pPr>
              <w:spacing w:after="0"/>
              <w:rPr>
                <w:rFonts w:ascii="Arial" w:cs="Arial" w:eastAsia="Arial" w:hAnsi="Arial"/>
                <w:sz w:val="14"/>
                <w:szCs w:val="14"/>
                <w:color w:val="0000EE"/>
                <w:w w:val="92"/>
              </w:rPr>
            </w:pPr>
            <w:hyperlink w:anchor="page62">
              <w:r>
                <w:rPr>
                  <w:rFonts w:ascii="Arial" w:cs="Arial" w:eastAsia="Arial" w:hAnsi="Arial"/>
                  <w:sz w:val="14"/>
                  <w:szCs w:val="14"/>
                  <w:color w:val="0000EE"/>
                  <w:w w:val="92"/>
                </w:rPr>
                <w:t>Consolidated Statements of Assets and Liabilities as of September 30, 2021 and 2020</w:t>
              </w:r>
            </w:hyperlink>
          </w:p>
        </w:tc>
        <w:tc>
          <w:tcPr>
            <w:tcW w:w="1080" w:type="dxa"/>
            <w:vAlign w:val="bottom"/>
            <w:tcBorders>
              <w:top w:val="single" w:sz="8" w:color="0000EE"/>
            </w:tcBorders>
            <w:gridSpan w:val="3"/>
          </w:tcPr>
          <w:p>
            <w:pPr>
              <w:spacing w:after="0"/>
              <w:rPr>
                <w:sz w:val="24"/>
                <w:szCs w:val="24"/>
                <w:color w:val="auto"/>
              </w:rPr>
            </w:pPr>
          </w:p>
        </w:tc>
        <w:tc>
          <w:tcPr>
            <w:tcW w:w="2480" w:type="dxa"/>
            <w:vAlign w:val="bottom"/>
            <w:gridSpan w:val="2"/>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77"/>
        </w:trPr>
        <w:tc>
          <w:tcPr>
            <w:tcW w:w="8500" w:type="dxa"/>
            <w:vAlign w:val="bottom"/>
            <w:gridSpan w:val="11"/>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Consolidated Statements of Operations for the years ended September 30, 2021, 2020 and 2019</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0"/>
        </w:trPr>
        <w:tc>
          <w:tcPr>
            <w:tcW w:w="2740" w:type="dxa"/>
            <w:vAlign w:val="bottom"/>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77"/>
        </w:trPr>
        <w:tc>
          <w:tcPr>
            <w:tcW w:w="6180" w:type="dxa"/>
            <w:vAlign w:val="bottom"/>
            <w:tcBorders>
              <w:bottom w:val="single" w:sz="8" w:color="0000EE"/>
            </w:tcBorders>
            <w:gridSpan w:val="10"/>
          </w:tcPr>
          <w:p>
            <w:pPr>
              <w:spacing w:after="0"/>
              <w:rPr>
                <w:rFonts w:ascii="Arial" w:cs="Arial" w:eastAsia="Arial" w:hAnsi="Arial"/>
                <w:sz w:val="14"/>
                <w:szCs w:val="14"/>
                <w:color w:val="0000EE"/>
                <w:w w:val="91"/>
              </w:rPr>
            </w:pPr>
            <w:hyperlink w:anchor="page64">
              <w:r>
                <w:rPr>
                  <w:rFonts w:ascii="Arial" w:cs="Arial" w:eastAsia="Arial" w:hAnsi="Arial"/>
                  <w:sz w:val="14"/>
                  <w:szCs w:val="14"/>
                  <w:color w:val="0000EE"/>
                  <w:w w:val="91"/>
                </w:rPr>
                <w:t>Consolidated Statements of Changes in Net Assets for the years ended September 30, 2021, 2020 and 2019</w:t>
              </w:r>
            </w:hyperlink>
          </w:p>
        </w:tc>
        <w:tc>
          <w:tcPr>
            <w:tcW w:w="232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77"/>
        </w:trPr>
        <w:tc>
          <w:tcPr>
            <w:tcW w:w="5560" w:type="dxa"/>
            <w:vAlign w:val="bottom"/>
            <w:tcBorders>
              <w:bottom w:val="single" w:sz="8" w:color="0000EE"/>
            </w:tcBorders>
            <w:gridSpan w:val="8"/>
          </w:tcPr>
          <w:p>
            <w:pPr>
              <w:spacing w:after="0"/>
              <w:rPr>
                <w:rFonts w:ascii="Arial" w:cs="Arial" w:eastAsia="Arial" w:hAnsi="Arial"/>
                <w:sz w:val="14"/>
                <w:szCs w:val="14"/>
                <w:color w:val="0000EE"/>
                <w:w w:val="91"/>
              </w:rPr>
            </w:pPr>
            <w:hyperlink w:anchor="page65">
              <w:r>
                <w:rPr>
                  <w:rFonts w:ascii="Arial" w:cs="Arial" w:eastAsia="Arial" w:hAnsi="Arial"/>
                  <w:sz w:val="14"/>
                  <w:szCs w:val="14"/>
                  <w:color w:val="0000EE"/>
                  <w:w w:val="91"/>
                </w:rPr>
                <w:t>Consolidated Statements of Cash Flows for the years ended September 30, 2021, 2020 and 2019</w:t>
              </w:r>
            </w:hyperlink>
          </w:p>
        </w:tc>
        <w:tc>
          <w:tcPr>
            <w:tcW w:w="2940" w:type="dxa"/>
            <w:vAlign w:val="bottom"/>
            <w:gridSpan w:val="3"/>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77"/>
        </w:trPr>
        <w:tc>
          <w:tcPr>
            <w:tcW w:w="8500" w:type="dxa"/>
            <w:vAlign w:val="bottom"/>
            <w:gridSpan w:val="11"/>
          </w:tcPr>
          <w:p>
            <w:pPr>
              <w:spacing w:after="0"/>
              <w:rPr>
                <w:rFonts w:ascii="Arial" w:cs="Arial" w:eastAsia="Arial" w:hAnsi="Arial"/>
                <w:sz w:val="14"/>
                <w:szCs w:val="14"/>
                <w:color w:val="0000EE"/>
              </w:rPr>
            </w:pPr>
            <w:hyperlink w:anchor="page66">
              <w:r>
                <w:rPr>
                  <w:rFonts w:ascii="Arial" w:cs="Arial" w:eastAsia="Arial" w:hAnsi="Arial"/>
                  <w:sz w:val="14"/>
                  <w:szCs w:val="14"/>
                  <w:color w:val="0000EE"/>
                </w:rPr>
                <w:t>Consolidated Schedules of Investments as of September 30, 2021 and 2020</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77"/>
        </w:trPr>
        <w:tc>
          <w:tcPr>
            <w:tcW w:w="274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91"/>
              </w:rPr>
            </w:pPr>
            <w:hyperlink w:anchor="page75">
              <w:r>
                <w:rPr>
                  <w:rFonts w:ascii="Arial" w:cs="Arial" w:eastAsia="Arial" w:hAnsi="Arial"/>
                  <w:sz w:val="14"/>
                  <w:szCs w:val="14"/>
                  <w:color w:val="0000EE"/>
                  <w:w w:val="91"/>
                </w:rPr>
                <w:t>Notes to the Consolidated Financial Statements</w:t>
              </w:r>
            </w:hyperlink>
          </w:p>
        </w:tc>
        <w:tc>
          <w:tcPr>
            <w:tcW w:w="1600" w:type="dxa"/>
            <w:vAlign w:val="bottom"/>
            <w:tcBorders>
              <w:top w:val="single" w:sz="8" w:color="0000EE"/>
            </w:tcBorders>
            <w:gridSpan w:val="3"/>
          </w:tcPr>
          <w:p>
            <w:pPr>
              <w:spacing w:after="0"/>
              <w:rPr>
                <w:sz w:val="24"/>
                <w:szCs w:val="24"/>
                <w:color w:val="auto"/>
              </w:rPr>
            </w:pPr>
          </w:p>
        </w:tc>
        <w:tc>
          <w:tcPr>
            <w:tcW w:w="4160" w:type="dxa"/>
            <w:vAlign w:val="bottom"/>
            <w:gridSpan w:val="6"/>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522"/>
        </w:trPr>
        <w:tc>
          <w:tcPr>
            <w:tcW w:w="720" w:type="dxa"/>
            <w:vAlign w:val="bottom"/>
          </w:tcPr>
          <w:p>
            <w:pPr>
              <w:spacing w:after="0"/>
              <w:rPr>
                <w:sz w:val="24"/>
                <w:szCs w:val="24"/>
                <w:color w:val="auto"/>
              </w:rPr>
            </w:pPr>
          </w:p>
        </w:tc>
        <w:tc>
          <w:tcPr>
            <w:tcW w:w="5300" w:type="dxa"/>
            <w:vAlign w:val="bottom"/>
            <w:gridSpan w:val="8"/>
          </w:tcPr>
          <w:p>
            <w:pPr>
              <w:jc w:val="right"/>
              <w:ind w:right="320"/>
              <w:spacing w:after="0"/>
              <w:rPr>
                <w:sz w:val="20"/>
                <w:szCs w:val="20"/>
                <w:color w:val="auto"/>
              </w:rPr>
            </w:pPr>
            <w:r>
              <w:rPr>
                <w:rFonts w:ascii="Arial" w:cs="Arial" w:eastAsia="Arial" w:hAnsi="Arial"/>
                <w:sz w:val="14"/>
                <w:szCs w:val="14"/>
                <w:color w:val="auto"/>
              </w:rPr>
              <w:t>56</w:t>
            </w: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00"/>
        </w:trPr>
        <w:tc>
          <w:tcPr>
            <w:tcW w:w="72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75"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2021. Our internal control system is a process designed to provide reasonable assurance to our management and board of directors regarding the preparation and fair presentation of published financial statements.</w:t>
      </w:r>
    </w:p>
    <w:p>
      <w:pPr>
        <w:spacing w:after="0" w:line="117"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2"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 xml:space="preserve">Management assessed the effectiveness of the Company’s internal control over financial reporting as of September 30, 2021. In making this assessment, we used the criteria set forth by the Committee of Sponsoring Organizations of the Treadway Commission in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2021, our internal control over financial reporting is effective based on those criteria.</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Company’s independent registered public accounting firm has issued an audit report on the effectiveness of our internal control over financial reporting as of September 30, 2021.</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This report appears on page 59.</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9" w:name="page60"/>
    <w:bookmarkEnd w:id="59"/>
    <w:p>
      <w:pPr>
        <w:jc w:val="center"/>
        <w:ind w:right="-7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We have audited the accompanying consolidated statements of assets and liabilities of PennantPark Floating Rate Capital Ltd. and its Subsidiaries (the Company), including the consolidated</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schedules of investments, as of September 30, 2021 and 2020, and the related consolidated statements of operations, changes in net assets and cash flows for each of the three years in the period</w:t>
      </w:r>
    </w:p>
    <w:p>
      <w:pPr>
        <w:spacing w:after="0" w:line="36" w:lineRule="exact"/>
        <w:rPr>
          <w:sz w:val="20"/>
          <w:szCs w:val="20"/>
          <w:color w:val="auto"/>
        </w:rPr>
      </w:pPr>
    </w:p>
    <w:p>
      <w:pPr>
        <w:ind w:right="380"/>
        <w:spacing w:after="0" w:line="232" w:lineRule="auto"/>
        <w:rPr>
          <w:sz w:val="20"/>
          <w:szCs w:val="20"/>
          <w:color w:val="auto"/>
        </w:rPr>
      </w:pPr>
      <w:r>
        <w:rPr>
          <w:rFonts w:ascii="Arial" w:cs="Arial" w:eastAsia="Arial" w:hAnsi="Arial"/>
          <w:sz w:val="14"/>
          <w:szCs w:val="14"/>
          <w:color w:val="auto"/>
        </w:rPr>
        <w:t>ended September 30, 2021, and the related notes to the consolidated financial statements (collectively, the financial statements). In our opinion, the financial statements present fairly, in all material respects, the financial position of the Company as of September 30, 2021 and 2020, and the results of its operations and cash flows for each of the three years in the period ended September 30, 2021, in conformity with accounting principles generally accepted in the United States of America.</w:t>
      </w:r>
    </w:p>
    <w:p>
      <w:pPr>
        <w:spacing w:after="0" w:line="115"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 xml:space="preserve">We have also audited, in accordance with the standards of the Public Company Accounting Oversight Board (United States) (PCAOB), the Company's internal control over financial reporting as of September 30, 2021, based on criteria established in </w:t>
      </w:r>
      <w:r>
        <w:rPr>
          <w:rFonts w:ascii="Arial" w:cs="Arial" w:eastAsia="Arial" w:hAnsi="Arial"/>
          <w:sz w:val="13"/>
          <w:szCs w:val="13"/>
          <w:i w:val="1"/>
          <w:iCs w:val="1"/>
          <w:color w:val="auto"/>
        </w:rPr>
        <w:t>Internal Control — Integrated Framework issued</w:t>
      </w:r>
      <w:r>
        <w:rPr>
          <w:rFonts w:ascii="Arial" w:cs="Arial" w:eastAsia="Arial" w:hAnsi="Arial"/>
          <w:sz w:val="13"/>
          <w:szCs w:val="13"/>
          <w:color w:val="auto"/>
        </w:rPr>
        <w:t xml:space="preserve"> by the Committee of Sponsoring Organizations of the Treadway Commission in 2013, and our report dated November 17, 2021, expressed an unqualified opinion on the effectiveness of the Company’s internal control over financial reporting.</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4" w:lineRule="exact"/>
        <w:rPr>
          <w:sz w:val="20"/>
          <w:szCs w:val="20"/>
          <w:color w:val="auto"/>
        </w:rPr>
      </w:pPr>
    </w:p>
    <w:p>
      <w:pPr>
        <w:jc w:val="both"/>
        <w:ind w:right="80"/>
        <w:spacing w:after="0" w:line="232"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106"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securities owned as of September 30, 2021 and 2020, by correspondence with the custodians and brokers or by other appropriate auditing procedures where replies from brokers were not received.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4" w:lineRule="exact"/>
        <w:rPr>
          <w:sz w:val="20"/>
          <w:szCs w:val="20"/>
          <w:color w:val="auto"/>
        </w:rPr>
      </w:pPr>
    </w:p>
    <w:p>
      <w:pPr>
        <w:ind w:right="100"/>
        <w:spacing w:after="0" w:line="229"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Level 3 Fair Value Measurements</w:t>
      </w:r>
    </w:p>
    <w:p>
      <w:pPr>
        <w:spacing w:after="0" w:line="4"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color w:val="auto"/>
        </w:rPr>
        <w:t>The fair value of the Company’s investments valued using Level 3 fair value measurements was approximately $1.02 billion as of September 30, 2021. The fair value of the Company’s financial instruments classified as liabilities valued using Level 3 fair value measurements was approximately $218.9 million as of September 30, 2021. As discussed in Notes 2 and 5 to the consolidated financial statements, the Company’s investment portfolio generally consists of illiquid securities, including debt and equity investments, which were acquired directly from the issuer. Such investments include first lien secured debt, second lien secured debt, subordinated debt and equity investments. Additionally, the Company has elected to apply the fair value option to certain financial instruments classified as liabilities. The inputs into the determination of fair value may require significant management judgment or estimation.</w:t>
      </w:r>
    </w:p>
    <w:p>
      <w:pPr>
        <w:spacing w:after="0" w:line="113" w:lineRule="exact"/>
        <w:rPr>
          <w:sz w:val="20"/>
          <w:szCs w:val="20"/>
          <w:color w:val="auto"/>
        </w:rPr>
      </w:pPr>
    </w:p>
    <w:p>
      <w:pPr>
        <w:jc w:val="both"/>
        <w:ind w:right="300"/>
        <w:spacing w:after="0" w:line="238" w:lineRule="auto"/>
        <w:rPr>
          <w:sz w:val="20"/>
          <w:szCs w:val="20"/>
          <w:color w:val="auto"/>
        </w:rPr>
      </w:pPr>
      <w:r>
        <w:rPr>
          <w:rFonts w:ascii="Arial" w:cs="Arial" w:eastAsia="Arial" w:hAnsi="Arial"/>
          <w:sz w:val="14"/>
          <w:szCs w:val="14"/>
          <w:color w:val="auto"/>
        </w:rPr>
        <w:t>We identified Level 3 fair value measurements as a critical audit matter due to the subjective nature of the judgments necessary for management to select valuation techniques and the use of significant unobservable inputs to estimate the fair value. Auditing the reasonableness of management’s selection of valuation technique and the related unobservable inputs required a high degree of auditor judgment and increased audit effort, including the use of a valuation specialist.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The primary procedures we performed to address this critical audit matter included the following, among others:</w:t>
      </w:r>
    </w:p>
    <w:p>
      <w:pPr>
        <w:spacing w:after="0" w:line="136" w:lineRule="exact"/>
        <w:rPr>
          <w:sz w:val="20"/>
          <w:szCs w:val="20"/>
          <w:color w:val="auto"/>
        </w:rPr>
      </w:pPr>
    </w:p>
    <w:p>
      <w:pPr>
        <w:ind w:left="620" w:right="360" w:hanging="72"/>
        <w:spacing w:after="0" w:line="230" w:lineRule="auto"/>
        <w:tabs>
          <w:tab w:leader="none" w:pos="6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We obtained an understanding of the relevant controls related to management’s valuation of Level 3 fair value measurements, including those related to valuation techniques and significant unobservable inputs and tested such controls for design and operating effectiveness.</w:t>
      </w:r>
    </w:p>
    <w:p>
      <w:pPr>
        <w:ind w:left="620" w:right="280" w:hanging="72"/>
        <w:spacing w:after="0" w:line="238" w:lineRule="auto"/>
        <w:tabs>
          <w:tab w:leader="none" w:pos="6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With the assistance of our valuation specialists, we evaluated the appropriateness of the selected valuation techniques, and any changes to selected valuation techniques from prior periods, used for Level 3 fair value measurements. We also tested the related significant unobservable inputs by comparing these inputs to external sources.</w:t>
      </w:r>
    </w:p>
    <w:p>
      <w:pPr>
        <w:ind w:left="620" w:right="40" w:hanging="72"/>
        <w:spacing w:after="0" w:line="237" w:lineRule="auto"/>
        <w:tabs>
          <w:tab w:leader="none" w:pos="6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We evaluated management’s historical ability to estimate fair value through comparison of previous estimates to the transaction price of available transactions occurring subsequent to the previous valuation date.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2013.</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17, 2021</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6" w:right="39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Internal Control Over Financial Reporting</w:t>
      </w:r>
    </w:p>
    <w:p>
      <w:pPr>
        <w:spacing w:after="0" w:line="4" w:lineRule="exact"/>
        <w:rPr>
          <w:sz w:val="20"/>
          <w:szCs w:val="20"/>
          <w:color w:val="auto"/>
        </w:rPr>
      </w:pPr>
    </w:p>
    <w:p>
      <w:pPr>
        <w:ind w:right="100"/>
        <w:spacing w:after="0" w:line="229" w:lineRule="auto"/>
        <w:rPr>
          <w:sz w:val="20"/>
          <w:szCs w:val="20"/>
          <w:color w:val="auto"/>
        </w:rPr>
      </w:pPr>
      <w:r>
        <w:rPr>
          <w:rFonts w:ascii="Arial" w:cs="Arial" w:eastAsia="Arial" w:hAnsi="Arial"/>
          <w:sz w:val="14"/>
          <w:szCs w:val="14"/>
          <w:color w:val="auto"/>
        </w:rPr>
        <w:t xml:space="preserve">We have audited PennantPark Floating Rate Capital Ltd. and its Subsidiaries' (the Company) internal control over financial reporting as of September 30, 2021, based on criteria established in </w:t>
      </w:r>
      <w:r>
        <w:rPr>
          <w:rFonts w:ascii="Arial" w:cs="Arial" w:eastAsia="Arial" w:hAnsi="Arial"/>
          <w:sz w:val="14"/>
          <w:szCs w:val="14"/>
          <w:i w:val="1"/>
          <w:iCs w:val="1"/>
          <w:color w:val="auto"/>
        </w:rPr>
        <w:t xml:space="preserve">Internal Control — Integrated Framework </w:t>
      </w:r>
      <w:r>
        <w:rPr>
          <w:rFonts w:ascii="Arial" w:cs="Arial" w:eastAsia="Arial" w:hAnsi="Arial"/>
          <w:sz w:val="14"/>
          <w:szCs w:val="14"/>
          <w:color w:val="auto"/>
        </w:rPr>
        <w:t>issued by the Committee of Sponsoring Organizations of the Treadway Commission in 2013. In our opinion, the Company maintained, in all material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respects, effective internal control over financial reporting as of September 30, 2021,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in 2013.</w:t>
      </w:r>
    </w:p>
    <w:p>
      <w:pPr>
        <w:spacing w:after="0" w:line="116" w:lineRule="exact"/>
        <w:rPr>
          <w:sz w:val="20"/>
          <w:szCs w:val="20"/>
          <w:color w:val="auto"/>
        </w:rPr>
      </w:pPr>
    </w:p>
    <w:p>
      <w:pPr>
        <w:ind w:right="220"/>
        <w:spacing w:after="0" w:line="273" w:lineRule="auto"/>
        <w:rPr>
          <w:sz w:val="20"/>
          <w:szCs w:val="20"/>
          <w:color w:val="auto"/>
        </w:rPr>
      </w:pPr>
      <w:r>
        <w:rPr>
          <w:rFonts w:ascii="Arial" w:cs="Arial" w:eastAsia="Arial" w:hAnsi="Arial"/>
          <w:sz w:val="12"/>
          <w:szCs w:val="12"/>
          <w:color w:val="auto"/>
        </w:rPr>
        <w:t>We have also audited, in accordance with the standards of the Public Company Accounting Oversight Board (United States) (PCAOB), the consolidated statements of assets and liabilities, including the consolidated schedules of investments as of September 30, 2021 and 2020, the related consolidated statements of operations, changes in net assets and cash flows for each of the three years in the period ended September 30, 2021, and the related notes to the consolidated financial statements (collectively, the financial statements) of the Company and our report dated</w:t>
      </w:r>
    </w:p>
    <w:p>
      <w:pPr>
        <w:spacing w:after="0"/>
        <w:rPr>
          <w:sz w:val="20"/>
          <w:szCs w:val="20"/>
          <w:color w:val="auto"/>
        </w:rPr>
      </w:pPr>
      <w:r>
        <w:rPr>
          <w:rFonts w:ascii="Arial" w:cs="Arial" w:eastAsia="Arial" w:hAnsi="Arial"/>
          <w:sz w:val="14"/>
          <w:szCs w:val="14"/>
          <w:color w:val="auto"/>
        </w:rPr>
        <w:t>November 17, 2021 expressed an unqualified opinion.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4"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6"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4"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ind w:right="300"/>
        <w:spacing w:after="0" w:line="290"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17, 2021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61" w:name="page62"/>
    <w:bookmarkEnd w:id="6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 2021</w:t>
            </w:r>
          </w:p>
        </w:tc>
        <w:tc>
          <w:tcPr>
            <w:tcW w:w="12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2020</w:t>
            </w:r>
          </w:p>
        </w:tc>
      </w:tr>
      <w:tr>
        <w:trPr>
          <w:trHeight w:val="156"/>
        </w:trPr>
        <w:tc>
          <w:tcPr>
            <w:tcW w:w="77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(cost—$824,541,549 and $915,874,757, respectively)</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856,806,437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910,552,309</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Non-controlled, affiliated investments (cost—$22,380,092 and $21,964,181,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7,432,896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11,086,834</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 $223,714,366 and $179,112,500, respectively)</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217,380,079</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165,289,324</w:t>
            </w:r>
          </w:p>
        </w:tc>
        <w:tc>
          <w:tcPr>
            <w:tcW w:w="120" w:type="dxa"/>
            <w:vAlign w:val="bottom"/>
            <w:shd w:val="clear" w:color="auto" w:fill="CCECFF"/>
          </w:tcPr>
          <w:p>
            <w:pPr>
              <w:spacing w:after="0"/>
              <w:rPr>
                <w:sz w:val="14"/>
                <w:szCs w:val="14"/>
                <w:color w:val="auto"/>
              </w:rPr>
            </w:pPr>
          </w:p>
        </w:tc>
      </w:tr>
      <w:tr>
        <w:trPr>
          <w:trHeight w:val="155"/>
        </w:trPr>
        <w:tc>
          <w:tcPr>
            <w:tcW w:w="7720" w:type="dxa"/>
            <w:vAlign w:val="bottom"/>
          </w:tcPr>
          <w:p>
            <w:pPr>
              <w:ind w:left="260"/>
              <w:spacing w:after="0" w:line="155" w:lineRule="exact"/>
              <w:rPr>
                <w:sz w:val="20"/>
                <w:szCs w:val="20"/>
                <w:color w:val="auto"/>
              </w:rPr>
            </w:pPr>
            <w:r>
              <w:rPr>
                <w:rFonts w:ascii="Arial" w:cs="Arial" w:eastAsia="Arial" w:hAnsi="Arial"/>
                <w:sz w:val="14"/>
                <w:szCs w:val="14"/>
                <w:color w:val="auto"/>
              </w:rPr>
              <w:t>Total of investments (cost—$1,070,636,007 and $1,116,951,438, respectively)</w:t>
            </w:r>
          </w:p>
        </w:tc>
        <w:tc>
          <w:tcPr>
            <w:tcW w:w="140" w:type="dxa"/>
            <w:vAlign w:val="bottom"/>
          </w:tcPr>
          <w:p>
            <w:pPr>
              <w:spacing w:after="0"/>
              <w:rPr>
                <w:sz w:val="13"/>
                <w:szCs w:val="13"/>
                <w:color w:val="auto"/>
              </w:rPr>
            </w:pPr>
          </w:p>
        </w:tc>
        <w:tc>
          <w:tcPr>
            <w:tcW w:w="1420" w:type="dxa"/>
            <w:vAlign w:val="bottom"/>
          </w:tcPr>
          <w:p>
            <w:pPr>
              <w:jc w:val="right"/>
              <w:spacing w:after="0" w:line="155" w:lineRule="exact"/>
              <w:rPr>
                <w:sz w:val="20"/>
                <w:szCs w:val="20"/>
                <w:color w:val="auto"/>
              </w:rPr>
            </w:pPr>
            <w:r>
              <w:rPr>
                <w:rFonts w:ascii="Arial" w:cs="Arial" w:eastAsia="Arial" w:hAnsi="Arial"/>
                <w:sz w:val="14"/>
                <w:szCs w:val="14"/>
                <w:color w:val="auto"/>
              </w:rPr>
              <w:t>1,081,619,412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1,086,928,467</w:t>
            </w:r>
          </w:p>
        </w:tc>
        <w:tc>
          <w:tcPr>
            <w:tcW w:w="120" w:type="dxa"/>
            <w:vAlign w:val="bottom"/>
          </w:tcPr>
          <w:p>
            <w:pPr>
              <w:spacing w:after="0"/>
              <w:rPr>
                <w:sz w:val="13"/>
                <w:szCs w:val="13"/>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Cash and cash equivalents (cost—$49,825,527 and $57,534,421, respectively)</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49,825,527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57,511,928</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Interest receivable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5,445,726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3,673,502</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Receivable for investments sold</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33,965,807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Pr>
          <w:p>
            <w:pPr>
              <w:spacing w:after="0"/>
              <w:rPr>
                <w:sz w:val="14"/>
                <w:szCs w:val="14"/>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173,318</w:t>
            </w:r>
          </w:p>
        </w:tc>
        <w:tc>
          <w:tcPr>
            <w:tcW w:w="120" w:type="dxa"/>
            <w:vAlign w:val="bottom"/>
          </w:tcPr>
          <w:p>
            <w:pPr>
              <w:spacing w:after="0"/>
              <w:rPr>
                <w:sz w:val="14"/>
                <w:szCs w:val="14"/>
                <w:color w:val="auto"/>
              </w:rPr>
            </w:pPr>
          </w:p>
        </w:tc>
      </w:tr>
      <w:tr>
        <w:trPr>
          <w:trHeight w:val="155"/>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140" w:type="dxa"/>
            <w:vAlign w:val="bottom"/>
            <w:tcBorders>
              <w:top w:val="single" w:sz="8" w:color="auto"/>
              <w:bottom w:val="single" w:sz="8" w:color="auto"/>
            </w:tcBorders>
            <w:shd w:val="clear" w:color="auto" w:fill="CCECFF"/>
          </w:tcPr>
          <w:p>
            <w:pPr>
              <w:spacing w:after="0"/>
              <w:rPr>
                <w:sz w:val="13"/>
                <w:szCs w:val="13"/>
                <w:color w:val="auto"/>
              </w:rPr>
            </w:pPr>
          </w:p>
        </w:tc>
        <w:tc>
          <w:tcPr>
            <w:tcW w:w="14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1,170,856,472</w:t>
            </w: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4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1,148,287,215</w:t>
            </w:r>
          </w:p>
        </w:tc>
        <w:tc>
          <w:tcPr>
            <w:tcW w:w="120" w:type="dxa"/>
            <w:vAlign w:val="bottom"/>
            <w:tcBorders>
              <w:top w:val="single" w:sz="8" w:color="CCECFF"/>
            </w:tcBorders>
            <w:shd w:val="clear" w:color="auto" w:fill="CCECFF"/>
          </w:tcPr>
          <w:p>
            <w:pPr>
              <w:spacing w:after="0"/>
              <w:rPr>
                <w:sz w:val="13"/>
                <w:szCs w:val="13"/>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Distributions payable</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3,690,320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3,683,347</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Payable for investments purchased</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13,545,522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3,800,000</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Credit Facility payable, at fair value (cost—$219,400,000 and $308,598,500, respectively) (See Notes 5 and 11)</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218,851,500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299,047,275</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2023 Notes payable, at fair value (par—$117,792,879 and $138,579,858, respectively) (See Notes 5 and 11)</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111,114,023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129,295,008</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2026 Notes payable, net (par—$100,000,000 and zero, respectively) (See Notes 5 and 11)</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97,170,665</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2031 Asset-Backed Debt, net (par—$228,000,000 ) (See Notes 5 and 11)</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225,497,177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224,866,334</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payable on debt</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5,454,784</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3,601,479</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Base management fee payable (See Note 3)</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2,706,828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2,776,477</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Performance-based incentive fee payable (See Note 3)</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623,718</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2,071,622</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Accrued other expenses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1,590,679</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1,875,281</w:t>
            </w:r>
          </w:p>
        </w:tc>
        <w:tc>
          <w:tcPr>
            <w:tcW w:w="120" w:type="dxa"/>
            <w:vAlign w:val="bottom"/>
            <w:tcBorders>
              <w:bottom w:val="single" w:sz="8" w:color="CCECFF"/>
            </w:tcBorders>
          </w:tcPr>
          <w:p>
            <w:pPr>
              <w:spacing w:after="0"/>
              <w:rPr>
                <w:sz w:val="14"/>
                <w:szCs w:val="14"/>
                <w:color w:val="auto"/>
              </w:rPr>
            </w:pPr>
          </w:p>
        </w:tc>
      </w:tr>
      <w:tr>
        <w:trPr>
          <w:trHeight w:val="155"/>
        </w:trPr>
        <w:tc>
          <w:tcPr>
            <w:tcW w:w="772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680,245,216</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671,016,823</w:t>
            </w:r>
          </w:p>
        </w:tc>
        <w:tc>
          <w:tcPr>
            <w:tcW w:w="120" w:type="dxa"/>
            <w:vAlign w:val="bottom"/>
            <w:shd w:val="clear" w:color="auto" w:fill="CCECFF"/>
          </w:tcPr>
          <w:p>
            <w:pPr>
              <w:spacing w:after="0"/>
              <w:rPr>
                <w:sz w:val="13"/>
                <w:szCs w:val="13"/>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color w:val="auto"/>
              </w:rPr>
              <w:t>Commitments and contingencies (See Note 12)</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Net assets</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43"/>
        </w:trPr>
        <w:tc>
          <w:tcPr>
            <w:tcW w:w="7720" w:type="dxa"/>
            <w:vAlign w:val="bottom"/>
          </w:tcPr>
          <w:p>
            <w:pPr>
              <w:spacing w:after="0" w:line="143" w:lineRule="exact"/>
              <w:rPr>
                <w:sz w:val="20"/>
                <w:szCs w:val="20"/>
                <w:color w:val="auto"/>
              </w:rPr>
            </w:pPr>
            <w:r>
              <w:rPr>
                <w:rFonts w:ascii="Arial" w:cs="Arial" w:eastAsia="Arial" w:hAnsi="Arial"/>
                <w:sz w:val="14"/>
                <w:szCs w:val="14"/>
                <w:color w:val="auto"/>
              </w:rPr>
              <w:t>Common stock, 38,880,728 and 38,772,074 shares issued and outstanding, respectively</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7720" w:type="dxa"/>
            <w:vAlign w:val="bottom"/>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38,881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38,772</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Paid-in capital in excess of par value</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538,814,549</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538,151,528</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Distributable income</w:t>
            </w:r>
          </w:p>
        </w:tc>
        <w:tc>
          <w:tcPr>
            <w:tcW w:w="140" w:type="dxa"/>
            <w:vAlign w:val="bottom"/>
          </w:tcPr>
          <w:p>
            <w:pPr>
              <w:spacing w:after="0"/>
              <w:rPr>
                <w:sz w:val="14"/>
                <w:szCs w:val="14"/>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4"/>
                <w:szCs w:val="14"/>
                <w:color w:val="auto"/>
              </w:rPr>
              <w:t>(48,242,174)</w:t>
            </w:r>
          </w:p>
        </w:tc>
        <w:tc>
          <w:tcPr>
            <w:tcW w:w="120" w:type="dxa"/>
            <w:vAlign w:val="bottom"/>
          </w:tcPr>
          <w:p>
            <w:pPr>
              <w:spacing w:after="0"/>
              <w:rPr>
                <w:sz w:val="14"/>
                <w:szCs w:val="14"/>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(60,919,908)</w:t>
            </w:r>
          </w:p>
        </w:tc>
      </w:tr>
      <w:tr>
        <w:trPr>
          <w:trHeight w:val="155"/>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net assets</w:t>
            </w:r>
          </w:p>
        </w:tc>
        <w:tc>
          <w:tcPr>
            <w:tcW w:w="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490,611,256</w:t>
            </w: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477,270,392</w:t>
            </w:r>
          </w:p>
        </w:tc>
        <w:tc>
          <w:tcPr>
            <w:tcW w:w="120" w:type="dxa"/>
            <w:vAlign w:val="bottom"/>
            <w:tcBorders>
              <w:top w:val="single" w:sz="8" w:color="CCECFF"/>
            </w:tcBorders>
            <w:shd w:val="clear" w:color="auto" w:fill="CCECFF"/>
          </w:tcPr>
          <w:p>
            <w:pPr>
              <w:spacing w:after="0"/>
              <w:rPr>
                <w:sz w:val="13"/>
                <w:szCs w:val="13"/>
                <w:color w:val="auto"/>
              </w:rPr>
            </w:pPr>
          </w:p>
        </w:tc>
      </w:tr>
      <w:tr>
        <w:trPr>
          <w:trHeight w:val="196"/>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1,170,856,472</w:t>
            </w:r>
          </w:p>
        </w:tc>
        <w:tc>
          <w:tcPr>
            <w:tcW w:w="28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1,148,287,215</w:t>
            </w:r>
          </w:p>
        </w:tc>
        <w:tc>
          <w:tcPr>
            <w:tcW w:w="120" w:type="dxa"/>
            <w:vAlign w:val="bottom"/>
            <w:tcBorders>
              <w:bottom w:val="single" w:sz="8" w:color="CCECFF"/>
            </w:tcBorders>
          </w:tcPr>
          <w:p>
            <w:pPr>
              <w:spacing w:after="0"/>
              <w:rPr>
                <w:sz w:val="17"/>
                <w:szCs w:val="17"/>
                <w:color w:val="auto"/>
              </w:rPr>
            </w:pPr>
          </w:p>
        </w:tc>
      </w:tr>
      <w:tr>
        <w:trPr>
          <w:trHeight w:val="143"/>
        </w:trPr>
        <w:tc>
          <w:tcPr>
            <w:tcW w:w="77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1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12.62</w:t>
            </w:r>
          </w:p>
        </w:tc>
        <w:tc>
          <w:tcPr>
            <w:tcW w:w="28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12.31</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CECFF"/>
            </w:tcBorders>
          </w:tcPr>
          <w:p>
            <w:pPr>
              <w:spacing w:after="0"/>
              <w:rPr>
                <w:sz w:val="13"/>
                <w:szCs w:val="13"/>
                <w:color w:val="auto"/>
              </w:rPr>
            </w:pPr>
          </w:p>
        </w:tc>
        <w:tc>
          <w:tcPr>
            <w:tcW w:w="82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8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12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56,878,497</w:t>
            </w:r>
          </w:p>
        </w:tc>
        <w:tc>
          <w:tcPr>
            <w:tcW w:w="60" w:type="dxa"/>
            <w:vAlign w:val="bottom"/>
            <w:shd w:val="clear" w:color="auto" w:fill="CCECFF"/>
          </w:tcPr>
          <w:p>
            <w:pPr>
              <w:spacing w:after="0"/>
              <w:rPr>
                <w:sz w:val="14"/>
                <w:szCs w:val="14"/>
                <w:color w:val="auto"/>
              </w:rPr>
            </w:pPr>
          </w:p>
        </w:tc>
        <w:tc>
          <w:tcPr>
            <w:tcW w:w="48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73,250,887</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69,319,954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4,153,310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3,565,134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3,497,784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From non-controlled, affiliated investments:</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1,309,001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882,934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1,237,675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122,750</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36,170</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127,734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11,240,574</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11,801,245</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12,464,035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Dividend</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8,793,750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5,950,000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195,630</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82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82,693,512</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95,486,370</w:t>
            </w:r>
          </w:p>
        </w:tc>
        <w:tc>
          <w:tcPr>
            <w:tcW w:w="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92,947,182</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8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10,678,288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11,428,302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10,209,566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5,339,895</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9,300,311</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6,204,112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11)</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21,650,557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27,108,452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22,540,098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900,000</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1,400,000</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1,550,000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82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1,200,000</w:t>
            </w:r>
          </w:p>
        </w:tc>
        <w:tc>
          <w:tcPr>
            <w:tcW w:w="60" w:type="dxa"/>
            <w:vAlign w:val="bottom"/>
            <w:tcBorders>
              <w:bottom w:val="single" w:sz="8" w:color="CCECFF"/>
            </w:tcBorders>
          </w:tcPr>
          <w:p>
            <w:pPr>
              <w:spacing w:after="0"/>
              <w:rPr>
                <w:sz w:val="14"/>
                <w:szCs w:val="14"/>
                <w:color w:val="auto"/>
              </w:rPr>
            </w:pPr>
          </w:p>
        </w:tc>
        <w:tc>
          <w:tcPr>
            <w:tcW w:w="18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2,464,306</w:t>
            </w:r>
          </w:p>
        </w:tc>
        <w:tc>
          <w:tcPr>
            <w:tcW w:w="24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2,464,306</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amendment costs, debt issuance costs and provision for taxes</w:t>
            </w:r>
          </w:p>
        </w:tc>
        <w:tc>
          <w:tcPr>
            <w:tcW w:w="8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39,768,740</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51,701,371</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42,968,082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Credit Facility amendment costs and debt issuance costs (See Notes 5 and 11)</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2,898,401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4,517,292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400,000</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400,000</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82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43,067,141</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52,101,371</w:t>
            </w:r>
          </w:p>
        </w:tc>
        <w:tc>
          <w:tcPr>
            <w:tcW w:w="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47,485,374</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82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39,626,371</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43,384,999</w:t>
            </w:r>
          </w:p>
        </w:tc>
        <w:tc>
          <w:tcPr>
            <w:tcW w:w="24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45,461,808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loss on:</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24,612,558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(6,998,886)</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(18,802,365)</w:t>
            </w: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(37,409,065)</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(5,683,145)</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(12,621,504)</w:t>
            </w:r>
          </w:p>
        </w:tc>
        <w:tc>
          <w:tcPr>
            <w:tcW w:w="0" w:type="dxa"/>
            <w:vAlign w:val="bottom"/>
          </w:tcPr>
          <w:p>
            <w:pPr>
              <w:spacing w:after="0"/>
              <w:rPr>
                <w:sz w:val="1"/>
                <w:szCs w:val="1"/>
                <w:color w:val="auto"/>
              </w:rPr>
            </w:pPr>
          </w:p>
        </w:tc>
      </w:tr>
      <w:tr>
        <w:trPr>
          <w:trHeight w:val="155"/>
        </w:trPr>
        <w:tc>
          <w:tcPr>
            <w:tcW w:w="584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Net realized loss on investments</w:t>
            </w:r>
          </w:p>
        </w:tc>
        <w:tc>
          <w:tcPr>
            <w:tcW w:w="8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(12,796,507)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(12,682,031)</w:t>
            </w: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(31,423,869)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30,881,375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(7,390,333)</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2,640,050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Controlled and non-controlled, affiliated investments</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10,413,524</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(19,076,975)</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(5,245,396)</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Debt depreciation (appreciation) (See Note 5 and 11)</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(11,608,720)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14,177,384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(16,487)</w:t>
            </w:r>
          </w:p>
        </w:tc>
        <w:tc>
          <w:tcPr>
            <w:tcW w:w="0" w:type="dxa"/>
            <w:vAlign w:val="bottom"/>
          </w:tcPr>
          <w:p>
            <w:pPr>
              <w:spacing w:after="0"/>
              <w:rPr>
                <w:sz w:val="1"/>
                <w:szCs w:val="1"/>
                <w:color w:val="auto"/>
              </w:rPr>
            </w:pPr>
          </w:p>
        </w:tc>
      </w:tr>
      <w:tr>
        <w:trPr>
          <w:trHeight w:val="155"/>
        </w:trPr>
        <w:tc>
          <w:tcPr>
            <w:tcW w:w="584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82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29,686,179</w:t>
            </w:r>
          </w:p>
        </w:tc>
        <w:tc>
          <w:tcPr>
            <w:tcW w:w="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(12,289,924)</w:t>
            </w:r>
          </w:p>
        </w:tc>
        <w:tc>
          <w:tcPr>
            <w:tcW w:w="24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(2,621,833)</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82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16,889,672</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(24,971,955)</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(34,045,702)</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82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56,516,043</w:t>
            </w:r>
          </w:p>
        </w:tc>
        <w:tc>
          <w:tcPr>
            <w:tcW w:w="6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18,413,044</w:t>
            </w:r>
          </w:p>
        </w:tc>
        <w:tc>
          <w:tcPr>
            <w:tcW w:w="24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11,416,106</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4"/>
                <w:szCs w:val="14"/>
                <w:color w:val="auto"/>
              </w:rPr>
              <w:t>Net increase in net assets resulting from operations per common share (See Note 7)</w:t>
            </w:r>
          </w:p>
        </w:tc>
        <w:tc>
          <w:tcPr>
            <w:tcW w:w="1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tcBorders>
              <w:bottom w:val="single" w:sz="8" w:color="CCECFF"/>
            </w:tcBorders>
            <w:vMerge w:val="continue"/>
          </w:tcPr>
          <w:p>
            <w:pPr>
              <w:spacing w:after="0"/>
              <w:rPr>
                <w:sz w:val="15"/>
                <w:szCs w:val="15"/>
                <w:color w:val="auto"/>
              </w:rPr>
            </w:pPr>
          </w:p>
        </w:tc>
        <w:tc>
          <w:tcPr>
            <w:tcW w:w="82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1.46</w:t>
            </w:r>
          </w:p>
        </w:tc>
        <w:tc>
          <w:tcPr>
            <w:tcW w:w="60" w:type="dxa"/>
            <w:vAlign w:val="bottom"/>
            <w:tcBorders>
              <w:bottom w:val="single" w:sz="8" w:color="CCECFF"/>
            </w:tcBorders>
          </w:tcPr>
          <w:p>
            <w:pPr>
              <w:spacing w:after="0"/>
              <w:rPr>
                <w:sz w:val="15"/>
                <w:szCs w:val="15"/>
                <w:color w:val="auto"/>
              </w:rPr>
            </w:pPr>
          </w:p>
        </w:tc>
        <w:tc>
          <w:tcPr>
            <w:tcW w:w="18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0.47</w:t>
            </w:r>
          </w:p>
        </w:tc>
        <w:tc>
          <w:tcPr>
            <w:tcW w:w="24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0.29</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84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82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1.02</w:t>
            </w:r>
          </w:p>
        </w:tc>
        <w:tc>
          <w:tcPr>
            <w:tcW w:w="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1.12</w:t>
            </w:r>
          </w:p>
        </w:tc>
        <w:tc>
          <w:tcPr>
            <w:tcW w:w="24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1.17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00" w:type="dxa"/>
            <w:vAlign w:val="bottom"/>
            <w:tcBorders>
              <w:bottom w:val="single" w:sz="8" w:color="CCECFF"/>
            </w:tcBorders>
          </w:tcPr>
          <w:p>
            <w:pPr>
              <w:spacing w:after="0"/>
              <w:rPr>
                <w:sz w:val="13"/>
                <w:szCs w:val="13"/>
                <w:color w:val="auto"/>
              </w:rPr>
            </w:pPr>
          </w:p>
        </w:tc>
        <w:tc>
          <w:tcPr>
            <w:tcW w:w="13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r>
      <w:tr>
        <w:trPr>
          <w:trHeight w:val="156"/>
        </w:trPr>
        <w:tc>
          <w:tcPr>
            <w:tcW w:w="53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from operations:</w:t>
            </w:r>
          </w:p>
        </w:tc>
        <w:tc>
          <w:tcPr>
            <w:tcW w:w="13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30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16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39,626,371</w:t>
            </w:r>
          </w:p>
        </w:tc>
        <w:tc>
          <w:tcPr>
            <w:tcW w:w="60" w:type="dxa"/>
            <w:vAlign w:val="bottom"/>
          </w:tcPr>
          <w:p>
            <w:pPr>
              <w:spacing w:after="0"/>
              <w:rPr>
                <w:sz w:val="14"/>
                <w:szCs w:val="14"/>
                <w:color w:val="auto"/>
              </w:rPr>
            </w:pP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43,384,999</w:t>
            </w:r>
          </w:p>
        </w:tc>
        <w:tc>
          <w:tcPr>
            <w:tcW w:w="2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45,461,808</w:t>
            </w:r>
          </w:p>
        </w:tc>
        <w:tc>
          <w:tcPr>
            <w:tcW w:w="100" w:type="dxa"/>
            <w:vAlign w:val="bottom"/>
          </w:tcPr>
          <w:p>
            <w:pPr>
              <w:spacing w:after="0"/>
              <w:rPr>
                <w:sz w:val="14"/>
                <w:szCs w:val="14"/>
                <w:color w:val="auto"/>
              </w:rPr>
            </w:pPr>
          </w:p>
        </w:tc>
      </w:tr>
      <w:tr>
        <w:trPr>
          <w:trHeight w:val="162"/>
        </w:trPr>
        <w:tc>
          <w:tcPr>
            <w:tcW w:w="53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loss on investments</w:t>
            </w:r>
          </w:p>
        </w:tc>
        <w:tc>
          <w:tcPr>
            <w:tcW w:w="13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(12,796,507)</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(12,682,031)</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(31,423,869)</w:t>
            </w:r>
          </w:p>
        </w:tc>
      </w:tr>
      <w:tr>
        <w:trPr>
          <w:trHeight w:val="162"/>
        </w:trPr>
        <w:tc>
          <w:tcPr>
            <w:tcW w:w="5300" w:type="dxa"/>
            <w:vAlign w:val="bottom"/>
          </w:tcPr>
          <w:p>
            <w:pPr>
              <w:ind w:left="260"/>
              <w:spacing w:after="0"/>
              <w:rPr>
                <w:sz w:val="20"/>
                <w:szCs w:val="20"/>
                <w:color w:val="auto"/>
              </w:rPr>
            </w:pPr>
            <w:r>
              <w:rPr>
                <w:rFonts w:ascii="Arial" w:cs="Arial" w:eastAsia="Arial" w:hAnsi="Arial"/>
                <w:sz w:val="14"/>
                <w:szCs w:val="14"/>
                <w:color w:val="auto"/>
              </w:rPr>
              <w:t>Net change in unrealized depreciation on investments</w:t>
            </w: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41,294,899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(26,467,308)</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(2,605,346)</w:t>
            </w:r>
          </w:p>
        </w:tc>
      </w:tr>
      <w:tr>
        <w:trPr>
          <w:trHeight w:val="162"/>
        </w:trPr>
        <w:tc>
          <w:tcPr>
            <w:tcW w:w="53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depreciation (appreciation) on debt</w:t>
            </w:r>
          </w:p>
        </w:tc>
        <w:tc>
          <w:tcPr>
            <w:tcW w:w="13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(11,608,720)</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14,177,384</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(16,487)</w:t>
            </w:r>
          </w:p>
        </w:tc>
      </w:tr>
      <w:tr>
        <w:trPr>
          <w:trHeight w:val="156"/>
        </w:trPr>
        <w:tc>
          <w:tcPr>
            <w:tcW w:w="53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36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56,516,043</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18,413,044</w:t>
            </w:r>
          </w:p>
        </w:tc>
        <w:tc>
          <w:tcPr>
            <w:tcW w:w="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11,416,106</w:t>
            </w:r>
          </w:p>
        </w:tc>
        <w:tc>
          <w:tcPr>
            <w:tcW w:w="100" w:type="dxa"/>
            <w:vAlign w:val="bottom"/>
            <w:tcBorders>
              <w:bottom w:val="single" w:sz="8" w:color="CCECFF"/>
            </w:tcBorders>
          </w:tcPr>
          <w:p>
            <w:pPr>
              <w:spacing w:after="0"/>
              <w:rPr>
                <w:sz w:val="13"/>
                <w:szCs w:val="13"/>
                <w:color w:val="auto"/>
              </w:rPr>
            </w:pPr>
          </w:p>
        </w:tc>
      </w:tr>
      <w:tr>
        <w:trPr>
          <w:trHeight w:val="155"/>
        </w:trPr>
        <w:tc>
          <w:tcPr>
            <w:tcW w:w="53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13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300" w:type="dxa"/>
            <w:vAlign w:val="bottom"/>
          </w:tcPr>
          <w:p>
            <w:pPr>
              <w:ind w:left="260"/>
              <w:spacing w:after="0"/>
              <w:rPr>
                <w:sz w:val="20"/>
                <w:szCs w:val="20"/>
                <w:color w:val="auto"/>
              </w:rPr>
            </w:pPr>
            <w:r>
              <w:rPr>
                <w:rFonts w:ascii="Arial" w:cs="Arial" w:eastAsia="Arial" w:hAnsi="Arial"/>
                <w:sz w:val="14"/>
                <w:szCs w:val="14"/>
                <w:color w:val="auto"/>
              </w:rPr>
              <w:t>Distribution of net investment income</w:t>
            </w: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(44,207,138)</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(44,200,163)</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(44,200,163)</w:t>
            </w:r>
          </w:p>
        </w:tc>
      </w:tr>
      <w:tr>
        <w:trPr>
          <w:trHeight w:val="162"/>
        </w:trPr>
        <w:tc>
          <w:tcPr>
            <w:tcW w:w="53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Distribution of realized gains</w:t>
            </w:r>
          </w:p>
        </w:tc>
        <w:tc>
          <w:tcPr>
            <w:tcW w:w="13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53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distributions to stockholders</w:t>
            </w:r>
          </w:p>
        </w:tc>
        <w:tc>
          <w:tcPr>
            <w:tcW w:w="136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(44,207,138)</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(44,200,163)</w:t>
            </w:r>
          </w:p>
        </w:tc>
        <w:tc>
          <w:tcPr>
            <w:tcW w:w="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(44,200,163)</w:t>
            </w:r>
          </w:p>
        </w:tc>
        <w:tc>
          <w:tcPr>
            <w:tcW w:w="100" w:type="dxa"/>
            <w:vAlign w:val="bottom"/>
            <w:tcBorders>
              <w:bottom w:val="single" w:sz="8" w:color="CCECFF"/>
            </w:tcBorders>
          </w:tcPr>
          <w:p>
            <w:pPr>
              <w:spacing w:after="0"/>
              <w:rPr>
                <w:sz w:val="13"/>
                <w:szCs w:val="13"/>
                <w:color w:val="auto"/>
              </w:rPr>
            </w:pPr>
          </w:p>
        </w:tc>
      </w:tr>
      <w:tr>
        <w:trPr>
          <w:trHeight w:val="155"/>
        </w:trPr>
        <w:tc>
          <w:tcPr>
            <w:tcW w:w="53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13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300" w:type="dxa"/>
            <w:vAlign w:val="bottom"/>
          </w:tcPr>
          <w:p>
            <w:pPr>
              <w:ind w:left="260"/>
              <w:spacing w:after="0"/>
              <w:rPr>
                <w:sz w:val="20"/>
                <w:szCs w:val="20"/>
                <w:color w:val="auto"/>
              </w:rPr>
            </w:pPr>
            <w:r>
              <w:rPr>
                <w:rFonts w:ascii="Arial" w:cs="Arial" w:eastAsia="Arial" w:hAnsi="Arial"/>
                <w:sz w:val="14"/>
                <w:szCs w:val="14"/>
                <w:color w:val="auto"/>
              </w:rPr>
              <w:t>Public offering (See Note 1)</w:t>
            </w: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1,403,004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3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Offering costs</w:t>
            </w:r>
          </w:p>
        </w:tc>
        <w:tc>
          <w:tcPr>
            <w:tcW w:w="13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(371,045)</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53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136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1,031,959</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r>
      <w:tr>
        <w:trPr>
          <w:trHeight w:val="155"/>
        </w:trPr>
        <w:tc>
          <w:tcPr>
            <w:tcW w:w="53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(decrease) increase in net assets</w:t>
            </w:r>
          </w:p>
        </w:tc>
        <w:tc>
          <w:tcPr>
            <w:tcW w:w="136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13,340,864</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(25,787,119)</w:t>
            </w:r>
          </w:p>
        </w:tc>
        <w:tc>
          <w:tcPr>
            <w:tcW w:w="24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(32,784,057)</w:t>
            </w:r>
          </w:p>
        </w:tc>
        <w:tc>
          <w:tcPr>
            <w:tcW w:w="100" w:type="dxa"/>
            <w:vAlign w:val="bottom"/>
            <w:shd w:val="clear" w:color="auto" w:fill="CCECFF"/>
          </w:tcPr>
          <w:p>
            <w:pPr>
              <w:spacing w:after="0"/>
              <w:rPr>
                <w:sz w:val="13"/>
                <w:szCs w:val="13"/>
                <w:color w:val="auto"/>
              </w:rPr>
            </w:pPr>
          </w:p>
        </w:tc>
      </w:tr>
      <w:tr>
        <w:trPr>
          <w:trHeight w:val="156"/>
        </w:trPr>
        <w:tc>
          <w:tcPr>
            <w:tcW w:w="5300" w:type="dxa"/>
            <w:vAlign w:val="bottom"/>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3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Beginning of year</w:t>
            </w:r>
          </w:p>
        </w:tc>
        <w:tc>
          <w:tcPr>
            <w:tcW w:w="136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477,270,392</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503,057,511</w:t>
            </w:r>
          </w:p>
        </w:tc>
        <w:tc>
          <w:tcPr>
            <w:tcW w:w="24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535,841,568</w:t>
            </w:r>
          </w:p>
        </w:tc>
        <w:tc>
          <w:tcPr>
            <w:tcW w:w="100" w:type="dxa"/>
            <w:vAlign w:val="bottom"/>
            <w:shd w:val="clear" w:color="auto" w:fill="CCECFF"/>
          </w:tcPr>
          <w:p>
            <w:pPr>
              <w:spacing w:after="0"/>
              <w:rPr>
                <w:sz w:val="14"/>
                <w:szCs w:val="14"/>
                <w:color w:val="auto"/>
              </w:rPr>
            </w:pPr>
          </w:p>
        </w:tc>
      </w:tr>
      <w:tr>
        <w:trPr>
          <w:trHeight w:val="196"/>
        </w:trPr>
        <w:tc>
          <w:tcPr>
            <w:tcW w:w="53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color w:val="auto"/>
              </w:rPr>
              <w:t>End of year</w:t>
            </w:r>
          </w:p>
        </w:tc>
        <w:tc>
          <w:tcPr>
            <w:tcW w:w="136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490,611,256</w:t>
            </w:r>
          </w:p>
        </w:tc>
        <w:tc>
          <w:tcPr>
            <w:tcW w:w="60" w:type="dxa"/>
            <w:vAlign w:val="bottom"/>
            <w:tcBorders>
              <w:bottom w:val="single" w:sz="8" w:color="CCECFF"/>
            </w:tcBorders>
          </w:tcPr>
          <w:p>
            <w:pPr>
              <w:spacing w:after="0"/>
              <w:rPr>
                <w:sz w:val="17"/>
                <w:szCs w:val="17"/>
                <w:color w:val="auto"/>
              </w:rPr>
            </w:pPr>
          </w:p>
        </w:tc>
        <w:tc>
          <w:tcPr>
            <w:tcW w:w="18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477,270,392</w:t>
            </w:r>
          </w:p>
        </w:tc>
        <w:tc>
          <w:tcPr>
            <w:tcW w:w="24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503,057,511</w:t>
            </w:r>
          </w:p>
        </w:tc>
        <w:tc>
          <w:tcPr>
            <w:tcW w:w="100" w:type="dxa"/>
            <w:vAlign w:val="bottom"/>
            <w:tcBorders>
              <w:bottom w:val="single" w:sz="8" w:color="CCECFF"/>
            </w:tcBorders>
          </w:tcPr>
          <w:p>
            <w:pPr>
              <w:spacing w:after="0"/>
              <w:rPr>
                <w:sz w:val="17"/>
                <w:szCs w:val="17"/>
                <w:color w:val="auto"/>
              </w:rPr>
            </w:pPr>
          </w:p>
        </w:tc>
      </w:tr>
      <w:tr>
        <w:trPr>
          <w:trHeight w:val="143"/>
        </w:trPr>
        <w:tc>
          <w:tcPr>
            <w:tcW w:w="530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13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62"/>
        </w:trPr>
        <w:tc>
          <w:tcPr>
            <w:tcW w:w="5300" w:type="dxa"/>
            <w:vAlign w:val="bottom"/>
          </w:tcPr>
          <w:p>
            <w:pPr>
              <w:ind w:left="260"/>
              <w:spacing w:after="0"/>
              <w:rPr>
                <w:sz w:val="20"/>
                <w:szCs w:val="20"/>
                <w:color w:val="auto"/>
              </w:rPr>
            </w:pPr>
            <w:r>
              <w:rPr>
                <w:rFonts w:ascii="Arial" w:cs="Arial" w:eastAsia="Arial" w:hAnsi="Arial"/>
                <w:sz w:val="14"/>
                <w:szCs w:val="14"/>
                <w:color w:val="auto"/>
              </w:rPr>
              <w:t>Shares issued from public offering</w:t>
            </w: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108,654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5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00" w:type="dxa"/>
            <w:vAlign w:val="bottom"/>
            <w:tcBorders>
              <w:bottom w:val="single" w:sz="8" w:color="CCECFF"/>
            </w:tcBorders>
          </w:tcPr>
          <w:p>
            <w:pPr>
              <w:spacing w:after="0"/>
              <w:rPr>
                <w:sz w:val="13"/>
                <w:szCs w:val="13"/>
                <w:color w:val="auto"/>
              </w:rPr>
            </w:pPr>
          </w:p>
        </w:tc>
        <w:tc>
          <w:tcPr>
            <w:tcW w:w="5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5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500"/>
              <w:spacing w:after="0"/>
              <w:rPr>
                <w:sz w:val="20"/>
                <w:szCs w:val="20"/>
                <w:color w:val="auto"/>
              </w:rPr>
            </w:pPr>
            <w:r>
              <w:rPr>
                <w:rFonts w:ascii="Arial" w:cs="Arial" w:eastAsia="Arial" w:hAnsi="Arial"/>
                <w:sz w:val="14"/>
                <w:szCs w:val="14"/>
                <w:color w:val="auto"/>
              </w:rPr>
              <w:t>Net increase in net assets resulting from operations</w:t>
            </w: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56,516,043</w:t>
            </w:r>
          </w:p>
        </w:tc>
        <w:tc>
          <w:tcPr>
            <w:tcW w:w="60" w:type="dxa"/>
            <w:vAlign w:val="bottom"/>
          </w:tcPr>
          <w:p>
            <w:pPr>
              <w:spacing w:after="0"/>
              <w:rPr>
                <w:sz w:val="14"/>
                <w:szCs w:val="14"/>
                <w:color w:val="auto"/>
              </w:rPr>
            </w:pP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18,413,044</w:t>
            </w:r>
          </w:p>
        </w:tc>
        <w:tc>
          <w:tcPr>
            <w:tcW w:w="2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11,416,106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10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increase in net assets resulting from operations to net cash</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100" w:type="dxa"/>
            <w:vAlign w:val="bottom"/>
            <w:shd w:val="clear" w:color="auto" w:fill="CCECFF"/>
          </w:tcPr>
          <w:p>
            <w:pPr>
              <w:ind w:left="600"/>
              <w:spacing w:after="0"/>
              <w:rPr>
                <w:sz w:val="20"/>
                <w:szCs w:val="20"/>
                <w:color w:val="auto"/>
              </w:rPr>
            </w:pPr>
            <w:r>
              <w:rPr>
                <w:rFonts w:ascii="Arial" w:cs="Arial" w:eastAsia="Arial" w:hAnsi="Arial"/>
                <w:sz w:val="14"/>
                <w:szCs w:val="14"/>
                <w:color w:val="auto"/>
              </w:rPr>
              <w:t>provided by operating activities:</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Net change in unrealized depreciation on investments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(41,294,899)</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26,467,308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2,605,346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Net change in unrealized (depreciation) appreciation on debt</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11,608,720</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(14,177,384)</w:t>
            </w: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16,487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Net realized loss on investments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12,796,507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12,682,031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31,423,869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Net accretion of discount and amortization of premium</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(3,242,808)</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(1,666,262)</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(1,482,887)</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Purchases of investments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(661,111,944)</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(436,704,396)</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(640,110,232)</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Payment-in-kind interest</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(3,019,966)</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(2,488,029)</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(1,635,155)</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Proceeds from dispositions of investments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702,127,510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396,865,507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527,253,378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Amortization of deferred financing costs</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960,508</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544,490</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20,238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Decrease (increase) in interest receivable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(1,772,224)</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218,790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(1,078,484)</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Decrease (increase) in receivable for investments sold</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(33,965,807)</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2,997,546</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(2,997,546)</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(Increase) decrease in prepaid expenses and other assets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173,318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(133,956)</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350,732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(Decrease) increase in payable for investments purchased</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9,745,522</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(8,233,794)</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(47,553,428)</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Increase in interest payable on debt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1,853,305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325,998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636,977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Increase in base management fee payable</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(69,649)</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48,458</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308,390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Decrease in performance-based incentive fee payable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(1,447,904)</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(460,583)</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(766,199)</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Increase in accrued other expenses</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(284,602)</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360,338</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172,464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0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56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49,571,630</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(4,940,894)</w:t>
            </w:r>
          </w:p>
        </w:tc>
        <w:tc>
          <w:tcPr>
            <w:tcW w:w="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(121,419,944)</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5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Public offering</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1,403,004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Offering costs</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(371,045)</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Distributions paid to stockholders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(44,200,165)</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(44,200,163)</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(44,200,163)</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Repayment of 2023 Notes issuance (See Notes 5 and 11)</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(20,786,979)</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Proceeds from 2026 Notes issuance (See Notes 5 and 11)</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96,841,000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Proceeds from 2031 Asset-Backed Debt issuance (See Notes 5 and 11)</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224,301,607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Borrowings under Credit Facility (See Notes 5 and 11)</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346,500,000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265,000,000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370,700,000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Repayments under Credit Facility (See Notes 5 and 11)</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(435,698,500)</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(221,709,000)</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(439,120,020)</w:t>
            </w:r>
          </w:p>
        </w:tc>
        <w:tc>
          <w:tcPr>
            <w:tcW w:w="0" w:type="dxa"/>
            <w:vAlign w:val="bottom"/>
          </w:tcPr>
          <w:p>
            <w:pPr>
              <w:spacing w:after="0"/>
              <w:rPr>
                <w:sz w:val="1"/>
                <w:szCs w:val="1"/>
                <w:color w:val="auto"/>
              </w:rPr>
            </w:pPr>
          </w:p>
        </w:tc>
      </w:tr>
      <w:tr>
        <w:trPr>
          <w:trHeight w:val="156"/>
        </w:trPr>
        <w:tc>
          <w:tcPr>
            <w:tcW w:w="610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56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(56,312,685)</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(909,163)</w:t>
            </w:r>
          </w:p>
        </w:tc>
        <w:tc>
          <w:tcPr>
            <w:tcW w:w="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111,681,424</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(decrease) increase in cash equivalents</w:t>
            </w:r>
          </w:p>
        </w:tc>
        <w:tc>
          <w:tcPr>
            <w:tcW w:w="5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(6,741,055)</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(5,850,057)</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(9,738,520)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00" w:type="dxa"/>
            <w:vAlign w:val="bottom"/>
          </w:tcPr>
          <w:p>
            <w:pPr>
              <w:spacing w:after="0"/>
              <w:rPr>
                <w:sz w:val="20"/>
                <w:szCs w:val="20"/>
                <w:color w:val="auto"/>
              </w:rPr>
            </w:pPr>
            <w:r>
              <w:rPr>
                <w:rFonts w:ascii="Arial" w:cs="Arial" w:eastAsia="Arial" w:hAnsi="Arial"/>
                <w:sz w:val="14"/>
                <w:szCs w:val="14"/>
                <w:color w:val="auto"/>
              </w:rPr>
              <w:t>Effect of exchange rate changes on cash</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(945,346)</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24,257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852,065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Cash and cash equivalents, beginning of year</w:t>
            </w:r>
          </w:p>
        </w:tc>
        <w:tc>
          <w:tcPr>
            <w:tcW w:w="56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57,511,928</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63,337,728</w:t>
            </w:r>
          </w:p>
        </w:tc>
        <w:tc>
          <w:tcPr>
            <w:tcW w:w="24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72,224,183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10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Cash and cash equivalents, end of year</w:t>
            </w:r>
          </w:p>
        </w:tc>
        <w:tc>
          <w:tcPr>
            <w:tcW w:w="56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49,825,527</w:t>
            </w:r>
          </w:p>
        </w:tc>
        <w:tc>
          <w:tcPr>
            <w:tcW w:w="60" w:type="dxa"/>
            <w:vAlign w:val="bottom"/>
            <w:tcBorders>
              <w:bottom w:val="single" w:sz="8" w:color="CCECFF"/>
            </w:tcBorders>
          </w:tcPr>
          <w:p>
            <w:pPr>
              <w:spacing w:after="0"/>
              <w:rPr>
                <w:sz w:val="17"/>
                <w:szCs w:val="17"/>
                <w:color w:val="auto"/>
              </w:rPr>
            </w:pPr>
          </w:p>
        </w:tc>
        <w:tc>
          <w:tcPr>
            <w:tcW w:w="18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57,511,928</w:t>
            </w:r>
          </w:p>
        </w:tc>
        <w:tc>
          <w:tcPr>
            <w:tcW w:w="24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63,337,728</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10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Supplemental disclosures:</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10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Interest paid</w:t>
            </w:r>
          </w:p>
        </w:tc>
        <w:tc>
          <w:tcPr>
            <w:tcW w:w="56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18,836,744</w:t>
            </w:r>
          </w:p>
        </w:tc>
        <w:tc>
          <w:tcPr>
            <w:tcW w:w="60" w:type="dxa"/>
            <w:vAlign w:val="bottom"/>
            <w:tcBorders>
              <w:bottom w:val="single" w:sz="8" w:color="CCECFF"/>
            </w:tcBorders>
          </w:tcPr>
          <w:p>
            <w:pPr>
              <w:spacing w:after="0"/>
              <w:rPr>
                <w:sz w:val="17"/>
                <w:szCs w:val="17"/>
                <w:color w:val="auto"/>
              </w:rPr>
            </w:pPr>
          </w:p>
        </w:tc>
        <w:tc>
          <w:tcPr>
            <w:tcW w:w="18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26,237,965</w:t>
            </w:r>
          </w:p>
        </w:tc>
        <w:tc>
          <w:tcPr>
            <w:tcW w:w="24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21,882,883</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10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Taxes paid</w:t>
            </w:r>
          </w:p>
        </w:tc>
        <w:tc>
          <w:tcPr>
            <w:tcW w:w="56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404,761</w:t>
            </w:r>
          </w:p>
        </w:tc>
        <w:tc>
          <w:tcPr>
            <w:tcW w:w="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502,486</w:t>
            </w:r>
          </w:p>
        </w:tc>
        <w:tc>
          <w:tcPr>
            <w:tcW w:w="24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293,672</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260"/>
              <w:spacing w:after="0"/>
              <w:rPr>
                <w:sz w:val="20"/>
                <w:szCs w:val="20"/>
                <w:color w:val="auto"/>
              </w:rPr>
            </w:pPr>
            <w:r>
              <w:rPr>
                <w:rFonts w:ascii="Arial" w:cs="Arial" w:eastAsia="Arial" w:hAnsi="Arial"/>
                <w:sz w:val="14"/>
                <w:szCs w:val="14"/>
                <w:color w:val="auto"/>
              </w:rPr>
              <w:t>Non-cash exchanges and conversions</w:t>
            </w:r>
          </w:p>
        </w:tc>
        <w:tc>
          <w:tcPr>
            <w:tcW w:w="8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20,490,614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8,025,882</w:t>
            </w:r>
          </w:p>
        </w:tc>
        <w:tc>
          <w:tcPr>
            <w:tcW w:w="2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37,166,983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Basis Point</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Spread</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Above</w:t>
            </w:r>
          </w:p>
        </w:tc>
        <w:tc>
          <w:tcPr>
            <w:tcW w:w="880" w:type="dxa"/>
            <w:vAlign w:val="bottom"/>
          </w:tcPr>
          <w:p>
            <w:pPr>
              <w:jc w:val="right"/>
              <w:ind w:right="2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780" w:type="dxa"/>
            <w:vAlign w:val="bottom"/>
          </w:tcPr>
          <w:p>
            <w:pPr>
              <w:jc w:val="center"/>
              <w:ind w:left="66"/>
              <w:spacing w:after="0"/>
              <w:rPr>
                <w:sz w:val="20"/>
                <w:szCs w:val="20"/>
                <w:color w:val="auto"/>
              </w:rPr>
            </w:pPr>
            <w:r>
              <w:rPr>
                <w:rFonts w:ascii="Arial" w:cs="Arial" w:eastAsia="Arial" w:hAnsi="Arial"/>
                <w:sz w:val="11"/>
                <w:szCs w:val="11"/>
                <w:b w:val="1"/>
                <w:bCs w:val="1"/>
                <w:color w:val="auto"/>
                <w:w w:val="98"/>
              </w:rPr>
              <w:t>Maturity</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2"/>
              </w:rPr>
              <w:t>Industry</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Coupon</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880" w:type="dxa"/>
            <w:vAlign w:val="bottom"/>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Cost</w:t>
            </w:r>
          </w:p>
        </w:tc>
        <w:tc>
          <w:tcPr>
            <w:tcW w:w="78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r>
      <w:tr>
        <w:trPr>
          <w:trHeight w:val="128"/>
        </w:trPr>
        <w:tc>
          <w:tcPr>
            <w:tcW w:w="40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4"/>
              </w:rPr>
              <w:t xml:space="preserve">Investments in Non-Controlled, Non-Affiliated Portfolio Companies—174.6% </w:t>
            </w:r>
            <w:r>
              <w:rPr>
                <w:rFonts w:ascii="Arial" w:cs="Arial" w:eastAsia="Arial" w:hAnsi="Arial"/>
                <w:sz w:val="9"/>
                <w:szCs w:val="9"/>
                <w:b w:val="1"/>
                <w:bCs w:val="1"/>
                <w:color w:val="auto"/>
                <w:w w:val="94"/>
              </w:rPr>
              <w:t>(3), (4)</w:t>
            </w:r>
          </w:p>
        </w:tc>
        <w:tc>
          <w:tcPr>
            <w:tcW w:w="24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b w:val="1"/>
                <w:bCs w:val="1"/>
                <w:color w:val="auto"/>
              </w:rPr>
              <w:t>First Lien Secured Debt—155.8%</w:t>
            </w:r>
          </w:p>
        </w:tc>
        <w:tc>
          <w:tcPr>
            <w:tcW w:w="7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18 Freemont Street Acquisition,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08/11/2025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9.50%</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5,996,299</w:t>
            </w:r>
          </w:p>
        </w:tc>
        <w:tc>
          <w:tcPr>
            <w:tcW w:w="3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5,910,250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6,101,235</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Ad.net Acquisition,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05/06/2026</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880" w:type="dxa"/>
            <w:vAlign w:val="bottom"/>
          </w:tcPr>
          <w:p>
            <w:pPr>
              <w:jc w:val="right"/>
              <w:spacing w:after="0"/>
              <w:rPr>
                <w:sz w:val="20"/>
                <w:szCs w:val="20"/>
                <w:color w:val="auto"/>
              </w:rPr>
            </w:pPr>
            <w:r>
              <w:rPr>
                <w:rFonts w:ascii="Arial" w:cs="Arial" w:eastAsia="Arial" w:hAnsi="Arial"/>
                <w:sz w:val="11"/>
                <w:szCs w:val="11"/>
                <w:color w:val="auto"/>
              </w:rPr>
              <w:t>4,987,500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4,916,586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4,912,688</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9"/>
                <w:szCs w:val="9"/>
                <w:color w:val="auto"/>
              </w:rPr>
              <w:t>(7)</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05/06/2026</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93"/>
              </w:rPr>
              <w:t>Media</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211,556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211,556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208,382</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05/06/2026</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1,032,889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(15,493)</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07/24/2025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IT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5,069,063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5,016,492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4,752,247</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07/24/2025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IT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880" w:type="dxa"/>
            <w:vAlign w:val="bottom"/>
          </w:tcPr>
          <w:p>
            <w:pPr>
              <w:jc w:val="right"/>
              <w:spacing w:after="0"/>
              <w:rPr>
                <w:sz w:val="20"/>
                <w:szCs w:val="20"/>
                <w:color w:val="auto"/>
              </w:rPr>
            </w:pPr>
            <w:r>
              <w:rPr>
                <w:rFonts w:ascii="Arial" w:cs="Arial" w:eastAsia="Arial" w:hAnsi="Arial"/>
                <w:sz w:val="11"/>
                <w:szCs w:val="11"/>
                <w:color w:val="auto"/>
              </w:rPr>
              <w:t>575,000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575,000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539,063</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 (9)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07/24/2025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IT Services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1,581,250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(98,828)</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American Insulated Glass,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12/21/2023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Building Products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880" w:type="dxa"/>
            <w:vAlign w:val="bottom"/>
          </w:tcPr>
          <w:p>
            <w:pPr>
              <w:jc w:val="right"/>
              <w:spacing w:after="0"/>
              <w:rPr>
                <w:sz w:val="20"/>
                <w:szCs w:val="20"/>
                <w:color w:val="auto"/>
              </w:rPr>
            </w:pPr>
            <w:r>
              <w:rPr>
                <w:rFonts w:ascii="Arial" w:cs="Arial" w:eastAsia="Arial" w:hAnsi="Arial"/>
                <w:sz w:val="11"/>
                <w:szCs w:val="11"/>
                <w:color w:val="auto"/>
              </w:rPr>
              <w:t>8,904,554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8,818,053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8,815,508</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American Teleconferencing Services, Ltd.</w:t>
            </w:r>
            <w:r>
              <w:rPr>
                <w:rFonts w:ascii="Arial" w:cs="Arial" w:eastAsia="Arial" w:hAnsi="Arial"/>
                <w:sz w:val="9"/>
                <w:szCs w:val="9"/>
                <w:color w:val="auto"/>
              </w:rPr>
              <w:t>(7)</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09/09/2021</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0.00%</w:t>
            </w: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9"/>
                <w:szCs w:val="9"/>
                <w:color w:val="auto"/>
                <w:w w:val="90"/>
              </w:rPr>
              <w:t>(6)</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7,986,133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7,915,290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1,277,781</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American Teleconferencing Services, Ltd. (Revolver) </w:t>
            </w:r>
            <w:r>
              <w:rPr>
                <w:rFonts w:ascii="Arial" w:cs="Arial" w:eastAsia="Arial" w:hAnsi="Arial"/>
                <w:sz w:val="9"/>
                <w:szCs w:val="9"/>
                <w:color w:val="auto"/>
              </w:rPr>
              <w:t>(7)</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12/08/2022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680" w:type="dxa"/>
            <w:vAlign w:val="bottom"/>
          </w:tcPr>
          <w:p>
            <w:pPr>
              <w:jc w:val="right"/>
              <w:spacing w:after="0"/>
              <w:rPr>
                <w:sz w:val="20"/>
                <w:szCs w:val="20"/>
                <w:color w:val="auto"/>
              </w:rPr>
            </w:pPr>
            <w:r>
              <w:rPr>
                <w:rFonts w:ascii="Arial" w:cs="Arial" w:eastAsia="Arial" w:hAnsi="Arial"/>
                <w:sz w:val="11"/>
                <w:szCs w:val="11"/>
                <w:color w:val="auto"/>
              </w:rPr>
              <w:t>0.00%</w:t>
            </w:r>
          </w:p>
        </w:tc>
        <w:tc>
          <w:tcPr>
            <w:tcW w:w="12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9"/>
                <w:szCs w:val="9"/>
                <w:color w:val="auto"/>
                <w:w w:val="90"/>
              </w:rPr>
              <w:t>(6)</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1,656,423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1,641,729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1,656,423</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Any Hour Services</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07/21/2027</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Energy Equipment and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6,372,736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6,370,000</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Any Hour Services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07/21/2027</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Energy Equipment and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3,823,529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(38,235)</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Any Hour Services (Revolver) </w:t>
            </w:r>
            <w:r>
              <w:rPr>
                <w:rFonts w:ascii="Arial" w:cs="Arial" w:eastAsia="Arial" w:hAnsi="Arial"/>
                <w:sz w:val="9"/>
                <w:szCs w:val="9"/>
                <w:color w:val="auto"/>
              </w:rPr>
              <w:t>(7), (9)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07/21/2027</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Energy Equipment and Services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1,147,059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(22,941)</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Apex Service Partners,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07/31/2025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Diversified Consumer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880" w:type="dxa"/>
            <w:vAlign w:val="bottom"/>
          </w:tcPr>
          <w:p>
            <w:pPr>
              <w:jc w:val="right"/>
              <w:spacing w:after="0"/>
              <w:rPr>
                <w:sz w:val="20"/>
                <w:szCs w:val="20"/>
                <w:color w:val="auto"/>
              </w:rPr>
            </w:pPr>
            <w:r>
              <w:rPr>
                <w:rFonts w:ascii="Arial" w:cs="Arial" w:eastAsia="Arial" w:hAnsi="Arial"/>
                <w:sz w:val="11"/>
                <w:szCs w:val="11"/>
                <w:color w:val="auto"/>
              </w:rPr>
              <w:t>6,271,978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6,216,394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6,209,258</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Apex Service Partners, LLC Term Loan B</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07/31/2025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Diversified Consumer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300,396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300,396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297,393</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Apex Service Partners, LLC Term Loan 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07/31/2025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Diversified Consumer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880" w:type="dxa"/>
            <w:vAlign w:val="bottom"/>
          </w:tcPr>
          <w:p>
            <w:pPr>
              <w:jc w:val="right"/>
              <w:spacing w:after="0"/>
              <w:rPr>
                <w:sz w:val="20"/>
                <w:szCs w:val="20"/>
                <w:color w:val="auto"/>
              </w:rPr>
            </w:pPr>
            <w:r>
              <w:rPr>
                <w:rFonts w:ascii="Arial" w:cs="Arial" w:eastAsia="Arial" w:hAnsi="Arial"/>
                <w:sz w:val="11"/>
                <w:szCs w:val="11"/>
                <w:color w:val="auto"/>
              </w:rPr>
              <w:t>6,896,739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6,802,200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6,827,772</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Apex Service Partners, LLC Term Loan C </w:t>
            </w:r>
            <w:r>
              <w:rPr>
                <w:rFonts w:ascii="Arial" w:cs="Arial" w:eastAsia="Arial" w:hAnsi="Arial"/>
                <w:sz w:val="9"/>
                <w:szCs w:val="9"/>
                <w:color w:val="auto"/>
              </w:rPr>
              <w:t>(7),(9)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01/31/2022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Diversified Consumer Services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13,179,348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(16,474)</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9"/>
                <w:szCs w:val="9"/>
                <w:color w:val="auto"/>
              </w:rPr>
              <w:t>(7)</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07/29/2024</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Diversified Consumer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880" w:type="dxa"/>
            <w:vAlign w:val="bottom"/>
          </w:tcPr>
          <w:p>
            <w:pPr>
              <w:jc w:val="right"/>
              <w:spacing w:after="0"/>
              <w:rPr>
                <w:sz w:val="20"/>
                <w:szCs w:val="20"/>
                <w:color w:val="auto"/>
              </w:rPr>
            </w:pPr>
            <w:r>
              <w:rPr>
                <w:rFonts w:ascii="Arial" w:cs="Arial" w:eastAsia="Arial" w:hAnsi="Arial"/>
                <w:sz w:val="11"/>
                <w:szCs w:val="11"/>
                <w:color w:val="auto"/>
              </w:rPr>
              <w:t>473,105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473,105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464,825</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9"/>
                <w:szCs w:val="9"/>
                <w:color w:val="auto"/>
              </w:rPr>
              <w:t>(7), (9)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07/29/2024</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Diversified Consumer Services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1,372,004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(24,010)</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API Technologies Corp.</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05/11/2026</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4.33%</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L+425</w:t>
            </w:r>
          </w:p>
        </w:tc>
        <w:tc>
          <w:tcPr>
            <w:tcW w:w="880" w:type="dxa"/>
            <w:vAlign w:val="bottom"/>
          </w:tcPr>
          <w:p>
            <w:pPr>
              <w:jc w:val="right"/>
              <w:spacing w:after="0"/>
              <w:rPr>
                <w:sz w:val="20"/>
                <w:szCs w:val="20"/>
                <w:color w:val="auto"/>
              </w:rPr>
            </w:pPr>
            <w:r>
              <w:rPr>
                <w:rFonts w:ascii="Arial" w:cs="Arial" w:eastAsia="Arial" w:hAnsi="Arial"/>
                <w:sz w:val="11"/>
                <w:szCs w:val="11"/>
                <w:color w:val="auto"/>
              </w:rPr>
              <w:t>5,865,000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5,840,911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5,689,050</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Applied Technical Services,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12/29/2026</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90"/>
              </w:rPr>
              <w:t>Commercial Services &amp; Supplies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4,962,500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4,862,688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4,863,250</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Applied Technical Services, LLC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06/29/2022</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90"/>
              </w:rPr>
              <w:t>Commercial Services &amp; Supplies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8,567,493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(74,966)</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9"/>
                <w:szCs w:val="9"/>
                <w:color w:val="auto"/>
              </w:rPr>
              <w:t>(7), (9)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12/29/2026</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90"/>
              </w:rPr>
              <w:t>Commercial Services &amp; Supplies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1,272,727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(25,455)</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05/16/2022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880" w:type="dxa"/>
            <w:vAlign w:val="bottom"/>
          </w:tcPr>
          <w:p>
            <w:pPr>
              <w:jc w:val="right"/>
              <w:spacing w:after="0"/>
              <w:rPr>
                <w:sz w:val="20"/>
                <w:szCs w:val="20"/>
                <w:color w:val="auto"/>
              </w:rPr>
            </w:pPr>
            <w:r>
              <w:rPr>
                <w:rFonts w:ascii="Arial" w:cs="Arial" w:eastAsia="Arial" w:hAnsi="Arial"/>
                <w:sz w:val="11"/>
                <w:szCs w:val="11"/>
                <w:color w:val="auto"/>
              </w:rPr>
              <w:t>22,681,315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22,626,521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22,681,315</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9"/>
                <w:szCs w:val="9"/>
                <w:color w:val="auto"/>
              </w:rPr>
              <w:t>(9)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05/16/2022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3,062,602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9"/>
        </w:trPr>
        <w:tc>
          <w:tcPr>
            <w:tcW w:w="3280" w:type="dxa"/>
            <w:vAlign w:val="bottom"/>
          </w:tcPr>
          <w:p>
            <w:pPr>
              <w:spacing w:after="0"/>
              <w:rPr>
                <w:sz w:val="20"/>
                <w:szCs w:val="20"/>
                <w:color w:val="auto"/>
              </w:rPr>
            </w:pPr>
            <w:r>
              <w:rPr>
                <w:rFonts w:ascii="Arial" w:cs="Arial" w:eastAsia="Arial" w:hAnsi="Arial"/>
                <w:sz w:val="11"/>
                <w:szCs w:val="11"/>
                <w:color w:val="auto"/>
              </w:rPr>
              <w:t xml:space="preserve">Cadence Aerospace, LLC </w:t>
            </w:r>
            <w:r>
              <w:rPr>
                <w:rFonts w:ascii="Arial" w:cs="Arial" w:eastAsia="Arial" w:hAnsi="Arial"/>
                <w:sz w:val="9"/>
                <w:szCs w:val="9"/>
                <w:color w:val="auto"/>
              </w:rPr>
              <w:t>(7)</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11/14/2023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9.50%</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L+850</w:t>
            </w:r>
          </w:p>
        </w:tc>
        <w:tc>
          <w:tcPr>
            <w:tcW w:w="880" w:type="dxa"/>
            <w:vAlign w:val="bottom"/>
          </w:tcPr>
          <w:p>
            <w:pPr>
              <w:jc w:val="right"/>
              <w:spacing w:after="0"/>
              <w:rPr>
                <w:sz w:val="20"/>
                <w:szCs w:val="20"/>
                <w:color w:val="auto"/>
              </w:rPr>
            </w:pPr>
            <w:r>
              <w:rPr>
                <w:rFonts w:ascii="Arial" w:cs="Arial" w:eastAsia="Arial" w:hAnsi="Arial"/>
                <w:sz w:val="11"/>
                <w:szCs w:val="11"/>
                <w:color w:val="auto"/>
              </w:rPr>
              <w:t>3,001,623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2,984,907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2,928,083</w:t>
            </w:r>
          </w:p>
        </w:tc>
        <w:tc>
          <w:tcPr>
            <w:tcW w:w="100" w:type="dxa"/>
            <w:vAlign w:val="bottom"/>
          </w:tcPr>
          <w:p>
            <w:pPr>
              <w:spacing w:after="0"/>
              <w:rPr>
                <w:sz w:val="12"/>
                <w:szCs w:val="12"/>
                <w:color w:val="auto"/>
              </w:rPr>
            </w:pPr>
          </w:p>
        </w:tc>
      </w:tr>
      <w:tr>
        <w:trPr>
          <w:trHeight w:val="131"/>
        </w:trPr>
        <w:tc>
          <w:tcPr>
            <w:tcW w:w="3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(PIK 9.50%)</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Cano Health,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11/23/2027</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Healthcare and Pharmaceuticals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5.25%</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L+450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2,653,333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2,646,700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2,654,448</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CF512, Inc.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08/20/2026</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880" w:type="dxa"/>
            <w:vAlign w:val="bottom"/>
          </w:tcPr>
          <w:p>
            <w:pPr>
              <w:jc w:val="right"/>
              <w:spacing w:after="0"/>
              <w:rPr>
                <w:sz w:val="20"/>
                <w:szCs w:val="20"/>
                <w:color w:val="auto"/>
              </w:rPr>
            </w:pPr>
            <w:r>
              <w:rPr>
                <w:rFonts w:ascii="Arial" w:cs="Arial" w:eastAsia="Arial" w:hAnsi="Arial"/>
                <w:sz w:val="11"/>
                <w:szCs w:val="11"/>
                <w:color w:val="auto"/>
              </w:rPr>
              <w:t>10,500,000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10,292,565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10,290,000</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CF512, Inc. </w:t>
            </w:r>
            <w:r>
              <w:rPr>
                <w:rFonts w:ascii="Arial" w:cs="Arial" w:eastAsia="Arial" w:hAnsi="Arial"/>
                <w:sz w:val="9"/>
                <w:szCs w:val="9"/>
                <w:color w:val="auto"/>
              </w:rPr>
              <w:t>(7), (9)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08/20/2026</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93"/>
              </w:rPr>
              <w:t>Media</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2,863,636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(28,636)</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CF512, Inc. (Revolver)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08/20/2026</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954,545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(19,091)</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CHA Holdings, Inc.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04/10/2025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Environmental Industries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1,597,377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1,592,764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1,573,417</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08/31/2023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711,447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(21,344)</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Compex Legal Services, Inc.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02/09/2026</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86"/>
              </w:rPr>
              <w:t>Professional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7,652,926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7,529,620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7,565,683</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02/07/2025</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86"/>
              </w:rPr>
              <w:t>Professional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880" w:type="dxa"/>
            <w:vAlign w:val="bottom"/>
          </w:tcPr>
          <w:p>
            <w:pPr>
              <w:jc w:val="right"/>
              <w:spacing w:after="0"/>
              <w:rPr>
                <w:sz w:val="20"/>
                <w:szCs w:val="20"/>
                <w:color w:val="auto"/>
              </w:rPr>
            </w:pPr>
            <w:r>
              <w:rPr>
                <w:rFonts w:ascii="Arial" w:cs="Arial" w:eastAsia="Arial" w:hAnsi="Arial"/>
                <w:sz w:val="11"/>
                <w:szCs w:val="11"/>
                <w:color w:val="auto"/>
              </w:rPr>
              <w:t>983,962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983,962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972,745</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 (9)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02/07/2025</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86"/>
              </w:rPr>
              <w:t>Professional Services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421,698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(4,807)</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Confluent Health,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06/24/2026</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Health Providers and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5.08%</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L+500</w:t>
            </w:r>
          </w:p>
        </w:tc>
        <w:tc>
          <w:tcPr>
            <w:tcW w:w="880" w:type="dxa"/>
            <w:vAlign w:val="bottom"/>
          </w:tcPr>
          <w:p>
            <w:pPr>
              <w:jc w:val="right"/>
              <w:spacing w:after="0"/>
              <w:rPr>
                <w:sz w:val="20"/>
                <w:szCs w:val="20"/>
                <w:color w:val="auto"/>
              </w:rPr>
            </w:pPr>
            <w:r>
              <w:rPr>
                <w:rFonts w:ascii="Arial" w:cs="Arial" w:eastAsia="Arial" w:hAnsi="Arial"/>
                <w:sz w:val="11"/>
                <w:szCs w:val="11"/>
                <w:color w:val="auto"/>
              </w:rPr>
              <w:t>3,910,000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3,879,252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3,910,000</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Connatix Buyer, Inc.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07/13/2027</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93"/>
              </w:rPr>
              <w:t>Media</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3,920,501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3,920,000</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Connatix Buyer, Inc.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01/13/2023</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2,105,263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(21,053)</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Connatix Buyer, Inc. (Revolver) </w:t>
            </w:r>
            <w:r>
              <w:rPr>
                <w:rFonts w:ascii="Arial" w:cs="Arial" w:eastAsia="Arial" w:hAnsi="Arial"/>
                <w:sz w:val="9"/>
                <w:szCs w:val="9"/>
                <w:color w:val="auto"/>
              </w:rPr>
              <w:t>(7)</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07/13/2027</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93"/>
              </w:rPr>
              <w:t>Media</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123,438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123,438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120,969</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Connatix Buyer, Inc. (Revolver)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07/13/2027</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1,110,938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(22,219)</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CoolSys, Inc.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08/04/2028</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90"/>
              </w:rPr>
              <w:t>Commercial Services &amp; Supplies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L+475</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1,909,091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1,890,159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1,913,864</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CoolSys, Inc.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08/04/2028</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90"/>
              </w:rPr>
              <w:t>Commercial Services &amp; Supplies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848,485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2,121</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Crane 1 Services, Inc. </w:t>
            </w:r>
            <w:r>
              <w:rPr>
                <w:rFonts w:ascii="Arial" w:cs="Arial" w:eastAsia="Arial" w:hAnsi="Arial"/>
                <w:sz w:val="9"/>
                <w:szCs w:val="9"/>
                <w:color w:val="auto"/>
              </w:rPr>
              <w:t>(7), (9)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08/16/2023</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90"/>
              </w:rPr>
              <w:t>Commercial Services &amp; Supplies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897,129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(2,243)</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08/16/2027</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90"/>
              </w:rPr>
              <w:t>Commercial Services &amp; Supplies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336,423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(3,364)</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Crash Champions,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08/05/2025</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92"/>
              </w:rPr>
              <w:t>Automobiles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5.85%</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13,078,403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12,889,464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12,816,835</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Crash Champions, LLC </w:t>
            </w:r>
            <w:r>
              <w:rPr>
                <w:rFonts w:ascii="Arial" w:cs="Arial" w:eastAsia="Arial" w:hAnsi="Arial"/>
                <w:sz w:val="9"/>
                <w:szCs w:val="9"/>
                <w:color w:val="auto"/>
              </w:rPr>
              <w:t>(7)(9)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05/14/2022</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92"/>
              </w:rPr>
              <w:t>Automobiles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12,911,597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(129,116)</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Digital Room Holdings, Inc.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05/22/2026</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91"/>
              </w:rPr>
              <w:t>Media: Advertising, Printing and Publishing</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5.08%</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6,546,999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6,467,615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6,461,888</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10/19/2022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880" w:type="dxa"/>
            <w:vAlign w:val="bottom"/>
          </w:tcPr>
          <w:p>
            <w:pPr>
              <w:jc w:val="right"/>
              <w:spacing w:after="0"/>
              <w:rPr>
                <w:sz w:val="20"/>
                <w:szCs w:val="20"/>
                <w:color w:val="auto"/>
              </w:rPr>
            </w:pPr>
            <w:r>
              <w:rPr>
                <w:rFonts w:ascii="Arial" w:cs="Arial" w:eastAsia="Arial" w:hAnsi="Arial"/>
                <w:sz w:val="11"/>
                <w:szCs w:val="11"/>
                <w:color w:val="auto"/>
              </w:rPr>
              <w:t>6,545,091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6,514,467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6,545,091</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Douglas Products and Packaging Company LLC (Revolver)</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10/19/2022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P+475</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2,927,451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2,927,451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2,927,451</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Douglas Products and Packaging Company LLC (Revolver) </w:t>
            </w:r>
            <w:r>
              <w:rPr>
                <w:rFonts w:ascii="Arial" w:cs="Arial" w:eastAsia="Arial" w:hAnsi="Arial"/>
                <w:sz w:val="9"/>
                <w:szCs w:val="9"/>
                <w:color w:val="auto"/>
              </w:rPr>
              <w:t>(9)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10/19/2022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1,463,725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10/19/2022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3,961,006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3,941,701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3,961,006</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Dr. Squatch,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08/27/2026</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880" w:type="dxa"/>
            <w:vAlign w:val="bottom"/>
          </w:tcPr>
          <w:p>
            <w:pPr>
              <w:jc w:val="right"/>
              <w:spacing w:after="0"/>
              <w:rPr>
                <w:sz w:val="20"/>
                <w:szCs w:val="20"/>
                <w:color w:val="auto"/>
              </w:rPr>
            </w:pPr>
            <w:r>
              <w:rPr>
                <w:rFonts w:ascii="Arial" w:cs="Arial" w:eastAsia="Arial" w:hAnsi="Arial"/>
                <w:sz w:val="11"/>
                <w:szCs w:val="11"/>
                <w:color w:val="auto"/>
              </w:rPr>
              <w:t>9,485,286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9,297,453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9,295,580</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9"/>
                <w:szCs w:val="9"/>
                <w:color w:val="auto"/>
              </w:rPr>
              <w:t>(7)</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08/27/2026</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2,459,120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2,459,120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2,409,937</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08/27/2026</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894,225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(17,885)</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DRS Holdings III, Inc.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11/03/2025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17,671,003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17,514,528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17,547,307</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11/03/2025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1,426,470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(9,985)</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East Valley Tourist Development Authority</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03/07/2022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Hotel, Gaming and Leisure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9.00%</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13,217,455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13,191,359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13,019,193</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4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(PIK 3.50%)</w:t>
            </w: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ECL Entertainment,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03/31/2028</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8.25%</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880" w:type="dxa"/>
            <w:vAlign w:val="bottom"/>
          </w:tcPr>
          <w:p>
            <w:pPr>
              <w:jc w:val="right"/>
              <w:spacing w:after="0"/>
              <w:rPr>
                <w:sz w:val="20"/>
                <w:szCs w:val="20"/>
                <w:color w:val="auto"/>
              </w:rPr>
            </w:pPr>
            <w:r>
              <w:rPr>
                <w:rFonts w:ascii="Arial" w:cs="Arial" w:eastAsia="Arial" w:hAnsi="Arial"/>
                <w:sz w:val="11"/>
                <w:szCs w:val="11"/>
                <w:color w:val="auto"/>
              </w:rPr>
              <w:t>5,256,058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5,204,780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5,374,319</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9"/>
                <w:szCs w:val="9"/>
                <w:color w:val="auto"/>
              </w:rPr>
              <w:t>(9)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12/23/2025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914,415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(4,572)</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9"/>
                <w:szCs w:val="9"/>
                <w:color w:val="auto"/>
              </w:rPr>
              <w:t>(10)</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10/05/2023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Banking, Finance, Insurance &amp; Real Estate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L+500</w:t>
            </w:r>
          </w:p>
        </w:tc>
        <w:tc>
          <w:tcPr>
            <w:tcW w:w="880" w:type="dxa"/>
            <w:vAlign w:val="bottom"/>
          </w:tcPr>
          <w:p>
            <w:pPr>
              <w:jc w:val="right"/>
              <w:spacing w:after="0"/>
              <w:rPr>
                <w:sz w:val="20"/>
                <w:szCs w:val="20"/>
                <w:color w:val="auto"/>
              </w:rPr>
            </w:pPr>
            <w:r>
              <w:rPr>
                <w:rFonts w:ascii="Arial" w:cs="Arial" w:eastAsia="Arial" w:hAnsi="Arial"/>
                <w:sz w:val="11"/>
                <w:szCs w:val="11"/>
                <w:color w:val="auto"/>
              </w:rPr>
              <w:t>6,950,625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6,950,625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6,950,625</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9"/>
                <w:szCs w:val="9"/>
                <w:color w:val="auto"/>
              </w:rPr>
              <w:t>(7), (9), (10)</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10/05/2023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Banking, Finance, Insurance &amp; Real Estate</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Efficient Collaborative Retail Marketing Company,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06/15/2022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Media: Diversified and Production</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7.75%</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L+675</w:t>
            </w:r>
          </w:p>
        </w:tc>
        <w:tc>
          <w:tcPr>
            <w:tcW w:w="880" w:type="dxa"/>
            <w:vAlign w:val="bottom"/>
          </w:tcPr>
          <w:p>
            <w:pPr>
              <w:jc w:val="right"/>
              <w:spacing w:after="0"/>
              <w:rPr>
                <w:sz w:val="20"/>
                <w:szCs w:val="20"/>
                <w:color w:val="auto"/>
              </w:rPr>
            </w:pPr>
            <w:r>
              <w:rPr>
                <w:rFonts w:ascii="Arial" w:cs="Arial" w:eastAsia="Arial" w:hAnsi="Arial"/>
                <w:sz w:val="11"/>
                <w:szCs w:val="11"/>
                <w:color w:val="auto"/>
              </w:rPr>
              <w:t>7,189,139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7,179,891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7,153,193</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(5)(10)(11)</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05/31/2024</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Diversified Financial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5.07%</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AUD 10,000,000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7,323,360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7,151,265</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Gantech Acquisition Corp.</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05/14/2026</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IT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880" w:type="dxa"/>
            <w:vAlign w:val="bottom"/>
          </w:tcPr>
          <w:p>
            <w:pPr>
              <w:jc w:val="right"/>
              <w:spacing w:after="0"/>
              <w:rPr>
                <w:sz w:val="20"/>
                <w:szCs w:val="20"/>
                <w:color w:val="auto"/>
              </w:rPr>
            </w:pPr>
            <w:r>
              <w:rPr>
                <w:rFonts w:ascii="Arial" w:cs="Arial" w:eastAsia="Arial" w:hAnsi="Arial"/>
                <w:sz w:val="11"/>
                <w:szCs w:val="11"/>
                <w:color w:val="auto"/>
              </w:rPr>
              <w:t>17,412,500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17,081,919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17,064,250</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9"/>
                <w:szCs w:val="9"/>
                <w:color w:val="auto"/>
              </w:rPr>
              <w:t>(7)</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05/14/2026</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IT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933,320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933,320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914,654</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05/14/2026</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IT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2,799,960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(55,999)</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Global Holdings InterCo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03/16/2026</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Diversified Financial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3,482,500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3,434,795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3,465,088</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Graffiti Buyer, Inc.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08/10/2023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Trading Companies &amp; Distributors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1,071,429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(5,357)</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9"/>
                <w:szCs w:val="9"/>
                <w:color w:val="auto"/>
              </w:rPr>
              <w:t>(7), (9)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08/10/2027</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Trading Companies &amp; Distributors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864,713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(20,061)</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Hancock Roofing and Construction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12/31/2026</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Insurance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880" w:type="dxa"/>
            <w:vAlign w:val="bottom"/>
          </w:tcPr>
          <w:p>
            <w:pPr>
              <w:jc w:val="right"/>
              <w:spacing w:after="0"/>
              <w:rPr>
                <w:sz w:val="20"/>
                <w:szCs w:val="20"/>
                <w:color w:val="auto"/>
              </w:rPr>
            </w:pPr>
            <w:r>
              <w:rPr>
                <w:rFonts w:ascii="Arial" w:cs="Arial" w:eastAsia="Arial" w:hAnsi="Arial"/>
                <w:sz w:val="11"/>
                <w:szCs w:val="11"/>
                <w:color w:val="auto"/>
              </w:rPr>
              <w:t>3,473,750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3,396,559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3,439,013</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Hancock Roofing and Construction L.L.C. </w:t>
            </w:r>
            <w:r>
              <w:rPr>
                <w:rFonts w:ascii="Arial" w:cs="Arial" w:eastAsia="Arial" w:hAnsi="Arial"/>
                <w:sz w:val="9"/>
                <w:szCs w:val="9"/>
                <w:color w:val="auto"/>
              </w:rPr>
              <w:t>(7), (9)</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12/31/2022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Insurance</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(15,000)</w:t>
            </w: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12/31/2026</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Insurance</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750,000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(7,500)</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Holdco Sands Intermediate, LLC</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12/19/2025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7.50%</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2,982,525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2,940,710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2,967,612</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HW Holdco, LLC</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12/10/2024</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880" w:type="dxa"/>
            <w:vAlign w:val="bottom"/>
          </w:tcPr>
          <w:p>
            <w:pPr>
              <w:jc w:val="right"/>
              <w:spacing w:after="0"/>
              <w:rPr>
                <w:sz w:val="20"/>
                <w:szCs w:val="20"/>
                <w:color w:val="auto"/>
              </w:rPr>
            </w:pPr>
            <w:r>
              <w:rPr>
                <w:rFonts w:ascii="Arial" w:cs="Arial" w:eastAsia="Arial" w:hAnsi="Arial"/>
                <w:sz w:val="11"/>
                <w:szCs w:val="11"/>
                <w:color w:val="auto"/>
              </w:rPr>
              <w:t>7,340,806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7,295,603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7,267,398</w:t>
            </w:r>
          </w:p>
        </w:tc>
        <w:tc>
          <w:tcPr>
            <w:tcW w:w="100" w:type="dxa"/>
            <w:vAlign w:val="bottom"/>
          </w:tcPr>
          <w:p>
            <w:pPr>
              <w:spacing w:after="0"/>
              <w:rPr>
                <w:sz w:val="11"/>
                <w:szCs w:val="11"/>
                <w:color w:val="auto"/>
              </w:rPr>
            </w:pP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12/10/2024</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93"/>
              </w:rPr>
              <w:t>Media</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L+450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522,581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522,581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517,355</w:t>
            </w:r>
          </w:p>
        </w:tc>
        <w:tc>
          <w:tcPr>
            <w:tcW w:w="100" w:type="dxa"/>
            <w:vAlign w:val="bottom"/>
            <w:shd w:val="clear" w:color="auto" w:fill="CCECFF"/>
          </w:tcPr>
          <w:p>
            <w:pPr>
              <w:spacing w:after="0"/>
              <w:rPr>
                <w:sz w:val="11"/>
                <w:szCs w:val="11"/>
                <w:color w:val="auto"/>
              </w:rPr>
            </w:pPr>
          </w:p>
        </w:tc>
      </w:tr>
      <w:tr>
        <w:trPr>
          <w:trHeight w:val="135"/>
        </w:trPr>
        <w:tc>
          <w:tcPr>
            <w:tcW w:w="3280" w:type="dxa"/>
            <w:vAlign w:val="bottom"/>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12/10/2024</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93"/>
              </w:rPr>
              <w:t>Media</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929,032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(9,290)</w:t>
            </w:r>
          </w:p>
        </w:tc>
      </w:tr>
      <w:tr>
        <w:trPr>
          <w:trHeight w:val="135"/>
        </w:trPr>
        <w:tc>
          <w:tcPr>
            <w:tcW w:w="32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IG Investments Holdings, LLC </w:t>
            </w:r>
            <w:r>
              <w:rPr>
                <w:rFonts w:ascii="Arial" w:cs="Arial" w:eastAsia="Arial" w:hAnsi="Arial"/>
                <w:sz w:val="9"/>
                <w:szCs w:val="9"/>
                <w:color w:val="auto"/>
              </w:rPr>
              <w:t>(7)</w:t>
            </w:r>
          </w:p>
        </w:tc>
        <w:tc>
          <w:tcPr>
            <w:tcW w:w="78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09/22/2028</w:t>
            </w:r>
          </w:p>
        </w:tc>
        <w:tc>
          <w:tcPr>
            <w:tcW w:w="2540" w:type="dxa"/>
            <w:vAlign w:val="bottom"/>
            <w:gridSpan w:val="2"/>
            <w:shd w:val="clear" w:color="auto" w:fill="CCECFF"/>
          </w:tcPr>
          <w:p>
            <w:pPr>
              <w:jc w:val="center"/>
              <w:ind w:right="20"/>
              <w:spacing w:after="0"/>
              <w:rPr>
                <w:sz w:val="20"/>
                <w:szCs w:val="20"/>
                <w:color w:val="auto"/>
              </w:rPr>
            </w:pPr>
            <w:r>
              <w:rPr>
                <w:rFonts w:ascii="Arial" w:cs="Arial" w:eastAsia="Arial" w:hAnsi="Arial"/>
                <w:sz w:val="11"/>
                <w:szCs w:val="11"/>
                <w:color w:val="auto"/>
                <w:w w:val="86"/>
              </w:rPr>
              <w:t>Professional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8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4,518,304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4,428,218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4,427,938</w:t>
            </w:r>
          </w:p>
        </w:tc>
        <w:tc>
          <w:tcPr>
            <w:tcW w:w="100" w:type="dxa"/>
            <w:vAlign w:val="bottom"/>
            <w:shd w:val="clear" w:color="auto" w:fill="CCECFF"/>
          </w:tcPr>
          <w:p>
            <w:pPr>
              <w:spacing w:after="0"/>
              <w:rPr>
                <w:sz w:val="11"/>
                <w:szCs w:val="11"/>
                <w:color w:val="auto"/>
              </w:rPr>
            </w:pPr>
          </w:p>
        </w:tc>
      </w:tr>
      <w:tr>
        <w:trPr>
          <w:trHeight w:val="140"/>
        </w:trPr>
        <w:tc>
          <w:tcPr>
            <w:tcW w:w="3280" w:type="dxa"/>
            <w:vAlign w:val="bottom"/>
          </w:tcPr>
          <w:p>
            <w:pPr>
              <w:spacing w:after="0"/>
              <w:rPr>
                <w:sz w:val="20"/>
                <w:szCs w:val="20"/>
                <w:color w:val="auto"/>
              </w:rPr>
            </w:pPr>
            <w:r>
              <w:rPr>
                <w:rFonts w:ascii="Arial" w:cs="Arial" w:eastAsia="Arial" w:hAnsi="Arial"/>
                <w:sz w:val="11"/>
                <w:szCs w:val="11"/>
                <w:color w:val="auto"/>
              </w:rPr>
              <w:t xml:space="preserve">IG Investments Holdings, LLC (Revolver) </w:t>
            </w:r>
            <w:r>
              <w:rPr>
                <w:rFonts w:ascii="Arial" w:cs="Arial" w:eastAsia="Arial" w:hAnsi="Arial"/>
                <w:sz w:val="9"/>
                <w:szCs w:val="9"/>
                <w:color w:val="auto"/>
              </w:rPr>
              <w:t>(7), (9)</w:t>
            </w:r>
          </w:p>
        </w:tc>
        <w:tc>
          <w:tcPr>
            <w:tcW w:w="780" w:type="dxa"/>
            <w:vAlign w:val="bottom"/>
          </w:tcPr>
          <w:p>
            <w:pPr>
              <w:jc w:val="center"/>
              <w:ind w:left="46"/>
              <w:spacing w:after="0"/>
              <w:rPr>
                <w:sz w:val="20"/>
                <w:szCs w:val="20"/>
                <w:color w:val="auto"/>
              </w:rPr>
            </w:pPr>
            <w:r>
              <w:rPr>
                <w:rFonts w:ascii="Arial" w:cs="Arial" w:eastAsia="Arial" w:hAnsi="Arial"/>
                <w:sz w:val="11"/>
                <w:szCs w:val="11"/>
                <w:color w:val="auto"/>
                <w:w w:val="87"/>
              </w:rPr>
              <w:t>09/22/2027</w:t>
            </w:r>
          </w:p>
        </w:tc>
        <w:tc>
          <w:tcPr>
            <w:tcW w:w="2540" w:type="dxa"/>
            <w:vAlign w:val="bottom"/>
            <w:gridSpan w:val="2"/>
          </w:tcPr>
          <w:p>
            <w:pPr>
              <w:jc w:val="center"/>
              <w:ind w:right="20"/>
              <w:spacing w:after="0"/>
              <w:rPr>
                <w:sz w:val="20"/>
                <w:szCs w:val="20"/>
                <w:color w:val="auto"/>
              </w:rPr>
            </w:pPr>
            <w:r>
              <w:rPr>
                <w:rFonts w:ascii="Arial" w:cs="Arial" w:eastAsia="Arial" w:hAnsi="Arial"/>
                <w:sz w:val="11"/>
                <w:szCs w:val="11"/>
                <w:color w:val="auto"/>
                <w:w w:val="86"/>
              </w:rPr>
              <w:t>Professional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476,879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2021</w:t>
      </w:r>
    </w:p>
    <w:tbl>
      <w:tblPr>
        <w:tblLayout w:type="fixed"/>
        <w:tblInd w:w="0" w:type="dxa"/>
        <w:tblCellMar>
          <w:top w:w="0" w:type="dxa"/>
          <w:left w:w="0" w:type="dxa"/>
          <w:bottom w:w="0" w:type="dxa"/>
          <w:right w:w="0" w:type="dxa"/>
        </w:tblCellMar>
      </w:tblPr>
      <w:tr>
        <w:trPr>
          <w:trHeight w:val="116"/>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16" w:lineRule="exact"/>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20" w:type="dxa"/>
            <w:vAlign w:val="bottom"/>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c>
          <w:tcPr>
            <w:tcW w:w="120" w:type="dxa"/>
            <w:vAlign w:val="bottom"/>
          </w:tcPr>
          <w:p>
            <w:pPr>
              <w:spacing w:after="0"/>
              <w:rPr>
                <w:sz w:val="11"/>
                <w:szCs w:val="11"/>
                <w:color w:val="auto"/>
              </w:rPr>
            </w:pPr>
          </w:p>
        </w:tc>
      </w:tr>
      <w:tr>
        <w:trPr>
          <w:trHeight w:val="129"/>
        </w:trPr>
        <w:tc>
          <w:tcPr>
            <w:tcW w:w="3360" w:type="dxa"/>
            <w:vAlign w:val="bottom"/>
          </w:tcPr>
          <w:p>
            <w:pPr>
              <w:spacing w:after="0"/>
              <w:rPr>
                <w:sz w:val="20"/>
                <w:szCs w:val="20"/>
                <w:color w:val="auto"/>
              </w:rPr>
            </w:pPr>
            <w:r>
              <w:rPr>
                <w:rFonts w:ascii="Arial" w:cs="Arial" w:eastAsia="Arial" w:hAnsi="Arial"/>
                <w:sz w:val="11"/>
                <w:szCs w:val="11"/>
                <w:color w:val="auto"/>
              </w:rPr>
              <w:t>IMIA Holdings, Inc.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04/09/2027</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13,143,859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   12,903,562</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   12,880,981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04/09/2027</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2,343,187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(46,864)</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Innova Medical Ophthalmics Inc. </w:t>
            </w:r>
            <w:r>
              <w:rPr>
                <w:rFonts w:ascii="Arial" w:cs="Arial" w:eastAsia="Arial" w:hAnsi="Arial"/>
                <w:sz w:val="9"/>
                <w:szCs w:val="9"/>
                <w:color w:val="auto"/>
              </w:rPr>
              <w:t>(5), (10)</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04/13/2023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3,253,402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3,233,718</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3,253,402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9"/>
                <w:szCs w:val="9"/>
                <w:color w:val="auto"/>
              </w:rPr>
              <w:t>(5), (7), (10)</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04/13/2023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533,525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533,525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533,525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Integrative Nutrition,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09/29/2023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16,166,639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16,094,784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16,166,639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09/29/2023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9"/>
                <w:szCs w:val="9"/>
                <w:color w:val="auto"/>
              </w:rPr>
              <w:t>(7)</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08/27/2025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3,170,208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3,146,750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3,154,357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07/09/2023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18,821,846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47,055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642,857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642,857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625,757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12/20/2023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785,714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(20,900)</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Lash OpCo,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02/18/2027</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31,661,987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30,959,997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31,028,748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08/16/2026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307,271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307,271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301,125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08/16/2026</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1,613,172</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(32,263)</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10/31/2024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9,487,062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9,453,067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8,892,223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5.00%)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9"/>
                <w:szCs w:val="9"/>
                <w:color w:val="auto"/>
              </w:rPr>
              <w:t>(7)</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10/31/2024</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1,690,642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1,690,642</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1,584,638</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5.00%)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02/03/2026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29,607,026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29,160,427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29,607,026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02/03/2026</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2,499,299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Lombart Brothers,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04/13/2023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14,285,424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14,207,771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14,285,424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9"/>
                <w:szCs w:val="9"/>
                <w:color w:val="auto"/>
              </w:rPr>
              <w:t>(7)</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04/13/2023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516,105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516,105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516,105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Lucky Bucks,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07/20/2027</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4,411,262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4,424,085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MAG DS Corp.</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04/01/2027</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3,891,201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3,720,793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3,502,081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Magenta Buyer,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07/31/2028</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9,901,033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9,996,900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Mars Acquisition Holdings Corp.</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05/14/2026</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6,112,903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5,997,919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6,051,774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Mars Acquisition Holdings Corp. (Revolver)</w:t>
            </w:r>
            <w:r>
              <w:rPr>
                <w:rFonts w:ascii="Arial" w:cs="Arial" w:eastAsia="Arial" w:hAnsi="Arial"/>
                <w:sz w:val="9"/>
                <w:szCs w:val="9"/>
                <w:color w:val="auto"/>
              </w:rPr>
              <w:t>(7)(9)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05/14/2026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1,623,661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(16,237)</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MBS Holdings, Inc. (Revolver)</w:t>
            </w:r>
            <w:r>
              <w:rPr>
                <w:rFonts w:ascii="Arial" w:cs="Arial" w:eastAsia="Arial" w:hAnsi="Arial"/>
                <w:sz w:val="9"/>
                <w:szCs w:val="9"/>
                <w:color w:val="auto"/>
              </w:rPr>
              <w:t>(7)(9)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04/16/2027</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Internet Software and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1,157,407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(23,148)</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05/23/2024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25,249,919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25,028,932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24,997,420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05/23/2024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4,481,655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(44,817)</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Mission Critical Electronics,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606,003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603,747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606,003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9"/>
                <w:szCs w:val="9"/>
                <w:color w:val="auto"/>
              </w:rPr>
              <w:t>(7)</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09/28/2022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tcPr>
          <w:p>
            <w:pPr>
              <w:jc w:val="right"/>
              <w:spacing w:after="0"/>
              <w:rPr>
                <w:sz w:val="20"/>
                <w:szCs w:val="20"/>
                <w:color w:val="auto"/>
              </w:rPr>
            </w:pPr>
            <w:r>
              <w:rPr>
                <w:rFonts w:ascii="Arial" w:cs="Arial" w:eastAsia="Arial" w:hAnsi="Arial"/>
                <w:sz w:val="11"/>
                <w:szCs w:val="11"/>
                <w:color w:val="auto"/>
              </w:rPr>
              <w:t>468,198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468,198</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468,198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856,890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9"/>
                <w:szCs w:val="9"/>
                <w:color w:val="auto"/>
              </w:rPr>
              <w:t>(7)</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09/28/2027</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Distributors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3,500,000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3,430,000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3,430,000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09/28/2027</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Distributors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946,586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09/28/2027</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Distributors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946,586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NBH Group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08/19/2026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1,676,672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(33,533)</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OIS Management Services,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07/09/2026</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L+475</w:t>
            </w:r>
          </w:p>
        </w:tc>
        <w:tc>
          <w:tcPr>
            <w:tcW w:w="660" w:type="dxa"/>
            <w:vAlign w:val="bottom"/>
          </w:tcPr>
          <w:p>
            <w:pPr>
              <w:jc w:val="right"/>
              <w:spacing w:after="0"/>
              <w:rPr>
                <w:sz w:val="20"/>
                <w:szCs w:val="20"/>
                <w:color w:val="auto"/>
              </w:rPr>
            </w:pPr>
            <w:r>
              <w:rPr>
                <w:rFonts w:ascii="Arial" w:cs="Arial" w:eastAsia="Arial" w:hAnsi="Arial"/>
                <w:sz w:val="11"/>
                <w:szCs w:val="11"/>
                <w:color w:val="auto"/>
              </w:rPr>
              <w:t>3,195,000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3,156,452</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3,147,075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OIS Management Services, LLC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07/09/2023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1,911,111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(14,333)</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OIS Management Services, LLC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07/09/2026</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444,444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(6,667)</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One Stop Mailing,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05/07/2027</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Air Freight and Logistics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8,951,786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8,778,983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8,795,129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ORL Acquisition, Inc. </w:t>
            </w:r>
            <w:r>
              <w:rPr>
                <w:rFonts w:ascii="Arial" w:cs="Arial" w:eastAsia="Arial" w:hAnsi="Arial"/>
                <w:sz w:val="9"/>
                <w:szCs w:val="9"/>
                <w:color w:val="auto"/>
              </w:rPr>
              <w:t>(7)</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09/03/2027</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Finance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tcPr>
          <w:p>
            <w:pPr>
              <w:jc w:val="right"/>
              <w:spacing w:after="0"/>
              <w:rPr>
                <w:sz w:val="20"/>
                <w:szCs w:val="20"/>
                <w:color w:val="auto"/>
              </w:rPr>
            </w:pPr>
            <w:r>
              <w:rPr>
                <w:rFonts w:ascii="Arial" w:cs="Arial" w:eastAsia="Arial" w:hAnsi="Arial"/>
                <w:sz w:val="11"/>
                <w:szCs w:val="11"/>
                <w:color w:val="auto"/>
              </w:rPr>
              <w:t>7,267,887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7,123,600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7,122,529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ORL Acquisition, Inc.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09/03/2027</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Consumer Finance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860,692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Output Services Group, Inc.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03/27/2024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4,900,379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4,448,254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4,459,345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Ox Two,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05/18/2026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22,636,250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22,296,294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22,183,526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05/18/2026</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L+600</w:t>
            </w:r>
          </w:p>
        </w:tc>
        <w:tc>
          <w:tcPr>
            <w:tcW w:w="660" w:type="dxa"/>
            <w:vAlign w:val="bottom"/>
          </w:tcPr>
          <w:p>
            <w:pPr>
              <w:jc w:val="right"/>
              <w:spacing w:after="0"/>
              <w:rPr>
                <w:sz w:val="20"/>
                <w:szCs w:val="20"/>
                <w:color w:val="auto"/>
              </w:rPr>
            </w:pPr>
            <w:r>
              <w:rPr>
                <w:rFonts w:ascii="Arial" w:cs="Arial" w:eastAsia="Arial" w:hAnsi="Arial"/>
                <w:sz w:val="11"/>
                <w:szCs w:val="11"/>
                <w:color w:val="auto"/>
              </w:rPr>
              <w:t>903,226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903,226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885,161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05/18/2026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2,483,871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(49,677)</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Plant Health Intermediate, Inc.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644,022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641,696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644,022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PlayPower,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05/08/2026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Leisure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5.70%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5,073,921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5,036,905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4,980,916</w:t>
            </w: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PRA Events, Inc.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08/07/2025</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L+1,050</w:t>
            </w:r>
          </w:p>
        </w:tc>
        <w:tc>
          <w:tcPr>
            <w:tcW w:w="660" w:type="dxa"/>
            <w:vAlign w:val="bottom"/>
          </w:tcPr>
          <w:p>
            <w:pPr>
              <w:jc w:val="right"/>
              <w:spacing w:after="0"/>
              <w:rPr>
                <w:sz w:val="20"/>
                <w:szCs w:val="20"/>
                <w:color w:val="auto"/>
              </w:rPr>
            </w:pPr>
            <w:r>
              <w:rPr>
                <w:rFonts w:ascii="Arial" w:cs="Arial" w:eastAsia="Arial" w:hAnsi="Arial"/>
                <w:sz w:val="11"/>
                <w:szCs w:val="11"/>
                <w:color w:val="auto"/>
              </w:rPr>
              <w:t>3,158,231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2,724,212</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2,984,528</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11.50%)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Quantic Electronics,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11/19/2026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8,716,039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8,582,843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8,541,720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Quantic Electronics, LLC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11/19/2026</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2,809,953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(28,099)</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Quantic Electronics,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11/19/2026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669,972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(13,399)</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Questex,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09/09/2024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7,275,000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7,195,336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6,838,500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Questex, LLC (Revolver)</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09/09/2024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718,085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718,085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675,000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09/09/2024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478,723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(28,723)</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Rancho Health MSO, Inc. </w:t>
            </w:r>
            <w:r>
              <w:rPr>
                <w:rFonts w:ascii="Arial" w:cs="Arial" w:eastAsia="Arial" w:hAnsi="Arial"/>
                <w:sz w:val="9"/>
                <w:szCs w:val="9"/>
                <w:color w:val="auto"/>
              </w:rPr>
              <w:t>(7)</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12/18/2025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Rancho Health MSO, Inc.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12/18/2025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525,000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Recteq,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01/29/2026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Leisure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1,492,500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1,466,252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1,477,575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01/29/2026</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Leisure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1,295,775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(12,958)</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Research Horizons,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06/28/2022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6,719,172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6,693,865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6,651,980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Research Now Group, Inc. and Dynata,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17,322,086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17,098,617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17,101,922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Riverpoint Medical,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06/20/2025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8,114,773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8,039,060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8,014,960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 (9)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06/20/2025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909,091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(11,182)</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Riverside Assessments, LLC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03/10/2025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16,173,514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15,950,441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15,769,176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Sales Benchmark Index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01/03/2025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7,905,741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7,795,649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7,708,097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01/03/2025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1,292,683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(32,317)</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Sargent &amp; Greenleaf Inc.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3,693,604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3,655,678</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3,693,604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Sargent &amp; Greenleaf Inc. (Revolver)</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12/20/2024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528,183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528,183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528,183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9"/>
                <w:szCs w:val="9"/>
                <w:color w:val="auto"/>
              </w:rPr>
              <w:t>(7),(9)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528,183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13,377,094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13,274,545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12,775,125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Schlesinger Global, Inc. (Revolver)</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07/14/2025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1,181,440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1,181,440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1,128,276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691,107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(31,100)</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Sigma Defense Systems,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12/18/2025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L+875</w:t>
            </w:r>
          </w:p>
        </w:tc>
        <w:tc>
          <w:tcPr>
            <w:tcW w:w="660" w:type="dxa"/>
            <w:vAlign w:val="bottom"/>
          </w:tcPr>
          <w:p>
            <w:pPr>
              <w:jc w:val="right"/>
              <w:spacing w:after="0"/>
              <w:rPr>
                <w:sz w:val="20"/>
                <w:szCs w:val="20"/>
                <w:color w:val="auto"/>
              </w:rPr>
            </w:pPr>
            <w:r>
              <w:rPr>
                <w:rFonts w:ascii="Arial" w:cs="Arial" w:eastAsia="Arial" w:hAnsi="Arial"/>
                <w:sz w:val="11"/>
                <w:szCs w:val="11"/>
                <w:color w:val="auto"/>
              </w:rPr>
              <w:t>804,676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787,185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790,594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12/18/2025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837,391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(14,654)</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Signature Systems Holding Company</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11,700,000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11,597,822</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11,583,000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419,355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419,355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415,161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(9)</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1,327,957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(13,280)</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Signature Systems Holding Company - Term Loan II</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12/31/2021</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698,925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695,431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691,935</w:t>
            </w:r>
          </w:p>
        </w:tc>
        <w:tc>
          <w:tcPr>
            <w:tcW w:w="120" w:type="dxa"/>
            <w:vAlign w:val="bottom"/>
            <w:shd w:val="clear" w:color="auto" w:fill="CCECFF"/>
          </w:tcPr>
          <w:p>
            <w:pPr>
              <w:spacing w:after="0"/>
              <w:rPr>
                <w:sz w:val="11"/>
                <w:szCs w:val="1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c>
          <w:tcPr>
            <w:tcW w:w="120" w:type="dxa"/>
            <w:vAlign w:val="bottom"/>
            <w:tcBorders>
              <w:bottom w:val="single" w:sz="8" w:color="CCECFF"/>
            </w:tcBorders>
          </w:tcPr>
          <w:p>
            <w:pPr>
              <w:spacing w:after="0"/>
              <w:rPr>
                <w:sz w:val="11"/>
                <w:szCs w:val="11"/>
                <w:color w:val="auto"/>
              </w:rPr>
            </w:pPr>
          </w:p>
        </w:tc>
      </w:tr>
      <w:tr>
        <w:trPr>
          <w:trHeight w:val="128"/>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Smile Brands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10/14/2024</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5.27%</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1,961,664</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1,961,664</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1,942,047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9"/>
                <w:szCs w:val="9"/>
                <w:color w:val="auto"/>
              </w:rPr>
              <w:t>(7), (9)</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10/14/2024</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1,616,250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(16,163)</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07/19/2021</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66,667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66,667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66,667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 (9)</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07/19/2021</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428,469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Solutionreach,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01/17/2024</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5,989,487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5,928,216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5,989,487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 (9)</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01/17/2024</w:t>
            </w:r>
          </w:p>
        </w:tc>
        <w:tc>
          <w:tcPr>
            <w:tcW w:w="2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1,665,000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Spear Education,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02/26/2025</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14,898,125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14,751,993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14,898,125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9"/>
                <w:szCs w:val="9"/>
                <w:color w:val="auto"/>
              </w:rPr>
              <w:t>(7), (9)</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02/26/2022</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6,875,000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Spectacle Gary Holdings,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12/23/2025</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4,987,500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4,870,852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5,414,580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STV Group Incorporated</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12/11/2026</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Construction &amp; Engineering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5.33%</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tcPr>
          <w:p>
            <w:pPr>
              <w:jc w:val="right"/>
              <w:spacing w:after="0"/>
              <w:rPr>
                <w:sz w:val="20"/>
                <w:szCs w:val="20"/>
                <w:color w:val="auto"/>
              </w:rPr>
            </w:pPr>
            <w:r>
              <w:rPr>
                <w:rFonts w:ascii="Arial" w:cs="Arial" w:eastAsia="Arial" w:hAnsi="Arial"/>
                <w:sz w:val="11"/>
                <w:szCs w:val="11"/>
                <w:color w:val="auto"/>
              </w:rPr>
              <w:t>4,751,892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4,712,393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4,728,132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TAC LifePort Purchaser,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03/01/2026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530,980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521,285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530,808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TAC LifePort Purchaser, LLC (Revolver) </w:t>
            </w:r>
            <w:r>
              <w:rPr>
                <w:rFonts w:ascii="Arial" w:cs="Arial" w:eastAsia="Arial" w:hAnsi="Arial"/>
                <w:sz w:val="9"/>
                <w:szCs w:val="9"/>
                <w:color w:val="auto"/>
              </w:rPr>
              <w:t>(7), (9)</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03/01/2026</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1,302,326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(420)</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TeleGuam Holdings,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11/20/2025</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Wireless Telecommunication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3,127,222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3,102,599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3,095,950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Teneo Holdings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07/18/2025</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Diversified Financial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tcPr>
          <w:p>
            <w:pPr>
              <w:jc w:val="right"/>
              <w:spacing w:after="0"/>
              <w:rPr>
                <w:sz w:val="20"/>
                <w:szCs w:val="20"/>
                <w:color w:val="auto"/>
              </w:rPr>
            </w:pPr>
            <w:r>
              <w:rPr>
                <w:rFonts w:ascii="Arial" w:cs="Arial" w:eastAsia="Arial" w:hAnsi="Arial"/>
                <w:sz w:val="11"/>
                <w:szCs w:val="11"/>
                <w:color w:val="auto"/>
              </w:rPr>
              <w:t>5,852,595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5,754,319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5,820,874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The Aegis Technologies Group,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10/31/2025</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4,968,227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4,899,588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4,918,545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The Bluebird Group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07/27/2026</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L+700</w:t>
            </w:r>
          </w:p>
        </w:tc>
        <w:tc>
          <w:tcPr>
            <w:tcW w:w="660" w:type="dxa"/>
            <w:vAlign w:val="bottom"/>
          </w:tcPr>
          <w:p>
            <w:pPr>
              <w:jc w:val="right"/>
              <w:spacing w:after="0"/>
              <w:rPr>
                <w:sz w:val="20"/>
                <w:szCs w:val="20"/>
                <w:color w:val="auto"/>
              </w:rPr>
            </w:pPr>
            <w:r>
              <w:rPr>
                <w:rFonts w:ascii="Arial" w:cs="Arial" w:eastAsia="Arial" w:hAnsi="Arial"/>
                <w:sz w:val="11"/>
                <w:szCs w:val="11"/>
                <w:color w:val="auto"/>
              </w:rPr>
              <w:t>4,844,496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4,749,627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4,813,975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The Bluebird Group LLC (Revolver) </w:t>
            </w:r>
            <w:r>
              <w:rPr>
                <w:rFonts w:ascii="Arial" w:cs="Arial" w:eastAsia="Arial" w:hAnsi="Arial"/>
                <w:sz w:val="9"/>
                <w:szCs w:val="9"/>
                <w:color w:val="auto"/>
              </w:rPr>
              <w:t>(7), (9)</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07/27/2026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862,381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(5,433)</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The Infosoft Group,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09/16/2024</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15,724,607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15,632,711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15,724,607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The Vertex Companies, LLC </w:t>
            </w:r>
            <w:r>
              <w:rPr>
                <w:rFonts w:ascii="Arial" w:cs="Arial" w:eastAsia="Arial" w:hAnsi="Arial"/>
                <w:sz w:val="9"/>
                <w:szCs w:val="9"/>
                <w:color w:val="auto"/>
              </w:rPr>
              <w:t>(7), (9)</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08/30/2027</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Construction &amp; Engineering</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2,733,889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(23,847)</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The Vertex Companies, LLC (Revolver) </w:t>
            </w:r>
            <w:r>
              <w:rPr>
                <w:rFonts w:ascii="Arial" w:cs="Arial" w:eastAsia="Arial" w:hAnsi="Arial"/>
                <w:sz w:val="9"/>
                <w:szCs w:val="9"/>
                <w:color w:val="auto"/>
              </w:rPr>
              <w:t>(7), (9)</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08/30/2027</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Construction &amp; Engineering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911,296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(17,062)</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9"/>
                <w:szCs w:val="9"/>
                <w:color w:val="auto"/>
              </w:rPr>
              <w:t>(5), (10)</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11/24/2025</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Food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4,876,338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4,765,125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TVC Enterprises,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03/26/2026</w:t>
            </w:r>
          </w:p>
        </w:tc>
        <w:tc>
          <w:tcPr>
            <w:tcW w:w="2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24,986,657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24,662,540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24,986,657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 (9)</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03/26/2026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1,303,813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TWS Acquisition Corporation</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06/16/2025</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Diversified Consumer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6,636,062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6,523,533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6,636,062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 (9)</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06/16/2025</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Diversified Consumer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2,627,857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Tyto Athene,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04/01/2028</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12,036,108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11,861,076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12,036,108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9"/>
                <w:szCs w:val="9"/>
                <w:color w:val="auto"/>
              </w:rPr>
              <w:t>(7), (9)</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04/01/2026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1,039,799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UBEO, LLC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04/03/2024</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18,112,089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18,014,910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18,021,529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UBEO, LLC (Revolver)</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04/03/2024</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1,466,667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1,466,667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1,459,333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UBEO, LLC (Revolver) </w:t>
            </w:r>
            <w:r>
              <w:rPr>
                <w:rFonts w:ascii="Arial" w:cs="Arial" w:eastAsia="Arial" w:hAnsi="Arial"/>
                <w:sz w:val="9"/>
                <w:szCs w:val="9"/>
                <w:color w:val="auto"/>
              </w:rPr>
              <w:t>(9)</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04/03/2024</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1,466,667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(7,333)</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08/30/2024</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Providers and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4,776,283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4,720,971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4,752,401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Vision Purchaser Corporation</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06/10/2025</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L+675</w:t>
            </w:r>
          </w:p>
        </w:tc>
        <w:tc>
          <w:tcPr>
            <w:tcW w:w="660" w:type="dxa"/>
            <w:vAlign w:val="bottom"/>
          </w:tcPr>
          <w:p>
            <w:pPr>
              <w:jc w:val="right"/>
              <w:spacing w:after="0"/>
              <w:rPr>
                <w:sz w:val="20"/>
                <w:szCs w:val="20"/>
                <w:color w:val="auto"/>
              </w:rPr>
            </w:pPr>
            <w:r>
              <w:rPr>
                <w:rFonts w:ascii="Arial" w:cs="Arial" w:eastAsia="Arial" w:hAnsi="Arial"/>
                <w:sz w:val="11"/>
                <w:szCs w:val="11"/>
                <w:color w:val="auto"/>
              </w:rPr>
              <w:t>14,248,804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14,044,655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14,035,072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Walker Edison Furniture Company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03/31/2027</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12,437,500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12,146,653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11,971,094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Wildcat Buyerco,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02/27/2026</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3,057,054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3,038,839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3,041,769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9"/>
                <w:szCs w:val="9"/>
                <w:color w:val="auto"/>
              </w:rPr>
              <w:t>(7), (9)</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02/27/2022</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2,491,176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15,570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9"/>
                <w:szCs w:val="9"/>
                <w:color w:val="auto"/>
              </w:rPr>
              <w:t>(7), (9)</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02/27/2026</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533,824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(7,046)</w:t>
            </w:r>
          </w:p>
        </w:tc>
      </w:tr>
      <w:tr>
        <w:trPr>
          <w:trHeight w:val="128"/>
        </w:trPr>
        <w:tc>
          <w:tcPr>
            <w:tcW w:w="33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4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3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772,799,159</w:t>
            </w: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764,584,161</w:t>
            </w:r>
          </w:p>
        </w:tc>
        <w:tc>
          <w:tcPr>
            <w:tcW w:w="120" w:type="dxa"/>
            <w:vAlign w:val="bottom"/>
            <w:tcBorders>
              <w:top w:val="single" w:sz="8" w:color="CCECFF"/>
            </w:tcBorders>
            <w:shd w:val="clear" w:color="auto" w:fill="CCECFF"/>
          </w:tcPr>
          <w:p>
            <w:pPr>
              <w:spacing w:after="0"/>
              <w:rPr>
                <w:sz w:val="11"/>
                <w:szCs w:val="11"/>
                <w:color w:val="auto"/>
              </w:rPr>
            </w:pPr>
          </w:p>
        </w:tc>
      </w:tr>
      <w:tr>
        <w:trPr>
          <w:trHeight w:val="129"/>
        </w:trPr>
        <w:tc>
          <w:tcPr>
            <w:tcW w:w="3360" w:type="dxa"/>
            <w:vAlign w:val="bottom"/>
          </w:tcPr>
          <w:p>
            <w:pPr>
              <w:spacing w:after="0"/>
              <w:rPr>
                <w:sz w:val="20"/>
                <w:szCs w:val="20"/>
                <w:color w:val="auto"/>
              </w:rPr>
            </w:pPr>
            <w:r>
              <w:rPr>
                <w:rFonts w:ascii="Arial" w:cs="Arial" w:eastAsia="Arial" w:hAnsi="Arial"/>
                <w:sz w:val="11"/>
                <w:szCs w:val="11"/>
                <w:b w:val="1"/>
                <w:bCs w:val="1"/>
                <w:color w:val="auto"/>
              </w:rPr>
              <w:t>Second Lien Secured Debt—0.7%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Mailsouth Inc. </w:t>
            </w:r>
            <w:r>
              <w:rPr>
                <w:rFonts w:ascii="Arial" w:cs="Arial" w:eastAsia="Arial" w:hAnsi="Arial"/>
                <w:sz w:val="9"/>
                <w:szCs w:val="9"/>
                <w:color w:val="auto"/>
              </w:rPr>
              <w:t>(7)</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04/23/2025</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15.00%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864,289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864,289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864,289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15.00%)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11/30/2024</w:t>
            </w:r>
          </w:p>
        </w:tc>
        <w:tc>
          <w:tcPr>
            <w:tcW w:w="2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tcPr>
          <w:p>
            <w:pPr>
              <w:jc w:val="right"/>
              <w:spacing w:after="0"/>
              <w:rPr>
                <w:sz w:val="20"/>
                <w:szCs w:val="20"/>
                <w:color w:val="auto"/>
              </w:rPr>
            </w:pPr>
            <w:r>
              <w:rPr>
                <w:rFonts w:ascii="Arial" w:cs="Arial" w:eastAsia="Arial" w:hAnsi="Arial"/>
                <w:sz w:val="11"/>
                <w:szCs w:val="11"/>
                <w:color w:val="auto"/>
              </w:rPr>
              <w:t>2,343,262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2,331,051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2,343,262</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w w:val="97"/>
              </w:rPr>
              <w:t>(PIK 11.00%)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QuantiTech LLC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02/04/2027</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147,229</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147,375</w:t>
            </w:r>
          </w:p>
        </w:tc>
        <w:tc>
          <w:tcPr>
            <w:tcW w:w="120" w:type="dxa"/>
            <w:vAlign w:val="bottom"/>
            <w:shd w:val="clear" w:color="auto" w:fill="CCECFF"/>
          </w:tcPr>
          <w:p>
            <w:pPr>
              <w:spacing w:after="0"/>
              <w:rPr>
                <w:sz w:val="11"/>
                <w:szCs w:val="11"/>
                <w:color w:val="auto"/>
              </w:rPr>
            </w:pPr>
          </w:p>
        </w:tc>
      </w:tr>
      <w:tr>
        <w:trPr>
          <w:trHeight w:val="128"/>
        </w:trPr>
        <w:tc>
          <w:tcPr>
            <w:tcW w:w="33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3,342,569</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3,354,926</w:t>
            </w:r>
          </w:p>
        </w:tc>
        <w:tc>
          <w:tcPr>
            <w:tcW w:w="120" w:type="dxa"/>
            <w:vAlign w:val="bottom"/>
            <w:tcBorders>
              <w:bottom w:val="single" w:sz="8" w:color="CCECFF"/>
            </w:tcBorders>
          </w:tcPr>
          <w:p>
            <w:pPr>
              <w:spacing w:after="0"/>
              <w:rPr>
                <w:sz w:val="11"/>
                <w:szCs w:val="11"/>
                <w:color w:val="auto"/>
              </w:rPr>
            </w:pPr>
          </w:p>
        </w:tc>
      </w:tr>
      <w:tr>
        <w:trPr>
          <w:trHeight w:val="128"/>
        </w:trPr>
        <w:tc>
          <w:tcPr>
            <w:tcW w:w="33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Preferred Equity— 1.3% </w:t>
            </w:r>
            <w:r>
              <w:rPr>
                <w:rFonts w:ascii="Arial" w:cs="Arial" w:eastAsia="Arial" w:hAnsi="Arial"/>
                <w:sz w:val="9"/>
                <w:szCs w:val="9"/>
                <w:b w:val="1"/>
                <w:bCs w:val="1"/>
                <w:color w:val="auto"/>
              </w:rPr>
              <w:t>(6)</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9"/>
                <w:szCs w:val="9"/>
                <w:color w:val="auto"/>
              </w:rPr>
              <w:t>(7),(8)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6,720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672,000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672,000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21,870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835,000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871,525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1,231,746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NXOF Holdings, Inc. (Tyto Athene,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733,049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925,935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ORL Holdco,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Consumer Finance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132,654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132,654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tcPr>
          <w:p>
            <w:pPr>
              <w:jc w:val="right"/>
              <w:spacing w:after="0"/>
              <w:rPr>
                <w:sz w:val="20"/>
                <w:szCs w:val="20"/>
                <w:color w:val="auto"/>
              </w:rPr>
            </w:pPr>
            <w:r>
              <w:rPr>
                <w:rFonts w:ascii="Arial" w:cs="Arial" w:eastAsia="Arial" w:hAnsi="Arial"/>
                <w:sz w:val="11"/>
                <w:szCs w:val="11"/>
                <w:color w:val="auto"/>
              </w:rPr>
              <w:t>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429,000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536,476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1,323,421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1,628,120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(5), (7), (10)</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Food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409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409,011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489,811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TWD Parent Holdings, LLC (The Vertex Companies,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Construction &amp; Engineering</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36,686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36,686</w:t>
            </w: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UniTek Global Services, Inc. -</w:t>
            </w:r>
          </w:p>
        </w:tc>
        <w:tc>
          <w:tcPr>
            <w:tcW w:w="14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20.00%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343,861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343,861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19.00%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448,851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448,851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13.50%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1,047,317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670,283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28"/>
        </w:trPr>
        <w:tc>
          <w:tcPr>
            <w:tcW w:w="33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Total Preferred Equity</w:t>
            </w:r>
          </w:p>
        </w:tc>
        <w:tc>
          <w:tcPr>
            <w:tcW w:w="14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3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7,015,686</w:t>
            </w: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6,524,953</w:t>
            </w:r>
          </w:p>
        </w:tc>
        <w:tc>
          <w:tcPr>
            <w:tcW w:w="120" w:type="dxa"/>
            <w:vAlign w:val="bottom"/>
            <w:tcBorders>
              <w:top w:val="single" w:sz="8" w:color="CCECFF"/>
            </w:tcBorders>
            <w:shd w:val="clear" w:color="auto" w:fill="CCECFF"/>
          </w:tcPr>
          <w:p>
            <w:pPr>
              <w:spacing w:after="0"/>
              <w:rPr>
                <w:sz w:val="11"/>
                <w:szCs w:val="11"/>
                <w:color w:val="auto"/>
              </w:rPr>
            </w:pPr>
          </w:p>
        </w:tc>
      </w:tr>
      <w:tr>
        <w:trPr>
          <w:trHeight w:val="129"/>
        </w:trPr>
        <w:tc>
          <w:tcPr>
            <w:tcW w:w="3360" w:type="dxa"/>
            <w:vAlign w:val="bottom"/>
          </w:tcPr>
          <w:p>
            <w:pPr>
              <w:spacing w:after="0"/>
              <w:rPr>
                <w:sz w:val="20"/>
                <w:szCs w:val="20"/>
                <w:color w:val="auto"/>
              </w:rPr>
            </w:pPr>
            <w:r>
              <w:rPr>
                <w:rFonts w:ascii="Arial" w:cs="Arial" w:eastAsia="Arial" w:hAnsi="Arial"/>
                <w:sz w:val="11"/>
                <w:szCs w:val="11"/>
                <w:b w:val="1"/>
                <w:bCs w:val="1"/>
                <w:color w:val="auto"/>
              </w:rPr>
              <w:t xml:space="preserve">Common Equity/Warrants— 16.8% </w:t>
            </w:r>
            <w:r>
              <w:rPr>
                <w:rFonts w:ascii="Arial" w:cs="Arial" w:eastAsia="Arial" w:hAnsi="Arial"/>
                <w:sz w:val="9"/>
                <w:szCs w:val="9"/>
                <w:b w:val="1"/>
                <w:bCs w:val="1"/>
                <w:color w:val="auto"/>
              </w:rPr>
              <w:t>(6)</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9"/>
                <w:szCs w:val="9"/>
                <w:color w:val="auto"/>
              </w:rPr>
              <w:t>(7),(8)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74,667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137,494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9"/>
                <w:szCs w:val="9"/>
                <w:color w:val="auto"/>
              </w:rPr>
              <w:t>(7)</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04/10/2024</w:t>
            </w:r>
          </w:p>
        </w:tc>
        <w:tc>
          <w:tcPr>
            <w:tcW w:w="2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Goods: Durable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8,893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244,998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1,192,367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 (9)</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194,836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377,877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21,908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2,100,404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12,798,838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 (9)</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7,401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CI (Allied) Investment Holdings, LLC</w:t>
            </w:r>
          </w:p>
        </w:tc>
        <w:tc>
          <w:tcPr>
            <w:tcW w:w="14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120,962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1,243,217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475,439</w:t>
            </w:r>
          </w:p>
        </w:tc>
        <w:tc>
          <w:tcPr>
            <w:tcW w:w="120" w:type="dxa"/>
            <w:vAlign w:val="bottom"/>
          </w:tcPr>
          <w:p>
            <w:pPr>
              <w:spacing w:after="0"/>
              <w:rPr>
                <w:sz w:val="12"/>
                <w:szCs w:val="12"/>
                <w:color w:val="auto"/>
              </w:rPr>
            </w:pP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Connatix Parent,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38,278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421,058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423,439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Crane 1 Acquisition Parent Holdings, L.P.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120,001</w:t>
            </w:r>
          </w:p>
        </w:tc>
        <w:tc>
          <w:tcPr>
            <w:tcW w:w="120" w:type="dxa"/>
            <w:vAlign w:val="bottom"/>
            <w:shd w:val="clear" w:color="auto" w:fill="CCECFF"/>
          </w:tcPr>
          <w:p>
            <w:pPr>
              <w:spacing w:after="0"/>
              <w:rPr>
                <w:sz w:val="11"/>
                <w:szCs w:val="11"/>
                <w:color w:val="auto"/>
              </w:rPr>
            </w:pPr>
          </w:p>
        </w:tc>
      </w:tr>
      <w:tr>
        <w:trPr>
          <w:trHeight w:val="140"/>
        </w:trPr>
        <w:tc>
          <w:tcPr>
            <w:tcW w:w="3360" w:type="dxa"/>
            <w:vAlign w:val="bottom"/>
          </w:tcPr>
          <w:p>
            <w:pPr>
              <w:spacing w:after="0"/>
              <w:rPr>
                <w:sz w:val="20"/>
                <w:szCs w:val="20"/>
                <w:color w:val="auto"/>
              </w:rPr>
            </w:pPr>
            <w:r>
              <w:rPr>
                <w:rFonts w:ascii="Arial" w:cs="Arial" w:eastAsia="Arial" w:hAnsi="Arial"/>
                <w:sz w:val="11"/>
                <w:szCs w:val="11"/>
                <w:color w:val="auto"/>
              </w:rPr>
              <w:t xml:space="preserve">Crash Champions Holdings, LLC </w:t>
            </w:r>
            <w:r>
              <w:rPr>
                <w:rFonts w:ascii="Arial" w:cs="Arial" w:eastAsia="Arial" w:hAnsi="Arial"/>
                <w:sz w:val="9"/>
                <w:szCs w:val="9"/>
                <w:color w:val="auto"/>
              </w:rPr>
              <w:t>(7),(8)</w:t>
            </w:r>
          </w:p>
        </w:tc>
        <w:tc>
          <w:tcPr>
            <w:tcW w:w="14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Automobiles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677,778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763,581</w:t>
            </w:r>
          </w:p>
        </w:tc>
        <w:tc>
          <w:tcPr>
            <w:tcW w:w="120" w:type="dxa"/>
            <w:vAlign w:val="bottom"/>
          </w:tcPr>
          <w:p>
            <w:pPr>
              <w:spacing w:after="0"/>
              <w:rPr>
                <w:sz w:val="12"/>
                <w:szCs w:val="12"/>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11"/>
                <w:szCs w:val="11"/>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Maturity</w:t>
            </w:r>
          </w:p>
        </w:tc>
        <w:tc>
          <w:tcPr>
            <w:tcW w:w="220" w:type="dxa"/>
            <w:vAlign w:val="bottom"/>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7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c>
          <w:tcPr>
            <w:tcW w:w="120" w:type="dxa"/>
            <w:vAlign w:val="bottom"/>
          </w:tcPr>
          <w:p>
            <w:pPr>
              <w:spacing w:after="0"/>
              <w:rPr>
                <w:sz w:val="11"/>
                <w:szCs w:val="11"/>
                <w:color w:val="auto"/>
              </w:rPr>
            </w:pPr>
          </w:p>
        </w:tc>
      </w:tr>
      <w:tr>
        <w:trPr>
          <w:trHeight w:val="128"/>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9"/>
                <w:szCs w:val="9"/>
                <w:color w:val="auto"/>
              </w:rPr>
              <w:t>(7), (8)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502,435</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502,435</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429,852</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9"/>
                <w:szCs w:val="9"/>
                <w:color w:val="auto"/>
              </w:rPr>
              <w:t>(7), (8),(9)</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502,435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(72,583)</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9"/>
                <w:szCs w:val="9"/>
                <w:color w:val="auto"/>
              </w:rPr>
              <w:t>(7), (8)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295,982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71,965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997,294</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(7), (10)</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251,156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288,140</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9"/>
                <w:szCs w:val="9"/>
                <w:color w:val="auto"/>
              </w:rPr>
              <w:t>(7),(8)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4,951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495,085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503,791</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9"/>
                <w:szCs w:val="9"/>
                <w:color w:val="auto"/>
              </w:rPr>
              <w:t>(7),(8),(9)</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6,051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Gauge InfosoftCoInvest, LLC</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143,663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2,217,134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ind w:left="140"/>
              <w:spacing w:after="0"/>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9"/>
                <w:szCs w:val="9"/>
                <w:color w:val="auto"/>
              </w:rPr>
              <w:t>(7)</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Gauge Lash Coinvest LLC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1,485,953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226,555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5,943,811</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437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437,371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439,730</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391,144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1,284,794</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17,951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2,930,374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3,403,722</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 (8), (9)</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2,398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Go Dawgs Capital III, LP</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Building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324,675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324,675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405,844</w:t>
            </w:r>
          </w:p>
        </w:tc>
        <w:tc>
          <w:tcPr>
            <w:tcW w:w="120" w:type="dxa"/>
            <w:vAlign w:val="bottom"/>
          </w:tcPr>
          <w:p>
            <w:pPr>
              <w:spacing w:after="0"/>
              <w:rPr>
                <w:sz w:val="12"/>
                <w:szCs w:val="12"/>
                <w:color w:val="auto"/>
              </w:rPr>
            </w:pPr>
          </w:p>
        </w:tc>
      </w:tr>
      <w:tr>
        <w:trPr>
          <w:trHeight w:val="131"/>
        </w:trPr>
        <w:tc>
          <w:tcPr>
            <w:tcW w:w="3500" w:type="dxa"/>
            <w:vAlign w:val="bottom"/>
            <w:gridSpan w:val="2"/>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(7), (8)</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Hancock Claims Consultants Investors, LLC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613,335</w:t>
            </w:r>
          </w:p>
        </w:tc>
        <w:tc>
          <w:tcPr>
            <w:tcW w:w="120" w:type="dxa"/>
            <w:vAlign w:val="bottom"/>
            <w:shd w:val="clear" w:color="auto" w:fill="CCECFF"/>
          </w:tcPr>
          <w:p>
            <w:pPr>
              <w:spacing w:after="0"/>
              <w:rPr>
                <w:sz w:val="11"/>
                <w:szCs w:val="11"/>
                <w:color w:val="auto"/>
              </w:rPr>
            </w:pP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IIN Group Holdings, LLC</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1,949,548</w:t>
            </w:r>
          </w:p>
        </w:tc>
        <w:tc>
          <w:tcPr>
            <w:tcW w:w="120" w:type="dxa"/>
            <w:vAlign w:val="bottom"/>
          </w:tcPr>
          <w:p>
            <w:pPr>
              <w:spacing w:after="0"/>
              <w:rPr>
                <w:sz w:val="12"/>
                <w:szCs w:val="12"/>
                <w:color w:val="auto"/>
              </w:rPr>
            </w:pPr>
          </w:p>
        </w:tc>
      </w:tr>
      <w:tr>
        <w:trPr>
          <w:trHeight w:val="131"/>
        </w:trPr>
        <w:tc>
          <w:tcPr>
            <w:tcW w:w="3500" w:type="dxa"/>
            <w:vAlign w:val="bottom"/>
            <w:gridSpan w:val="2"/>
          </w:tcPr>
          <w:p>
            <w:pPr>
              <w:ind w:left="140"/>
              <w:spacing w:after="0"/>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9"/>
                <w:szCs w:val="9"/>
                <w:color w:val="auto"/>
              </w:rPr>
              <w:t>(7), (8)</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Ironclad Holdco, LLC (Applied Technical Services, LLC)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5,040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495,978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552,258</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(7),(8)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46,763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110,105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7,569,161</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JWC/UMA Holdings, L.P. (Urology Management Associates, LLC)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1,667,085</w:t>
            </w:r>
          </w:p>
        </w:tc>
        <w:tc>
          <w:tcPr>
            <w:tcW w:w="120" w:type="dxa"/>
            <w:vAlign w:val="bottom"/>
            <w:shd w:val="clear" w:color="auto" w:fill="CCECFF"/>
          </w:tcPr>
          <w:p>
            <w:pPr>
              <w:spacing w:after="0"/>
              <w:rPr>
                <w:sz w:val="11"/>
                <w:szCs w:val="11"/>
                <w:color w:val="auto"/>
              </w:rPr>
            </w:pP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JWC-WE Holdings, L.P.</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1,381,741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4,795,400</w:t>
            </w:r>
          </w:p>
        </w:tc>
        <w:tc>
          <w:tcPr>
            <w:tcW w:w="120" w:type="dxa"/>
            <w:vAlign w:val="bottom"/>
          </w:tcPr>
          <w:p>
            <w:pPr>
              <w:spacing w:after="0"/>
              <w:rPr>
                <w:sz w:val="12"/>
                <w:szCs w:val="12"/>
                <w:color w:val="auto"/>
              </w:rPr>
            </w:pPr>
          </w:p>
        </w:tc>
      </w:tr>
      <w:tr>
        <w:trPr>
          <w:trHeight w:val="131"/>
        </w:trPr>
        <w:tc>
          <w:tcPr>
            <w:tcW w:w="3500" w:type="dxa"/>
            <w:vAlign w:val="bottom"/>
            <w:gridSpan w:val="2"/>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(7), (8)</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KL Stockton Co-Invest LP (Any Hour Services) </w:t>
            </w:r>
            <w:r>
              <w:rPr>
                <w:rFonts w:ascii="Arial" w:cs="Arial" w:eastAsia="Arial" w:hAnsi="Arial"/>
                <w:sz w:val="9"/>
                <w:szCs w:val="9"/>
                <w:color w:val="auto"/>
              </w:rPr>
              <w:t>(7),(8)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Energy Equipment and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382,353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382,353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382,353</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9"/>
                <w:szCs w:val="9"/>
                <w:color w:val="auto"/>
              </w:rPr>
              <w:t>(7), (8)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87,345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621,314</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Lightspeed Investment Holdco LLC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585,587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585,587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674,421</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341,295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224,359</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MSpark, LLC (Mailsouth Inc.)</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3,988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1,287,502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858,553</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Distributors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802,162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802,162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802,162</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NEPRT Parent Holdings, LLC (Recteq, LLC) </w:t>
            </w:r>
            <w:r>
              <w:rPr>
                <w:rFonts w:ascii="Arial" w:cs="Arial" w:eastAsia="Arial" w:hAnsi="Arial"/>
                <w:sz w:val="9"/>
                <w:szCs w:val="9"/>
                <w:color w:val="auto"/>
              </w:rPr>
              <w:t>(7), (8)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Leisure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1,494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1,451,801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1,767,217</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NXOF Holdings, Inc. (Tyto Athene, LLC)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14,960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14,960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855,144</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w w:val="94"/>
              </w:rPr>
              <w:t xml:space="preserve">OceanSound Discovery Equity, LP (Holdco Sands Intermediate, LLC) </w:t>
            </w:r>
            <w:r>
              <w:rPr>
                <w:rFonts w:ascii="Arial" w:cs="Arial" w:eastAsia="Arial" w:hAnsi="Arial"/>
                <w:sz w:val="9"/>
                <w:szCs w:val="9"/>
                <w:color w:val="auto"/>
                <w:w w:val="94"/>
              </w:rPr>
              <w:t>(7), (8)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173,638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1,729,029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2,870,069</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w w:val="97"/>
              </w:rPr>
              <w:t xml:space="preserve">Oral Surgery (ITC) Holdings, LLC (OIS Management Services, LLC) </w:t>
            </w:r>
            <w:r>
              <w:rPr>
                <w:rFonts w:ascii="Arial" w:cs="Arial" w:eastAsia="Arial" w:hAnsi="Arial"/>
                <w:sz w:val="9"/>
                <w:szCs w:val="9"/>
                <w:color w:val="auto"/>
                <w:w w:val="97"/>
              </w:rPr>
              <w:t>(7),(8)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3,872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83,334</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ORL Holdco, Inc.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Finance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1,474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14,739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14,739</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PennantPark-TSO Senior Loan Fund, LP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Financial Services</w:t>
            </w: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15,321,693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15,321,693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15,573,972</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294,694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2,485,211</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65,957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365,036</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(8), (9)</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967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QuantiTech InvestCo II LP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20,625</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RFMG Parent, LP (Rancho Health MSO, Inc.)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1,050,000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1,050,000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1,253,055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SBI Holdings Investments LLC (Sales Benchmark Index LLC)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64,634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646,341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491,585</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69,654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629,856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SSC Dominion Holdings, LLC</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1,178,007</w:t>
            </w:r>
          </w:p>
        </w:tc>
        <w:tc>
          <w:tcPr>
            <w:tcW w:w="120" w:type="dxa"/>
            <w:vAlign w:val="bottom"/>
          </w:tcPr>
          <w:p>
            <w:pPr>
              <w:spacing w:after="0"/>
              <w:rPr>
                <w:sz w:val="12"/>
                <w:szCs w:val="12"/>
                <w:color w:val="auto"/>
              </w:rPr>
            </w:pPr>
          </w:p>
        </w:tc>
      </w:tr>
      <w:tr>
        <w:trPr>
          <w:trHeight w:val="131"/>
        </w:trPr>
        <w:tc>
          <w:tcPr>
            <w:tcW w:w="3500" w:type="dxa"/>
            <w:vAlign w:val="bottom"/>
            <w:gridSpan w:val="2"/>
          </w:tcPr>
          <w:p>
            <w:pPr>
              <w:ind w:left="140"/>
              <w:spacing w:after="0"/>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9"/>
                <w:szCs w:val="9"/>
                <w:color w:val="auto"/>
              </w:rPr>
              <w:t>(7)</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StellPen Holdings, LLC (CF512, Inc.)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161,538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161,538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161,538</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TAC LifePort Holdings, LLC </w:t>
            </w:r>
            <w:r>
              <w:rPr>
                <w:rFonts w:ascii="Arial" w:cs="Arial" w:eastAsia="Arial" w:hAnsi="Arial"/>
                <w:sz w:val="9"/>
                <w:szCs w:val="9"/>
                <w:color w:val="auto"/>
              </w:rPr>
              <w:t>(7),(8)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488,372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488,372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545,499</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(5), (7), (10)</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Food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21,527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21,527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61,567</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TWD Parent Holdings, LLC (The Vertex Companies, LLC)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Construction &amp; Engineering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749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749</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213,739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23,889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UniVista Insurance </w:t>
            </w:r>
            <w:r>
              <w:rPr>
                <w:rFonts w:ascii="Arial" w:cs="Arial" w:eastAsia="Arial" w:hAnsi="Arial"/>
                <w:sz w:val="9"/>
                <w:szCs w:val="9"/>
                <w:color w:val="auto"/>
              </w:rPr>
              <w:t>(7),(8)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405,264</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 xml:space="preserve">Wildcat Parent, LP (Wildcat Buyerco, Inc.) </w:t>
            </w:r>
            <w:r>
              <w:rPr>
                <w:rFonts w:ascii="Arial" w:cs="Arial" w:eastAsia="Arial" w:hAnsi="Arial"/>
                <w:sz w:val="9"/>
                <w:szCs w:val="9"/>
                <w:color w:val="auto"/>
              </w:rPr>
              <w:t>(7), (8)</w:t>
            </w: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CFF"/>
            </w:tcBorders>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2,240</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223,996</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398,121</w:t>
            </w:r>
          </w:p>
        </w:tc>
        <w:tc>
          <w:tcPr>
            <w:tcW w:w="120" w:type="dxa"/>
            <w:vAlign w:val="bottom"/>
            <w:tcBorders>
              <w:bottom w:val="single" w:sz="8" w:color="CCECFF"/>
            </w:tcBorders>
          </w:tcPr>
          <w:p>
            <w:pPr>
              <w:spacing w:after="0"/>
              <w:rPr>
                <w:sz w:val="11"/>
                <w:szCs w:val="11"/>
                <w:color w:val="auto"/>
              </w:rPr>
            </w:pPr>
          </w:p>
        </w:tc>
      </w:tr>
      <w:tr>
        <w:trPr>
          <w:trHeight w:val="129"/>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Common Equity/Warrants</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41,384,135</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82,342,397</w:t>
            </w:r>
          </w:p>
        </w:tc>
        <w:tc>
          <w:tcPr>
            <w:tcW w:w="120" w:type="dxa"/>
            <w:vAlign w:val="bottom"/>
            <w:shd w:val="clear" w:color="auto" w:fill="CCECFF"/>
          </w:tcPr>
          <w:p>
            <w:pPr>
              <w:spacing w:after="0"/>
              <w:rPr>
                <w:sz w:val="11"/>
                <w:szCs w:val="11"/>
                <w:color w:val="auto"/>
              </w:rPr>
            </w:pPr>
          </w:p>
        </w:tc>
      </w:tr>
      <w:tr>
        <w:trPr>
          <w:trHeight w:val="128"/>
        </w:trPr>
        <w:tc>
          <w:tcPr>
            <w:tcW w:w="350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w w:val="91"/>
              </w:rPr>
              <w:t>Total Investments in Non-Controlled, Non-Affiliated Portfolio Companies</w:t>
            </w: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824,541,549</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856,806,437</w:t>
            </w:r>
          </w:p>
        </w:tc>
        <w:tc>
          <w:tcPr>
            <w:tcW w:w="120" w:type="dxa"/>
            <w:vAlign w:val="bottom"/>
            <w:tcBorders>
              <w:bottom w:val="single" w:sz="8" w:color="CCECFF"/>
            </w:tcBorders>
          </w:tcPr>
          <w:p>
            <w:pPr>
              <w:spacing w:after="0"/>
              <w:rPr>
                <w:sz w:val="11"/>
                <w:szCs w:val="11"/>
                <w:color w:val="auto"/>
              </w:rPr>
            </w:pPr>
          </w:p>
        </w:tc>
      </w:tr>
      <w:tr>
        <w:trPr>
          <w:trHeight w:val="128"/>
        </w:trPr>
        <w:tc>
          <w:tcPr>
            <w:tcW w:w="4240" w:type="dxa"/>
            <w:vAlign w:val="bottom"/>
            <w:gridSpan w:val="4"/>
            <w:shd w:val="clear" w:color="auto" w:fill="CCECFF"/>
          </w:tcPr>
          <w:p>
            <w:pPr>
              <w:spacing w:after="0"/>
              <w:rPr>
                <w:sz w:val="20"/>
                <w:szCs w:val="20"/>
                <w:color w:val="auto"/>
              </w:rPr>
            </w:pPr>
            <w:r>
              <w:rPr>
                <w:rFonts w:ascii="Arial" w:cs="Arial" w:eastAsia="Arial" w:hAnsi="Arial"/>
                <w:sz w:val="11"/>
                <w:szCs w:val="11"/>
                <w:b w:val="1"/>
                <w:bCs w:val="1"/>
                <w:color w:val="auto"/>
              </w:rPr>
              <w:t xml:space="preserve">Investments in Non-Controlled, Affiliated Portfolio Companies—1.5% </w:t>
            </w:r>
            <w:r>
              <w:rPr>
                <w:rFonts w:ascii="Arial" w:cs="Arial" w:eastAsia="Arial" w:hAnsi="Arial"/>
                <w:sz w:val="9"/>
                <w:szCs w:val="9"/>
                <w:b w:val="1"/>
                <w:bCs w:val="1"/>
                <w:color w:val="auto"/>
              </w:rPr>
              <w:t>(3), (4)</w:t>
            </w: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b w:val="1"/>
                <w:bCs w:val="1"/>
                <w:color w:val="auto"/>
              </w:rPr>
              <w:t>Second Lien Secured Debt—1.1%</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DBI Holdings, LLC, Term Loan B</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02/02/2026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3,404,590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3,404,590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3,404,590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(PIK 3.00%)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DBI Holding, LLC - 1.5 Lien Term Loan </w:t>
            </w:r>
            <w:r>
              <w:rPr>
                <w:rFonts w:ascii="Arial" w:cs="Arial" w:eastAsia="Arial" w:hAnsi="Arial"/>
                <w:sz w:val="9"/>
                <w:szCs w:val="9"/>
                <w:color w:val="auto"/>
              </w:rPr>
              <w:t>(7)</w:t>
            </w:r>
          </w:p>
        </w:tc>
        <w:tc>
          <w:tcPr>
            <w:tcW w:w="520" w:type="dxa"/>
            <w:vAlign w:val="bottom"/>
          </w:tcPr>
          <w:p>
            <w:pPr>
              <w:spacing w:after="0"/>
              <w:rPr>
                <w:sz w:val="20"/>
                <w:szCs w:val="20"/>
                <w:color w:val="auto"/>
              </w:rPr>
            </w:pPr>
            <w:r>
              <w:rPr>
                <w:rFonts w:ascii="Arial" w:cs="Arial" w:eastAsia="Arial" w:hAnsi="Arial"/>
                <w:sz w:val="11"/>
                <w:szCs w:val="11"/>
                <w:color w:val="auto"/>
                <w:w w:val="90"/>
              </w:rPr>
              <w:t>05/01/2023</w:t>
            </w:r>
          </w:p>
        </w:tc>
        <w:tc>
          <w:tcPr>
            <w:tcW w:w="2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14.00%</w:t>
            </w:r>
          </w:p>
        </w:tc>
        <w:tc>
          <w:tcPr>
            <w:tcW w:w="920" w:type="dxa"/>
            <w:vAlign w:val="bottom"/>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2,189,596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2,189,596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2,189,596</w:t>
            </w:r>
          </w:p>
        </w:tc>
        <w:tc>
          <w:tcPr>
            <w:tcW w:w="120" w:type="dxa"/>
            <w:vAlign w:val="bottom"/>
          </w:tcPr>
          <w:p>
            <w:pPr>
              <w:spacing w:after="0"/>
              <w:rPr>
                <w:sz w:val="12"/>
                <w:szCs w:val="12"/>
                <w:color w:val="auto"/>
              </w:rPr>
            </w:pPr>
          </w:p>
        </w:tc>
      </w:tr>
      <w:tr>
        <w:trPr>
          <w:trHeight w:val="131"/>
        </w:trPr>
        <w:tc>
          <w:tcPr>
            <w:tcW w:w="336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14.00%)</w:t>
            </w: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9"/>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5,594,186</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5,594,186</w:t>
            </w:r>
          </w:p>
        </w:tc>
        <w:tc>
          <w:tcPr>
            <w:tcW w:w="120" w:type="dxa"/>
            <w:vAlign w:val="bottom"/>
            <w:shd w:val="clear" w:color="auto" w:fill="CCECFF"/>
          </w:tcPr>
          <w:p>
            <w:pPr>
              <w:spacing w:after="0"/>
              <w:rPr>
                <w:sz w:val="11"/>
                <w:szCs w:val="11"/>
                <w:color w:val="auto"/>
              </w:rPr>
            </w:pPr>
          </w:p>
        </w:tc>
      </w:tr>
      <w:tr>
        <w:trPr>
          <w:trHeight w:val="128"/>
        </w:trPr>
        <w:tc>
          <w:tcPr>
            <w:tcW w:w="350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Preferred Equity— 0.4% </w:t>
            </w:r>
            <w:r>
              <w:rPr>
                <w:rFonts w:ascii="Arial" w:cs="Arial" w:eastAsia="Arial" w:hAnsi="Arial"/>
                <w:sz w:val="9"/>
                <w:szCs w:val="9"/>
                <w:b w:val="1"/>
                <w:bCs w:val="1"/>
                <w:color w:val="auto"/>
              </w:rPr>
              <w:t>(6)</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DBI Intermediate HoldCo LLC, Series A-1 </w:t>
            </w:r>
            <w:r>
              <w:rPr>
                <w:rFonts w:ascii="Arial" w:cs="Arial" w:eastAsia="Arial" w:hAnsi="Arial"/>
                <w:sz w:val="9"/>
                <w:szCs w:val="9"/>
                <w:color w:val="auto"/>
              </w:rPr>
              <w:t>(8)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14.00%</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9,488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7,040,844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 xml:space="preserve">DBI Intermediate HoldCo LLC, Series AA </w:t>
            </w:r>
            <w:r>
              <w:rPr>
                <w:rFonts w:ascii="Arial" w:cs="Arial" w:eastAsia="Arial" w:hAnsi="Arial"/>
                <w:sz w:val="9"/>
                <w:szCs w:val="9"/>
                <w:color w:val="auto"/>
              </w:rPr>
              <w:t>(8)</w:t>
            </w: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CFF"/>
            </w:tcBorders>
            <w:gridSpan w:val="2"/>
          </w:tcPr>
          <w:p>
            <w:pPr>
              <w:ind w:left="56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9,800</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9,414,271</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1,838,710</w:t>
            </w:r>
          </w:p>
        </w:tc>
        <w:tc>
          <w:tcPr>
            <w:tcW w:w="120" w:type="dxa"/>
            <w:vAlign w:val="bottom"/>
            <w:tcBorders>
              <w:bottom w:val="single" w:sz="8" w:color="CCECFF"/>
            </w:tcBorders>
          </w:tcPr>
          <w:p>
            <w:pPr>
              <w:spacing w:after="0"/>
              <w:rPr>
                <w:sz w:val="11"/>
                <w:szCs w:val="11"/>
                <w:color w:val="auto"/>
              </w:rPr>
            </w:pPr>
          </w:p>
        </w:tc>
      </w:tr>
      <w:tr>
        <w:trPr>
          <w:trHeight w:val="128"/>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Preferred Equity</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16,455,115</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1,838,710</w:t>
            </w:r>
          </w:p>
        </w:tc>
        <w:tc>
          <w:tcPr>
            <w:tcW w:w="120" w:type="dxa"/>
            <w:vAlign w:val="bottom"/>
            <w:shd w:val="clear" w:color="auto" w:fill="CCECFF"/>
          </w:tcPr>
          <w:p>
            <w:pPr>
              <w:spacing w:after="0"/>
              <w:rPr>
                <w:sz w:val="11"/>
                <w:szCs w:val="11"/>
                <w:color w:val="auto"/>
              </w:rPr>
            </w:pPr>
          </w:p>
        </w:tc>
      </w:tr>
      <w:tr>
        <w:trPr>
          <w:trHeight w:val="129"/>
        </w:trPr>
        <w:tc>
          <w:tcPr>
            <w:tcW w:w="350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Common Equity— 0.0% </w:t>
            </w:r>
            <w:r>
              <w:rPr>
                <w:rFonts w:ascii="Arial" w:cs="Arial" w:eastAsia="Arial" w:hAnsi="Arial"/>
                <w:sz w:val="9"/>
                <w:szCs w:val="9"/>
                <w:b w:val="1"/>
                <w:bCs w:val="1"/>
                <w:color w:val="auto"/>
              </w:rPr>
              <w:t>(6)</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DBI Intermediate HoldCo LLC, Series B </w:t>
            </w:r>
            <w:r>
              <w:rPr>
                <w:rFonts w:ascii="Arial" w:cs="Arial" w:eastAsia="Arial" w:hAnsi="Arial"/>
                <w:sz w:val="9"/>
                <w:szCs w:val="9"/>
                <w:color w:val="auto"/>
              </w:rPr>
              <w:t>(8)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ind w:left="56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1,489,508</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330,791</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r>
      <w:tr>
        <w:trPr>
          <w:trHeight w:val="128"/>
        </w:trPr>
        <w:tc>
          <w:tcPr>
            <w:tcW w:w="3500" w:type="dxa"/>
            <w:vAlign w:val="bottom"/>
            <w:gridSpan w:val="2"/>
          </w:tcPr>
          <w:p>
            <w:pPr>
              <w:spacing w:after="0"/>
              <w:rPr>
                <w:sz w:val="20"/>
                <w:szCs w:val="20"/>
                <w:color w:val="auto"/>
              </w:rPr>
            </w:pPr>
            <w:r>
              <w:rPr>
                <w:rFonts w:ascii="Arial" w:cs="Arial" w:eastAsia="Arial" w:hAnsi="Arial"/>
                <w:sz w:val="11"/>
                <w:szCs w:val="11"/>
                <w:b w:val="1"/>
                <w:bCs w:val="1"/>
                <w:color w:val="auto"/>
              </w:rPr>
              <w:t>Total Common Equity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330,791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28"/>
        </w:trPr>
        <w:tc>
          <w:tcPr>
            <w:tcW w:w="350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8"/>
              </w:rPr>
              <w:t>Total Investments in Non-Controlled, Affiliated Portfolio Companies</w:t>
            </w: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3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22,380,092</w:t>
            </w: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7,432,896</w:t>
            </w:r>
          </w:p>
        </w:tc>
        <w:tc>
          <w:tcPr>
            <w:tcW w:w="120" w:type="dxa"/>
            <w:vAlign w:val="bottom"/>
            <w:tcBorders>
              <w:top w:val="single" w:sz="8" w:color="CCECFF"/>
            </w:tcBorders>
            <w:shd w:val="clear" w:color="auto" w:fill="CCECFF"/>
          </w:tcPr>
          <w:p>
            <w:pPr>
              <w:spacing w:after="0"/>
              <w:rPr>
                <w:sz w:val="11"/>
                <w:szCs w:val="1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spacing w:after="0"/>
              <w:rPr>
                <w:sz w:val="20"/>
                <w:szCs w:val="20"/>
                <w:color w:val="auto"/>
              </w:rPr>
            </w:pPr>
            <w:r>
              <w:rPr>
                <w:rFonts w:ascii="Arial" w:cs="Arial" w:eastAsia="Arial" w:hAnsi="Arial"/>
                <w:sz w:val="11"/>
                <w:szCs w:val="11"/>
                <w:b w:val="1"/>
                <w:bCs w:val="1"/>
                <w:color w:val="auto"/>
              </w:rPr>
              <w:t>Issuer Name</w:t>
            </w:r>
          </w:p>
        </w:tc>
        <w:tc>
          <w:tcPr>
            <w:tcW w:w="880" w:type="dxa"/>
            <w:vAlign w:val="bottom"/>
          </w:tcPr>
          <w:p>
            <w:pPr>
              <w:jc w:val="center"/>
              <w:ind w:right="246"/>
              <w:spacing w:after="0"/>
              <w:rPr>
                <w:sz w:val="20"/>
                <w:szCs w:val="20"/>
                <w:color w:val="auto"/>
              </w:rPr>
            </w:pPr>
            <w:r>
              <w:rPr>
                <w:rFonts w:ascii="Arial" w:cs="Arial" w:eastAsia="Arial" w:hAnsi="Arial"/>
                <w:sz w:val="11"/>
                <w:szCs w:val="11"/>
                <w:b w:val="1"/>
                <w:bCs w:val="1"/>
                <w:color w:val="auto"/>
                <w:w w:val="98"/>
              </w:rPr>
              <w:t>Maturity</w:t>
            </w:r>
          </w:p>
        </w:tc>
        <w:tc>
          <w:tcPr>
            <w:tcW w:w="23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Coupon</w:t>
            </w: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Cost</w:t>
            </w:r>
          </w:p>
        </w:tc>
        <w:tc>
          <w:tcPr>
            <w:tcW w:w="6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(2)</w:t>
            </w:r>
          </w:p>
        </w:tc>
        <w:tc>
          <w:tcPr>
            <w:tcW w:w="0" w:type="dxa"/>
            <w:vAlign w:val="bottom"/>
          </w:tcPr>
          <w:p>
            <w:pPr>
              <w:spacing w:after="0"/>
              <w:rPr>
                <w:sz w:val="1"/>
                <w:szCs w:val="1"/>
                <w:color w:val="auto"/>
              </w:rPr>
            </w:pPr>
          </w:p>
        </w:tc>
      </w:tr>
      <w:tr>
        <w:trPr>
          <w:trHeight w:val="128"/>
        </w:trPr>
        <w:tc>
          <w:tcPr>
            <w:tcW w:w="34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1"/>
              </w:rPr>
              <w:t xml:space="preserve">Investments in Controlled, Affiliated Portfolio Companies—44.3% </w:t>
            </w:r>
            <w:r>
              <w:rPr>
                <w:rFonts w:ascii="Arial" w:cs="Arial" w:eastAsia="Arial" w:hAnsi="Arial"/>
                <w:sz w:val="9"/>
                <w:szCs w:val="9"/>
                <w:b w:val="1"/>
                <w:bCs w:val="1"/>
                <w:color w:val="auto"/>
                <w:w w:val="91"/>
              </w:rPr>
              <w:t>(3), (4)</w:t>
            </w:r>
          </w:p>
        </w:tc>
        <w:tc>
          <w:tcPr>
            <w:tcW w:w="880" w:type="dxa"/>
            <w:vAlign w:val="bottom"/>
            <w:tcBorders>
              <w:top w:val="single" w:sz="8" w:color="auto"/>
            </w:tcBorders>
            <w:shd w:val="clear" w:color="auto" w:fill="CCECFF"/>
          </w:tcPr>
          <w:p>
            <w:pPr>
              <w:spacing w:after="0"/>
              <w:rPr>
                <w:sz w:val="11"/>
                <w:szCs w:val="11"/>
                <w:color w:val="auto"/>
              </w:rPr>
            </w:pPr>
          </w:p>
        </w:tc>
        <w:tc>
          <w:tcPr>
            <w:tcW w:w="226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spacing w:after="0"/>
              <w:rPr>
                <w:sz w:val="20"/>
                <w:szCs w:val="20"/>
                <w:color w:val="auto"/>
              </w:rPr>
            </w:pPr>
            <w:r>
              <w:rPr>
                <w:rFonts w:ascii="Arial" w:cs="Arial" w:eastAsia="Arial" w:hAnsi="Arial"/>
                <w:sz w:val="11"/>
                <w:szCs w:val="11"/>
                <w:b w:val="1"/>
                <w:bCs w:val="1"/>
                <w:color w:val="auto"/>
              </w:rPr>
              <w:t>First Lien Secured Debt—34.6%</w:t>
            </w:r>
          </w:p>
        </w:tc>
        <w:tc>
          <w:tcPr>
            <w:tcW w:w="8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Marketplace Events, LLC - Super Priority First Lien Term Loan </w:t>
            </w:r>
            <w:r>
              <w:rPr>
                <w:rFonts w:ascii="Arial" w:cs="Arial" w:eastAsia="Arial" w:hAnsi="Arial"/>
                <w:sz w:val="9"/>
                <w:szCs w:val="9"/>
                <w:color w:val="auto"/>
              </w:rPr>
              <w:t>(7)</w:t>
            </w:r>
          </w:p>
        </w:tc>
        <w:tc>
          <w:tcPr>
            <w:tcW w:w="880" w:type="dxa"/>
            <w:vAlign w:val="bottom"/>
            <w:shd w:val="clear" w:color="auto" w:fill="CCECFF"/>
          </w:tcPr>
          <w:p>
            <w:pPr>
              <w:jc w:val="center"/>
              <w:ind w:right="246"/>
              <w:spacing w:after="0"/>
              <w:rPr>
                <w:sz w:val="20"/>
                <w:szCs w:val="20"/>
                <w:color w:val="auto"/>
              </w:rPr>
            </w:pPr>
            <w:r>
              <w:rPr>
                <w:rFonts w:ascii="Arial" w:cs="Arial" w:eastAsia="Arial" w:hAnsi="Arial"/>
                <w:sz w:val="11"/>
                <w:szCs w:val="11"/>
                <w:color w:val="auto"/>
                <w:w w:val="90"/>
              </w:rPr>
              <w:t>09/30/2025</w:t>
            </w:r>
          </w:p>
        </w:tc>
        <w:tc>
          <w:tcPr>
            <w:tcW w:w="2380" w:type="dxa"/>
            <w:vAlign w:val="bottom"/>
            <w:gridSpan w:val="2"/>
            <w:shd w:val="clear" w:color="auto" w:fill="CCECFF"/>
          </w:tcPr>
          <w:p>
            <w:pPr>
              <w:jc w:val="center"/>
              <w:ind w:right="220"/>
              <w:spacing w:after="0"/>
              <w:rPr>
                <w:sz w:val="20"/>
                <w:szCs w:val="20"/>
                <w:color w:val="auto"/>
              </w:rPr>
            </w:pPr>
            <w:r>
              <w:rPr>
                <w:rFonts w:ascii="Arial" w:cs="Arial" w:eastAsia="Arial" w:hAnsi="Arial"/>
                <w:sz w:val="11"/>
                <w:szCs w:val="11"/>
                <w:color w:val="auto"/>
                <w:w w:val="92"/>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3,417,490</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3,417,490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3,417,490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CFF"/>
          </w:tcPr>
          <w:p>
            <w:pPr>
              <w:spacing w:after="0"/>
              <w:rPr>
                <w:sz w:val="11"/>
                <w:szCs w:val="11"/>
                <w:color w:val="auto"/>
              </w:rPr>
            </w:pPr>
          </w:p>
        </w:tc>
        <w:tc>
          <w:tcPr>
            <w:tcW w:w="1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6.25%)</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spacing w:after="0"/>
              <w:rPr>
                <w:sz w:val="20"/>
                <w:szCs w:val="20"/>
                <w:color w:val="auto"/>
              </w:rPr>
            </w:pPr>
            <w:r>
              <w:rPr>
                <w:rFonts w:ascii="Arial" w:cs="Arial" w:eastAsia="Arial" w:hAnsi="Arial"/>
                <w:sz w:val="11"/>
                <w:szCs w:val="11"/>
                <w:color w:val="auto"/>
              </w:rPr>
              <w:t xml:space="preserve">Marketplace Events, LLC - Super Priority First Lien </w:t>
            </w:r>
            <w:r>
              <w:rPr>
                <w:rFonts w:ascii="Arial" w:cs="Arial" w:eastAsia="Arial" w:hAnsi="Arial"/>
                <w:sz w:val="9"/>
                <w:szCs w:val="9"/>
                <w:color w:val="auto"/>
              </w:rPr>
              <w:t>(7), (9)</w:t>
            </w:r>
          </w:p>
        </w:tc>
        <w:tc>
          <w:tcPr>
            <w:tcW w:w="880" w:type="dxa"/>
            <w:vAlign w:val="bottom"/>
          </w:tcPr>
          <w:p>
            <w:pPr>
              <w:jc w:val="center"/>
              <w:ind w:right="246"/>
              <w:spacing w:after="0"/>
              <w:rPr>
                <w:sz w:val="20"/>
                <w:szCs w:val="20"/>
                <w:color w:val="auto"/>
              </w:rPr>
            </w:pPr>
            <w:r>
              <w:rPr>
                <w:rFonts w:ascii="Arial" w:cs="Arial" w:eastAsia="Arial" w:hAnsi="Arial"/>
                <w:sz w:val="11"/>
                <w:szCs w:val="11"/>
                <w:color w:val="auto"/>
                <w:w w:val="90"/>
              </w:rPr>
              <w:t>09/30/2025</w:t>
            </w:r>
          </w:p>
        </w:tc>
        <w:tc>
          <w:tcPr>
            <w:tcW w:w="2380" w:type="dxa"/>
            <w:vAlign w:val="bottom"/>
            <w:gridSpan w:val="2"/>
          </w:tcPr>
          <w:p>
            <w:pPr>
              <w:jc w:val="center"/>
              <w:ind w:right="220"/>
              <w:spacing w:after="0"/>
              <w:rPr>
                <w:sz w:val="20"/>
                <w:szCs w:val="20"/>
                <w:color w:val="auto"/>
              </w:rPr>
            </w:pPr>
            <w:r>
              <w:rPr>
                <w:rFonts w:ascii="Arial" w:cs="Arial" w:eastAsia="Arial" w:hAnsi="Arial"/>
                <w:sz w:val="11"/>
                <w:szCs w:val="11"/>
                <w:color w:val="auto"/>
                <w:w w:val="92"/>
              </w:rPr>
              <w:t>Media: Diversified and Production</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3,260,502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Marketplace Events, LLC</w:t>
            </w:r>
          </w:p>
        </w:tc>
        <w:tc>
          <w:tcPr>
            <w:tcW w:w="880" w:type="dxa"/>
            <w:vAlign w:val="bottom"/>
            <w:shd w:val="clear" w:color="auto" w:fill="CCECFF"/>
          </w:tcPr>
          <w:p>
            <w:pPr>
              <w:jc w:val="center"/>
              <w:ind w:right="246"/>
              <w:spacing w:after="0"/>
              <w:rPr>
                <w:sz w:val="20"/>
                <w:szCs w:val="20"/>
                <w:color w:val="auto"/>
              </w:rPr>
            </w:pPr>
            <w:r>
              <w:rPr>
                <w:rFonts w:ascii="Arial" w:cs="Arial" w:eastAsia="Arial" w:hAnsi="Arial"/>
                <w:sz w:val="11"/>
                <w:szCs w:val="11"/>
                <w:color w:val="auto"/>
                <w:w w:val="90"/>
              </w:rPr>
              <w:t>09/30/2026</w:t>
            </w:r>
          </w:p>
        </w:tc>
        <w:tc>
          <w:tcPr>
            <w:tcW w:w="2380" w:type="dxa"/>
            <w:vAlign w:val="bottom"/>
            <w:gridSpan w:val="2"/>
            <w:shd w:val="clear" w:color="auto" w:fill="CCECFF"/>
          </w:tcPr>
          <w:p>
            <w:pPr>
              <w:jc w:val="center"/>
              <w:ind w:right="220"/>
              <w:spacing w:after="0"/>
              <w:rPr>
                <w:sz w:val="20"/>
                <w:szCs w:val="20"/>
                <w:color w:val="auto"/>
              </w:rPr>
            </w:pPr>
            <w:r>
              <w:rPr>
                <w:rFonts w:ascii="Arial" w:cs="Arial" w:eastAsia="Arial" w:hAnsi="Arial"/>
                <w:sz w:val="11"/>
                <w:szCs w:val="11"/>
                <w:color w:val="auto"/>
                <w:w w:val="92"/>
              </w:rPr>
              <w:t>Media: Diversified and Production</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xml:space="preserve">0.00% </w:t>
            </w:r>
            <w:r>
              <w:rPr>
                <w:rFonts w:ascii="Arial" w:cs="Arial" w:eastAsia="Arial" w:hAnsi="Arial"/>
                <w:sz w:val="9"/>
                <w:szCs w:val="9"/>
                <w:color w:val="auto"/>
              </w:rPr>
              <w:t>(6)</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25,541,622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19,046,876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25,541,622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880" w:type="dxa"/>
            <w:vAlign w:val="bottom"/>
            <w:tcBorders>
              <w:bottom w:val="single" w:sz="8" w:color="CCECFF"/>
            </w:tcBorders>
          </w:tcPr>
          <w:p>
            <w:pPr>
              <w:jc w:val="center"/>
              <w:ind w:right="246"/>
              <w:spacing w:after="0"/>
              <w:rPr>
                <w:sz w:val="20"/>
                <w:szCs w:val="20"/>
                <w:color w:val="auto"/>
              </w:rPr>
            </w:pPr>
            <w:r>
              <w:rPr>
                <w:rFonts w:ascii="Arial" w:cs="Arial" w:eastAsia="Arial" w:hAnsi="Arial"/>
                <w:sz w:val="11"/>
                <w:szCs w:val="11"/>
                <w:color w:val="auto"/>
                <w:w w:val="90"/>
              </w:rPr>
              <w:t>05/06/2024</w:t>
            </w:r>
          </w:p>
        </w:tc>
        <w:tc>
          <w:tcPr>
            <w:tcW w:w="2380" w:type="dxa"/>
            <w:vAlign w:val="bottom"/>
            <w:tcBorders>
              <w:bottom w:val="single" w:sz="8" w:color="CCECFF"/>
            </w:tcBorders>
            <w:gridSpan w:val="2"/>
          </w:tcPr>
          <w:p>
            <w:pPr>
              <w:jc w:val="center"/>
              <w:ind w:right="220"/>
              <w:spacing w:after="0"/>
              <w:rPr>
                <w:sz w:val="20"/>
                <w:szCs w:val="20"/>
                <w:color w:val="auto"/>
              </w:rPr>
            </w:pPr>
            <w:r>
              <w:rPr>
                <w:rFonts w:ascii="Arial" w:cs="Arial" w:eastAsia="Arial" w:hAnsi="Arial"/>
                <w:sz w:val="11"/>
                <w:szCs w:val="11"/>
                <w:color w:val="auto"/>
                <w:w w:val="89"/>
              </w:rPr>
              <w:t>Financial Services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8.13%</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3M L+800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140,875,000</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140,875,000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140,875,000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880" w:type="dxa"/>
            <w:vAlign w:val="bottom"/>
            <w:shd w:val="clear" w:color="auto" w:fill="CCECFF"/>
          </w:tcPr>
          <w:p>
            <w:pPr>
              <w:spacing w:after="0"/>
              <w:rPr>
                <w:sz w:val="11"/>
                <w:szCs w:val="11"/>
                <w:color w:val="auto"/>
              </w:rPr>
            </w:pPr>
          </w:p>
        </w:tc>
        <w:tc>
          <w:tcPr>
            <w:tcW w:w="2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163,339,366</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169,834,112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gridSpan w:val="2"/>
          </w:tcPr>
          <w:p>
            <w:pPr>
              <w:spacing w:after="0"/>
              <w:rPr>
                <w:sz w:val="20"/>
                <w:szCs w:val="20"/>
                <w:color w:val="auto"/>
              </w:rPr>
            </w:pPr>
            <w:r>
              <w:rPr>
                <w:rFonts w:ascii="Arial" w:cs="Arial" w:eastAsia="Arial" w:hAnsi="Arial"/>
                <w:sz w:val="11"/>
                <w:szCs w:val="11"/>
                <w:b w:val="1"/>
                <w:bCs w:val="1"/>
                <w:color w:val="auto"/>
              </w:rPr>
              <w:t>Equity Interests—9.7%</w:t>
            </w:r>
          </w:p>
        </w:tc>
        <w:tc>
          <w:tcPr>
            <w:tcW w:w="8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New MPE Holdings, LLC (Marketplace Events, LLC) </w:t>
            </w:r>
            <w:r>
              <w:rPr>
                <w:rFonts w:ascii="Arial" w:cs="Arial" w:eastAsia="Arial" w:hAnsi="Arial"/>
                <w:sz w:val="9"/>
                <w:szCs w:val="9"/>
                <w:color w:val="auto"/>
              </w:rPr>
              <w:t>(7),(8)</w:t>
            </w:r>
          </w:p>
        </w:tc>
        <w:tc>
          <w:tcPr>
            <w:tcW w:w="880" w:type="dxa"/>
            <w:vAlign w:val="bottom"/>
            <w:shd w:val="clear" w:color="auto" w:fill="CCECFF"/>
          </w:tcPr>
          <w:p>
            <w:pPr>
              <w:ind w:left="300"/>
              <w:spacing w:after="0"/>
              <w:rPr>
                <w:sz w:val="20"/>
                <w:szCs w:val="20"/>
                <w:color w:val="auto"/>
              </w:rPr>
            </w:pPr>
            <w:r>
              <w:rPr>
                <w:rFonts w:ascii="Arial" w:cs="Arial" w:eastAsia="Arial" w:hAnsi="Arial"/>
                <w:sz w:val="11"/>
                <w:szCs w:val="11"/>
                <w:color w:val="auto"/>
              </w:rPr>
              <w:t>—</w:t>
            </w:r>
          </w:p>
        </w:tc>
        <w:tc>
          <w:tcPr>
            <w:tcW w:w="2380" w:type="dxa"/>
            <w:vAlign w:val="bottom"/>
            <w:gridSpan w:val="2"/>
            <w:shd w:val="clear" w:color="auto" w:fill="CCECFF"/>
          </w:tcPr>
          <w:p>
            <w:pPr>
              <w:jc w:val="center"/>
              <w:ind w:right="220"/>
              <w:spacing w:after="0"/>
              <w:rPr>
                <w:sz w:val="20"/>
                <w:szCs w:val="20"/>
                <w:color w:val="auto"/>
              </w:rPr>
            </w:pPr>
            <w:r>
              <w:rPr>
                <w:rFonts w:ascii="Arial" w:cs="Arial" w:eastAsia="Arial" w:hAnsi="Arial"/>
                <w:sz w:val="11"/>
                <w:szCs w:val="11"/>
                <w:color w:val="auto"/>
                <w:w w:val="92"/>
              </w:rPr>
              <w:t>Media: Diversified and Production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2,689,852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880" w:type="dxa"/>
            <w:vAlign w:val="bottom"/>
            <w:tcBorders>
              <w:bottom w:val="single" w:sz="8" w:color="CCECFF"/>
            </w:tcBorders>
          </w:tcPr>
          <w:p>
            <w:pPr>
              <w:ind w:left="300"/>
              <w:spacing w:after="0"/>
              <w:rPr>
                <w:sz w:val="20"/>
                <w:szCs w:val="20"/>
                <w:color w:val="auto"/>
              </w:rPr>
            </w:pPr>
            <w:r>
              <w:rPr>
                <w:rFonts w:ascii="Arial" w:cs="Arial" w:eastAsia="Arial" w:hAnsi="Arial"/>
                <w:sz w:val="11"/>
                <w:szCs w:val="11"/>
                <w:color w:val="auto"/>
              </w:rPr>
              <w:t>—</w:t>
            </w:r>
          </w:p>
        </w:tc>
        <w:tc>
          <w:tcPr>
            <w:tcW w:w="2380" w:type="dxa"/>
            <w:vAlign w:val="bottom"/>
            <w:tcBorders>
              <w:bottom w:val="single" w:sz="8" w:color="CCECFF"/>
            </w:tcBorders>
            <w:gridSpan w:val="2"/>
          </w:tcPr>
          <w:p>
            <w:pPr>
              <w:jc w:val="center"/>
              <w:ind w:right="220"/>
              <w:spacing w:after="0"/>
              <w:rPr>
                <w:sz w:val="20"/>
                <w:szCs w:val="20"/>
                <w:color w:val="auto"/>
              </w:rPr>
            </w:pPr>
            <w:r>
              <w:rPr>
                <w:rFonts w:ascii="Arial" w:cs="Arial" w:eastAsia="Arial" w:hAnsi="Arial"/>
                <w:sz w:val="11"/>
                <w:szCs w:val="11"/>
                <w:color w:val="auto"/>
                <w:w w:val="89"/>
              </w:rPr>
              <w:t>Financial Services</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60,375</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60,375,000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44,856,115</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Equity Interests</w:t>
            </w:r>
          </w:p>
        </w:tc>
        <w:tc>
          <w:tcPr>
            <w:tcW w:w="880" w:type="dxa"/>
            <w:vAlign w:val="bottom"/>
            <w:shd w:val="clear" w:color="auto" w:fill="CCECFF"/>
          </w:tcPr>
          <w:p>
            <w:pPr>
              <w:spacing w:after="0"/>
              <w:rPr>
                <w:sz w:val="11"/>
                <w:szCs w:val="11"/>
                <w:color w:val="auto"/>
              </w:rPr>
            </w:pPr>
          </w:p>
        </w:tc>
        <w:tc>
          <w:tcPr>
            <w:tcW w:w="2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60,375,000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47,545,967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Investments in Controlled, Affiliated Portfolio Companies</w:t>
            </w:r>
          </w:p>
        </w:tc>
        <w:tc>
          <w:tcPr>
            <w:tcW w:w="880" w:type="dxa"/>
            <w:vAlign w:val="bottom"/>
            <w:tcBorders>
              <w:bottom w:val="single" w:sz="8" w:color="CCECFF"/>
            </w:tcBorders>
          </w:tcPr>
          <w:p>
            <w:pPr>
              <w:spacing w:after="0"/>
              <w:rPr>
                <w:sz w:val="11"/>
                <w:szCs w:val="11"/>
                <w:color w:val="auto"/>
              </w:rPr>
            </w:pPr>
          </w:p>
        </w:tc>
        <w:tc>
          <w:tcPr>
            <w:tcW w:w="22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223,714,366</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217,380,079</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Investments—220.5%</w:t>
            </w:r>
          </w:p>
        </w:tc>
        <w:tc>
          <w:tcPr>
            <w:tcW w:w="880" w:type="dxa"/>
            <w:vAlign w:val="bottom"/>
            <w:shd w:val="clear" w:color="auto" w:fill="CCECFF"/>
          </w:tcPr>
          <w:p>
            <w:pPr>
              <w:spacing w:after="0"/>
              <w:rPr>
                <w:sz w:val="11"/>
                <w:szCs w:val="11"/>
                <w:color w:val="auto"/>
              </w:rPr>
            </w:pPr>
          </w:p>
        </w:tc>
        <w:tc>
          <w:tcPr>
            <w:tcW w:w="2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88"/>
              </w:rPr>
              <w:t>1,070,636,007</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3"/>
              </w:rPr>
              <w:t>1,081,619,412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gridSpan w:val="2"/>
          </w:tcPr>
          <w:p>
            <w:pPr>
              <w:spacing w:after="0"/>
              <w:rPr>
                <w:sz w:val="20"/>
                <w:szCs w:val="20"/>
                <w:color w:val="auto"/>
              </w:rPr>
            </w:pPr>
            <w:r>
              <w:rPr>
                <w:rFonts w:ascii="Arial" w:cs="Arial" w:eastAsia="Arial" w:hAnsi="Arial"/>
                <w:sz w:val="11"/>
                <w:szCs w:val="11"/>
                <w:b w:val="1"/>
                <w:bCs w:val="1"/>
                <w:color w:val="auto"/>
              </w:rPr>
              <w:t>Cash and Cash Equivalents—10.2%</w:t>
            </w:r>
          </w:p>
        </w:tc>
        <w:tc>
          <w:tcPr>
            <w:tcW w:w="8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880" w:type="dxa"/>
            <w:vAlign w:val="bottom"/>
            <w:shd w:val="clear" w:color="auto" w:fill="CCECFF"/>
          </w:tcPr>
          <w:p>
            <w:pPr>
              <w:spacing w:after="0"/>
              <w:rPr>
                <w:sz w:val="11"/>
                <w:szCs w:val="11"/>
                <w:color w:val="auto"/>
              </w:rPr>
            </w:pPr>
          </w:p>
        </w:tc>
        <w:tc>
          <w:tcPr>
            <w:tcW w:w="2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7,433,134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7,433,134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BNY Mellon Cash</w:t>
            </w:r>
          </w:p>
        </w:tc>
        <w:tc>
          <w:tcPr>
            <w:tcW w:w="880" w:type="dxa"/>
            <w:vAlign w:val="bottom"/>
            <w:tcBorders>
              <w:bottom w:val="single" w:sz="8" w:color="CCECFF"/>
            </w:tcBorders>
          </w:tcPr>
          <w:p>
            <w:pPr>
              <w:spacing w:after="0"/>
              <w:rPr>
                <w:sz w:val="11"/>
                <w:szCs w:val="11"/>
                <w:color w:val="auto"/>
              </w:rPr>
            </w:pPr>
          </w:p>
        </w:tc>
        <w:tc>
          <w:tcPr>
            <w:tcW w:w="226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42,392,393</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42,392,393</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880" w:type="dxa"/>
            <w:vAlign w:val="bottom"/>
            <w:shd w:val="clear" w:color="auto" w:fill="CCECFF"/>
          </w:tcPr>
          <w:p>
            <w:pPr>
              <w:spacing w:after="0"/>
              <w:rPr>
                <w:sz w:val="11"/>
                <w:szCs w:val="11"/>
                <w:color w:val="auto"/>
              </w:rPr>
            </w:pPr>
          </w:p>
        </w:tc>
        <w:tc>
          <w:tcPr>
            <w:tcW w:w="2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49,825,527</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49,825,527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0" w:type="dxa"/>
            <w:vAlign w:val="bottom"/>
            <w:gridSpan w:val="2"/>
          </w:tcPr>
          <w:p>
            <w:pPr>
              <w:spacing w:after="0"/>
              <w:rPr>
                <w:sz w:val="20"/>
                <w:szCs w:val="20"/>
                <w:color w:val="auto"/>
              </w:rPr>
            </w:pPr>
            <w:r>
              <w:rPr>
                <w:rFonts w:ascii="Arial" w:cs="Arial" w:eastAsia="Arial" w:hAnsi="Arial"/>
                <w:sz w:val="11"/>
                <w:szCs w:val="11"/>
                <w:b w:val="1"/>
                <w:bCs w:val="1"/>
                <w:color w:val="auto"/>
              </w:rPr>
              <w:t>Total Investments and Cash Equivalents—230.6%</w:t>
            </w:r>
          </w:p>
        </w:tc>
        <w:tc>
          <w:tcPr>
            <w:tcW w:w="8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w w:val="88"/>
              </w:rPr>
              <w:t>1,120,461,534</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w w:val="93"/>
              </w:rPr>
              <w:t>1,131,444,939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CFF"/>
            </w:tcBorders>
            <w:gridSpan w:val="2"/>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Assets—(130.6)%</w:t>
            </w:r>
          </w:p>
        </w:tc>
        <w:tc>
          <w:tcPr>
            <w:tcW w:w="880" w:type="dxa"/>
            <w:vAlign w:val="bottom"/>
            <w:tcBorders>
              <w:top w:val="single" w:sz="8" w:color="CCECFF"/>
            </w:tcBorders>
            <w:shd w:val="clear" w:color="auto" w:fill="CCECFF"/>
          </w:tcPr>
          <w:p>
            <w:pPr>
              <w:spacing w:after="0" w:line="20" w:lineRule="exact"/>
              <w:rPr>
                <w:sz w:val="1"/>
                <w:szCs w:val="1"/>
                <w:color w:val="auto"/>
              </w:rPr>
            </w:pPr>
          </w:p>
        </w:tc>
        <w:tc>
          <w:tcPr>
            <w:tcW w:w="226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66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400" w:type="dxa"/>
            <w:vAlign w:val="bottom"/>
            <w:gridSpan w:val="2"/>
            <w:vMerge w:val="continue"/>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2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rPr>
              <w:t>(640,833,683)</w:t>
            </w:r>
          </w:p>
        </w:tc>
        <w:tc>
          <w:tcPr>
            <w:tcW w:w="0" w:type="dxa"/>
            <w:vAlign w:val="bottom"/>
          </w:tcPr>
          <w:p>
            <w:pPr>
              <w:spacing w:after="0"/>
              <w:rPr>
                <w:sz w:val="1"/>
                <w:szCs w:val="1"/>
                <w:color w:val="auto"/>
              </w:rPr>
            </w:pPr>
          </w:p>
        </w:tc>
      </w:tr>
      <w:tr>
        <w:trPr>
          <w:trHeight w:val="128"/>
        </w:trPr>
        <w:tc>
          <w:tcPr>
            <w:tcW w:w="3400" w:type="dxa"/>
            <w:vAlign w:val="bottom"/>
            <w:gridSpan w:val="2"/>
          </w:tcPr>
          <w:p>
            <w:pPr>
              <w:spacing w:after="0"/>
              <w:rPr>
                <w:sz w:val="20"/>
                <w:szCs w:val="20"/>
                <w:color w:val="auto"/>
              </w:rPr>
            </w:pPr>
            <w:r>
              <w:rPr>
                <w:rFonts w:ascii="Arial" w:cs="Arial" w:eastAsia="Arial" w:hAnsi="Arial"/>
                <w:sz w:val="11"/>
                <w:szCs w:val="11"/>
                <w:b w:val="1"/>
                <w:bCs w:val="1"/>
                <w:color w:val="auto"/>
              </w:rPr>
              <w:t>Net Assets—100.0%</w:t>
            </w:r>
          </w:p>
        </w:tc>
        <w:tc>
          <w:tcPr>
            <w:tcW w:w="8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490,611,256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120" w:type="dxa"/>
            <w:vAlign w:val="bottom"/>
            <w:tcBorders>
              <w:bottom w:val="single" w:sz="8" w:color="auto"/>
            </w:tcBorders>
          </w:tcPr>
          <w:p>
            <w:pPr>
              <w:spacing w:after="0"/>
              <w:rPr>
                <w:sz w:val="6"/>
                <w:szCs w:val="6"/>
                <w:color w:val="auto"/>
              </w:rPr>
            </w:pPr>
          </w:p>
        </w:tc>
        <w:tc>
          <w:tcPr>
            <w:tcW w:w="1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380" w:right="40" w:hanging="372"/>
        <w:spacing w:after="0" w:line="276" w:lineRule="auto"/>
        <w:tabs>
          <w:tab w:leader="none" w:pos="380" w:val="left"/>
        </w:tabs>
        <w:numPr>
          <w:ilvl w:val="0"/>
          <w:numId w:val="56"/>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6"/>
        </w:numPr>
        <w:rPr>
          <w:rFonts w:ascii="Arial" w:cs="Arial" w:eastAsia="Arial" w:hAnsi="Arial"/>
          <w:sz w:val="11"/>
          <w:szCs w:val="11"/>
          <w:color w:val="auto"/>
        </w:rPr>
      </w:pPr>
      <w:r>
        <w:rPr>
          <w:rFonts w:ascii="Arial" w:cs="Arial" w:eastAsia="Arial" w:hAnsi="Arial"/>
          <w:sz w:val="11"/>
          <w:szCs w:val="11"/>
          <w:color w:val="auto"/>
        </w:rPr>
        <w:t>The securities, or a portion thereof, are not 1) pledged as collateral under the Credit Facility and held through Funding I; or 2) securing the 2031 Asset-Backed Debt (See Note 11) and held through PennantPark CLO I, Ltd.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6"/>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2021, qualifying assets represent 81% of our total assets and non-qualifying assets represent 19%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Par amount is denominated in Canadian Dollars (C$) as denoted.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800" w:type="dxa"/>
            <w:vAlign w:val="bottom"/>
          </w:tcPr>
          <w:p>
            <w:pPr>
              <w:jc w:val="center"/>
              <w:ind w:left="46"/>
              <w:spacing w:after="0"/>
              <w:rPr>
                <w:sz w:val="20"/>
                <w:szCs w:val="20"/>
                <w:color w:val="auto"/>
              </w:rPr>
            </w:pPr>
            <w:r>
              <w:rPr>
                <w:rFonts w:ascii="Arial" w:cs="Arial" w:eastAsia="Arial" w:hAnsi="Arial"/>
                <w:sz w:val="11"/>
                <w:szCs w:val="11"/>
                <w:b w:val="1"/>
                <w:bCs w:val="1"/>
                <w:color w:val="auto"/>
                <w:w w:val="98"/>
              </w:rPr>
              <w:t>Maturity</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Coupon</w:t>
            </w: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r>
      <w:tr>
        <w:trPr>
          <w:trHeight w:val="128"/>
        </w:trPr>
        <w:tc>
          <w:tcPr>
            <w:tcW w:w="41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6"/>
              </w:rPr>
              <w:t xml:space="preserve">Investments in Non-Controlled, Non-Affiliated Portfolio Companies—190.8% </w:t>
            </w:r>
            <w:r>
              <w:rPr>
                <w:rFonts w:ascii="Arial" w:cs="Arial" w:eastAsia="Arial" w:hAnsi="Arial"/>
                <w:sz w:val="9"/>
                <w:szCs w:val="9"/>
                <w:b w:val="1"/>
                <w:bCs w:val="1"/>
                <w:color w:val="auto"/>
                <w:w w:val="96"/>
              </w:rPr>
              <w:t>(3), (4)</w:t>
            </w:r>
          </w:p>
        </w:tc>
        <w:tc>
          <w:tcPr>
            <w:tcW w:w="246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b w:val="1"/>
                <w:bCs w:val="1"/>
                <w:color w:val="auto"/>
              </w:rPr>
              <w:t>First Lien Secured Debt—175.5%</w:t>
            </w: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18 Freemont Street Acquisition,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08/11/2025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6,697,697</w:t>
            </w:r>
          </w:p>
        </w:tc>
        <w:tc>
          <w:tcPr>
            <w:tcW w:w="36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6,581,574</w:t>
            </w:r>
          </w:p>
        </w:tc>
        <w:tc>
          <w:tcPr>
            <w:tcW w:w="36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6,362,812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Advantage Sales &amp; Marketing</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07/23/2021</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Food and Staples Retailing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4.25%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L+325</w:t>
            </w:r>
          </w:p>
        </w:tc>
        <w:tc>
          <w:tcPr>
            <w:tcW w:w="660" w:type="dxa"/>
            <w:vAlign w:val="bottom"/>
          </w:tcPr>
          <w:p>
            <w:pPr>
              <w:jc w:val="right"/>
              <w:spacing w:after="0"/>
              <w:rPr>
                <w:sz w:val="20"/>
                <w:szCs w:val="20"/>
                <w:color w:val="auto"/>
              </w:rPr>
            </w:pPr>
            <w:r>
              <w:rPr>
                <w:rFonts w:ascii="Arial" w:cs="Arial" w:eastAsia="Arial" w:hAnsi="Arial"/>
                <w:sz w:val="11"/>
                <w:szCs w:val="11"/>
                <w:color w:val="auto"/>
              </w:rPr>
              <w:t>3,158,375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3,084,907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3,095,997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07/24/2025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6,313,001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6,233,142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6,092,046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07/24/2025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1,387,187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07/24/2025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718,750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(25,156)</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American Auto Auction Group,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01/02/2024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Transportation: Consumer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7,385,098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7,317,949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7,163,545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American Insulated Glass,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12/21/2023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Building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14,775,105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14,574,748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14,479,603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American Teleconferencing Services, Ltd.</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06/08/2023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L+650</w:t>
            </w:r>
          </w:p>
        </w:tc>
        <w:tc>
          <w:tcPr>
            <w:tcW w:w="660" w:type="dxa"/>
            <w:vAlign w:val="bottom"/>
          </w:tcPr>
          <w:p>
            <w:pPr>
              <w:jc w:val="right"/>
              <w:spacing w:after="0"/>
              <w:rPr>
                <w:sz w:val="20"/>
                <w:szCs w:val="20"/>
                <w:color w:val="auto"/>
              </w:rPr>
            </w:pPr>
            <w:r>
              <w:rPr>
                <w:rFonts w:ascii="Arial" w:cs="Arial" w:eastAsia="Arial" w:hAnsi="Arial"/>
                <w:sz w:val="11"/>
                <w:szCs w:val="11"/>
                <w:color w:val="auto"/>
              </w:rPr>
              <w:t>9,651,242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9,550,005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8,203,555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Apex Service Partners,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07/31/2025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Energy Equipment and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6,978,475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6,920,667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6,769,121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Apex Service Partners, LLC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07/31/2021</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Energy Equipment and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1,198,613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(35,958)</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API Technologies Corp.</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05/11/2026</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4.40%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5,925,000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5,897,574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5,776,875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BEI Precision Systems &amp; Space Company,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04/28/2023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11,610,000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11,527,096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11,493,900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By Light Professional IT Services,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05/16/2022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28,863,220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28,711,219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28,574,588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By Light Professional IT Services, LLC (Revolver)</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05/16/2022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2,504,092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2,504,092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2,479,051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05/16/2022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558,511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(5,585)</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Cadence Aerospace, LLC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11/14/2023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L+650</w:t>
            </w:r>
          </w:p>
        </w:tc>
        <w:tc>
          <w:tcPr>
            <w:tcW w:w="660" w:type="dxa"/>
            <w:vAlign w:val="bottom"/>
          </w:tcPr>
          <w:p>
            <w:pPr>
              <w:jc w:val="right"/>
              <w:spacing w:after="0"/>
              <w:rPr>
                <w:sz w:val="20"/>
                <w:szCs w:val="20"/>
                <w:color w:val="auto"/>
              </w:rPr>
            </w:pPr>
            <w:r>
              <w:rPr>
                <w:rFonts w:ascii="Arial" w:cs="Arial" w:eastAsia="Arial" w:hAnsi="Arial"/>
                <w:sz w:val="11"/>
                <w:szCs w:val="11"/>
                <w:color w:val="auto"/>
              </w:rPr>
              <w:t>2,884,399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2,860,365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2,767,292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Cano Health,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06/02/2025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14,882,169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14,771,615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14,993,786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Cardenas Markets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11/29/2023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3,795,450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3,798,714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3,795,450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Centauri Group Holdings,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02/12/2024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3,248,900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3,244,298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3,232,655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CHA Holdings,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04/10/2025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Environmental Industries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7,291,746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7,267,251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7,145,911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08/31/2023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711,447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(49,801)</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Compex Legal Services,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02/09/2026</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7,730,621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7,582,329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7,589,151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Compex Legal Services, Inc.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02/08/2021</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3,322,470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(27,576)</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02/07/2025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983,962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983,962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965,956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02/07/2025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421,698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(7,717)</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Confluent Health,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06/24/2026</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Health Providers and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5.15%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tcPr>
          <w:p>
            <w:pPr>
              <w:jc w:val="right"/>
              <w:spacing w:after="0"/>
              <w:rPr>
                <w:sz w:val="20"/>
                <w:szCs w:val="20"/>
                <w:color w:val="auto"/>
              </w:rPr>
            </w:pPr>
            <w:r>
              <w:rPr>
                <w:rFonts w:ascii="Arial" w:cs="Arial" w:eastAsia="Arial" w:hAnsi="Arial"/>
                <w:sz w:val="11"/>
                <w:szCs w:val="11"/>
                <w:color w:val="auto"/>
              </w:rPr>
              <w:t>3,950,000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3,913,661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3,890,750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Datalot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01/24/2025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15,257,804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14,979,266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15,276,113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Datalot Inc. (Revolver)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01/24/2025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tcPr>
          <w:p>
            <w:pPr>
              <w:jc w:val="right"/>
              <w:spacing w:after="0"/>
              <w:rPr>
                <w:sz w:val="20"/>
                <w:szCs w:val="20"/>
                <w:color w:val="auto"/>
              </w:rPr>
            </w:pPr>
            <w:r>
              <w:rPr>
                <w:rFonts w:ascii="Arial" w:cs="Arial" w:eastAsia="Arial" w:hAnsi="Arial"/>
                <w:sz w:val="11"/>
                <w:szCs w:val="11"/>
                <w:color w:val="auto"/>
              </w:rPr>
              <w:t>3,833,619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3,833,619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3,838,219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Digital Room Holdings,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05/22/2026</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5.27%</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9,875,000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9,736,008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9,183,750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6,612,916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6,553,834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6,513,722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P+475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3,220,196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3,220,196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3,171,893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(Revolver)</w:t>
            </w: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1,170,980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(17,565)</w:t>
            </w: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(Revolver) </w:t>
            </w:r>
            <w:r>
              <w:rPr>
                <w:rFonts w:ascii="Arial" w:cs="Arial" w:eastAsia="Arial" w:hAnsi="Arial"/>
                <w:sz w:val="9"/>
                <w:szCs w:val="9"/>
                <w:color w:val="auto"/>
              </w:rPr>
              <w:t>(7), (9)</w:t>
            </w: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3,021,798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3,008,407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2,976,471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DRS Holdings III,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11/03/2025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4,962,500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4,918,144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4,871,686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11/03/2025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903,716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(16,538)</w:t>
            </w: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East Valley Tourist Development Authority</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03/07/2022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L+800</w:t>
            </w:r>
          </w:p>
        </w:tc>
        <w:tc>
          <w:tcPr>
            <w:tcW w:w="660" w:type="dxa"/>
            <w:vAlign w:val="bottom"/>
          </w:tcPr>
          <w:p>
            <w:pPr>
              <w:jc w:val="right"/>
              <w:spacing w:after="0"/>
              <w:rPr>
                <w:sz w:val="20"/>
                <w:szCs w:val="20"/>
                <w:color w:val="auto"/>
              </w:rPr>
            </w:pPr>
            <w:r>
              <w:rPr>
                <w:rFonts w:ascii="Arial" w:cs="Arial" w:eastAsia="Arial" w:hAnsi="Arial"/>
                <w:sz w:val="11"/>
                <w:szCs w:val="11"/>
                <w:color w:val="auto"/>
              </w:rPr>
              <w:t>19,039,079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18,917,984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18,467,906</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3.50%)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ECM Industries,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12/23/2025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5,075,958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5,028,206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5,050,578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ECM Industries, LLC (Revolver)</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12/23/2025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914,415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914,415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902,345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9"/>
                <w:szCs w:val="9"/>
                <w:color w:val="auto"/>
              </w:rPr>
              <w:t>(10)</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10/05/2023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16,131,250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16,131,250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15,889,281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9"/>
                <w:szCs w:val="9"/>
                <w:color w:val="auto"/>
              </w:rPr>
              <w:t>(7), (9), (10)</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10/05/2023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(75,000)</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Education Networks of America,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05/06/2021</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L+925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9,985,621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9,985,621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9,985,621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4.75%)</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Education Networks of America, Inc. (Revolver)</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05/06/2021</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L+925</w:t>
            </w:r>
          </w:p>
        </w:tc>
        <w:tc>
          <w:tcPr>
            <w:tcW w:w="660" w:type="dxa"/>
            <w:vAlign w:val="bottom"/>
          </w:tcPr>
          <w:p>
            <w:pPr>
              <w:jc w:val="right"/>
              <w:spacing w:after="0"/>
              <w:rPr>
                <w:sz w:val="20"/>
                <w:szCs w:val="20"/>
                <w:color w:val="auto"/>
              </w:rPr>
            </w:pPr>
            <w:r>
              <w:rPr>
                <w:rFonts w:ascii="Arial" w:cs="Arial" w:eastAsia="Arial" w:hAnsi="Arial"/>
                <w:sz w:val="11"/>
                <w:szCs w:val="11"/>
                <w:color w:val="auto"/>
              </w:rPr>
              <w:t>2,243,444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2,243,444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2,243,444</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4.75%)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Efficient Collaborative Retail Marketing Company,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06/15/2022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7,189,139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7,168,054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6,937,519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Empire Resorts,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03/22/2021</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2.89%</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L+225</w:t>
            </w:r>
          </w:p>
        </w:tc>
        <w:tc>
          <w:tcPr>
            <w:tcW w:w="660" w:type="dxa"/>
            <w:vAlign w:val="bottom"/>
          </w:tcPr>
          <w:p>
            <w:pPr>
              <w:jc w:val="right"/>
              <w:spacing w:after="0"/>
              <w:rPr>
                <w:sz w:val="20"/>
                <w:szCs w:val="20"/>
                <w:color w:val="auto"/>
              </w:rPr>
            </w:pPr>
            <w:r>
              <w:rPr>
                <w:rFonts w:ascii="Arial" w:cs="Arial" w:eastAsia="Arial" w:hAnsi="Arial"/>
                <w:sz w:val="11"/>
                <w:szCs w:val="11"/>
                <w:color w:val="auto"/>
              </w:rPr>
              <w:t>7,500,000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7,471,938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7,425,000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FlexPrint,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01/02/2024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7.12%</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L+684</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4,975,898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4,916,661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4,839,060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FlexPrint, LLC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12/31/2020</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3,077,342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(61,547)</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GCOM Software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11/14/2022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7.75%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13,707,757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13,504,876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13,707,757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GCOM Software LLC (Revolver)</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11/14/2022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2,133,333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2,133,333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2,133,333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GCOM Software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11/14/2022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533,333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Good2Grow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11/18/2024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Beverages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L+425</w:t>
            </w:r>
          </w:p>
        </w:tc>
        <w:tc>
          <w:tcPr>
            <w:tcW w:w="660" w:type="dxa"/>
            <w:vAlign w:val="bottom"/>
          </w:tcPr>
          <w:p>
            <w:pPr>
              <w:jc w:val="right"/>
              <w:spacing w:after="0"/>
              <w:rPr>
                <w:sz w:val="20"/>
                <w:szCs w:val="20"/>
                <w:color w:val="auto"/>
              </w:rPr>
            </w:pPr>
            <w:r>
              <w:rPr>
                <w:rFonts w:ascii="Arial" w:cs="Arial" w:eastAsia="Arial" w:hAnsi="Arial"/>
                <w:sz w:val="11"/>
                <w:szCs w:val="11"/>
                <w:color w:val="auto"/>
              </w:rPr>
              <w:t>5,699,510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5,657,300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5,656,763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Good2Grow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11/16/2023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Beverages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3,137,000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(23,528)</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GSM Holdings,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06/03/2024</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19,130,304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19,041,110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18,939,001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GSM Holdings, Inc. (Revolver)</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06/03/2024</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8"/>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7,126,484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7,126,484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7,055,219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HW Holdco,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12/10/2024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7,416,290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7,357,894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7,193,802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12/10/2024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1,451,613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(43,548)</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10/28/2024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1,968,504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06/27/2023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8.37%</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L+737</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12,671,202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12,622,034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12,734,558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Innova Medical Ophthalmics Inc. </w:t>
            </w:r>
            <w:r>
              <w:rPr>
                <w:rFonts w:ascii="Arial" w:cs="Arial" w:eastAsia="Arial" w:hAnsi="Arial"/>
                <w:sz w:val="9"/>
                <w:szCs w:val="9"/>
                <w:color w:val="auto"/>
              </w:rPr>
              <w:t>(5), (10)</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04/13/2023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3,271,649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3,244,173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3,072,079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9"/>
                <w:szCs w:val="9"/>
                <w:color w:val="auto"/>
              </w:rPr>
              <w:t>(5), (7), (10)</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04/13/2023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530,973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530,973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498,584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Integrative Nutrition,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09/29/2023</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5.75%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L+475</w:t>
            </w:r>
          </w:p>
        </w:tc>
        <w:tc>
          <w:tcPr>
            <w:tcW w:w="660" w:type="dxa"/>
            <w:vAlign w:val="bottom"/>
          </w:tcPr>
          <w:p>
            <w:pPr>
              <w:jc w:val="right"/>
              <w:spacing w:after="0"/>
              <w:rPr>
                <w:sz w:val="20"/>
                <w:szCs w:val="20"/>
                <w:color w:val="auto"/>
              </w:rPr>
            </w:pPr>
            <w:r>
              <w:rPr>
                <w:rFonts w:ascii="Arial" w:cs="Arial" w:eastAsia="Arial" w:hAnsi="Arial"/>
                <w:sz w:val="11"/>
                <w:szCs w:val="11"/>
                <w:color w:val="auto"/>
              </w:rPr>
              <w:t>22,173,199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22,028,349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21,840,601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09/29/2023</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(75,000)</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Inventus Power,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04/30/2021</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L+650</w:t>
            </w:r>
          </w:p>
        </w:tc>
        <w:tc>
          <w:tcPr>
            <w:tcW w:w="660" w:type="dxa"/>
            <w:vAlign w:val="bottom"/>
          </w:tcPr>
          <w:p>
            <w:pPr>
              <w:jc w:val="right"/>
              <w:spacing w:after="0"/>
              <w:rPr>
                <w:sz w:val="20"/>
                <w:szCs w:val="20"/>
                <w:color w:val="auto"/>
              </w:rPr>
            </w:pPr>
            <w:r>
              <w:rPr>
                <w:rFonts w:ascii="Arial" w:cs="Arial" w:eastAsia="Arial" w:hAnsi="Arial"/>
                <w:sz w:val="11"/>
                <w:szCs w:val="11"/>
                <w:color w:val="auto"/>
              </w:rPr>
              <w:t>3,709,390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3,702,960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3,672,296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K2 Pure Solutions NoCal, L.P. (Revovler)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12/20/2023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1,071,429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1,071,429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1,047,857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K2 Pure Solutions NoCal, L.P. (Revovler)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12/20/2023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357,143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(7,857)</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Kentucky Downs,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03/07/2025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5,499,731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5,395,498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5,417,236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03/07/2025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448,276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(6,724)</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10/31/2024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9,028,277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8,984,046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8,315,946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5.00%)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10/31/2024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1,607,584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1,607,584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1,480,745</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5.00%)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02/03/2026</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30,362,602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29,830,439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29,983,070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Lightspeed Buyer Inc.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08/03/2021</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1,891,068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(4,728)</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 (Revolver)</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02/03/2026</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2,499,299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2,499,299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2,468,058</w:t>
            </w:r>
          </w:p>
        </w:tc>
        <w:tc>
          <w:tcPr>
            <w:tcW w:w="120" w:type="dxa"/>
            <w:vAlign w:val="bottom"/>
            <w:shd w:val="clear" w:color="auto" w:fill="CCECFF"/>
          </w:tcPr>
          <w:p>
            <w:pPr>
              <w:spacing w:after="0"/>
              <w:rPr>
                <w:sz w:val="11"/>
                <w:szCs w:val="1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Spread</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Current</w:t>
            </w:r>
          </w:p>
        </w:tc>
        <w:tc>
          <w:tcPr>
            <w:tcW w:w="12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10"/>
                <w:szCs w:val="10"/>
                <w:color w:val="auto"/>
              </w:rPr>
            </w:pPr>
          </w:p>
        </w:tc>
        <w:tc>
          <w:tcPr>
            <w:tcW w:w="920" w:type="dxa"/>
            <w:vAlign w:val="bottom"/>
            <w:gridSpan w:val="2"/>
          </w:tcPr>
          <w:p>
            <w:pPr>
              <w:ind w:left="240"/>
              <w:spacing w:after="0" w:line="122" w:lineRule="exact"/>
              <w:rPr>
                <w:sz w:val="20"/>
                <w:szCs w:val="20"/>
                <w:color w:val="auto"/>
              </w:rPr>
            </w:pPr>
            <w:r>
              <w:rPr>
                <w:rFonts w:ascii="Arial" w:cs="Arial" w:eastAsia="Arial" w:hAnsi="Arial"/>
                <w:sz w:val="11"/>
                <w:szCs w:val="11"/>
                <w:b w:val="1"/>
                <w:bCs w:val="1"/>
                <w:color w:val="auto"/>
              </w:rPr>
              <w:t>Par /</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20" w:type="dxa"/>
            <w:vAlign w:val="bottom"/>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9"/>
                <w:szCs w:val="9"/>
                <w:b w:val="1"/>
                <w:bCs w:val="1"/>
                <w:color w:val="auto"/>
                <w:w w:val="95"/>
              </w:rPr>
              <w:t>(2)</w:t>
            </w:r>
          </w:p>
        </w:tc>
        <w:tc>
          <w:tcPr>
            <w:tcW w:w="120" w:type="dxa"/>
            <w:vAlign w:val="bottom"/>
          </w:tcPr>
          <w:p>
            <w:pPr>
              <w:spacing w:after="0"/>
              <w:rPr>
                <w:sz w:val="11"/>
                <w:szCs w:val="11"/>
                <w:color w:val="auto"/>
              </w:rPr>
            </w:pPr>
          </w:p>
        </w:tc>
      </w:tr>
      <w:tr>
        <w:trPr>
          <w:trHeight w:val="128"/>
        </w:trPr>
        <w:tc>
          <w:tcPr>
            <w:tcW w:w="3380" w:type="dxa"/>
            <w:vAlign w:val="bottom"/>
          </w:tcPr>
          <w:p>
            <w:pPr>
              <w:spacing w:after="0"/>
              <w:rPr>
                <w:sz w:val="20"/>
                <w:szCs w:val="20"/>
                <w:color w:val="auto"/>
              </w:rPr>
            </w:pPr>
            <w:r>
              <w:rPr>
                <w:rFonts w:ascii="Arial" w:cs="Arial" w:eastAsia="Arial" w:hAnsi="Arial"/>
                <w:sz w:val="11"/>
                <w:szCs w:val="11"/>
                <w:color w:val="auto"/>
              </w:rPr>
              <w:t>Lombart Brothers, Inc.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04/13/2023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13,639,301</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w w:val="93"/>
              </w:rPr>
              <w:t>$   13,517,803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w w:val="96"/>
              </w:rPr>
              <w:t>$   12,807,304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04/13/2023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1,238,938</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1,238,938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1,163,363</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Long Island Vision Management,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09/07/2023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5.76%</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L+475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8,969,009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8,919,084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8,551,950</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LSF9 Atlantis Holdings,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05/01/2023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Retail</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13,231,250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13,162,333</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12,820,552</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MAG DS Corp.</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04/01/2027</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4,000,000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3,800,000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3,805,000</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12/08/2023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8,305,000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8,253,987</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8,081,596</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Marketplace Events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01/27/2023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0.00%</w:t>
            </w:r>
          </w:p>
        </w:tc>
        <w:tc>
          <w:tcPr>
            <w:tcW w:w="120" w:type="dxa"/>
            <w:vAlign w:val="bottom"/>
          </w:tcPr>
          <w:p>
            <w:pPr>
              <w:jc w:val="right"/>
              <w:spacing w:after="0"/>
              <w:rPr>
                <w:sz w:val="20"/>
                <w:szCs w:val="20"/>
                <w:color w:val="auto"/>
              </w:rPr>
            </w:pPr>
            <w:r>
              <w:rPr>
                <w:rFonts w:ascii="Arial" w:cs="Arial" w:eastAsia="Arial" w:hAnsi="Arial"/>
                <w:sz w:val="9"/>
                <w:szCs w:val="9"/>
                <w:color w:val="auto"/>
                <w:w w:val="72"/>
              </w:rPr>
              <w:t>(6)</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5,284,919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5,220,978</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4,464,171</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(11)</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01/27/2023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0.00%</w:t>
            </w:r>
          </w:p>
        </w:tc>
        <w:tc>
          <w:tcPr>
            <w:tcW w:w="120" w:type="dxa"/>
            <w:vAlign w:val="bottom"/>
            <w:shd w:val="clear" w:color="auto" w:fill="CCECFF"/>
          </w:tcPr>
          <w:p>
            <w:pPr>
              <w:jc w:val="right"/>
              <w:spacing w:after="0"/>
              <w:rPr>
                <w:sz w:val="20"/>
                <w:szCs w:val="20"/>
                <w:color w:val="auto"/>
              </w:rPr>
            </w:pPr>
            <w:r>
              <w:rPr>
                <w:rFonts w:ascii="Arial" w:cs="Arial" w:eastAsia="Arial" w:hAnsi="Arial"/>
                <w:sz w:val="9"/>
                <w:szCs w:val="9"/>
                <w:color w:val="auto"/>
                <w:w w:val="72"/>
              </w:rPr>
              <w:t>(6)</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140" w:type="dxa"/>
            <w:vAlign w:val="bottom"/>
            <w:gridSpan w:val="3"/>
            <w:shd w:val="clear" w:color="auto" w:fill="CCECFF"/>
          </w:tcPr>
          <w:p>
            <w:pPr>
              <w:ind w:left="140"/>
              <w:spacing w:after="0"/>
              <w:rPr>
                <w:sz w:val="20"/>
                <w:szCs w:val="20"/>
                <w:color w:val="auto"/>
              </w:rPr>
            </w:pPr>
            <w:r>
              <w:rPr>
                <w:rFonts w:ascii="Arial" w:cs="Arial" w:eastAsia="Arial" w:hAnsi="Arial"/>
                <w:sz w:val="11"/>
                <w:szCs w:val="11"/>
                <w:color w:val="auto"/>
              </w:rPr>
              <w:t>C $   16,213,270</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11,377,025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10,252,929</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Marketplace Events LLC (Revolver)</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01/27/2023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0.00%</w:t>
            </w:r>
          </w:p>
        </w:tc>
        <w:tc>
          <w:tcPr>
            <w:tcW w:w="120" w:type="dxa"/>
            <w:vAlign w:val="bottom"/>
          </w:tcPr>
          <w:p>
            <w:pPr>
              <w:jc w:val="right"/>
              <w:spacing w:after="0"/>
              <w:rPr>
                <w:sz w:val="20"/>
                <w:szCs w:val="20"/>
                <w:color w:val="auto"/>
              </w:rPr>
            </w:pPr>
            <w:r>
              <w:rPr>
                <w:rFonts w:ascii="Arial" w:cs="Arial" w:eastAsia="Arial" w:hAnsi="Arial"/>
                <w:sz w:val="9"/>
                <w:szCs w:val="9"/>
                <w:color w:val="auto"/>
                <w:w w:val="72"/>
              </w:rPr>
              <w:t>(6)</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1,703,163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1,703,163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1,438,662</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05/23/2024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29,582,555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29,236,103</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28,177,384</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05/23/2024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4,481,655</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(212,879)</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Mission Critical Electronics, Inc.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09/28/2022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612,191</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607,716</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604,783</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09/28/2021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1,325,088</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(16,034)</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Output Services Group, Inc.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03/27/2024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4,462,303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3,937,732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4,060,696</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Ox Two,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02/27/2023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12,526,325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12,473,095</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12,463,694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02/27/2023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108,444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108,444</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107,902</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02/27/2023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447,111</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(2,236)</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Peninsula Pacific Entertainment LLC </w:t>
            </w:r>
            <w:r>
              <w:rPr>
                <w:rFonts w:ascii="Arial" w:cs="Arial" w:eastAsia="Arial" w:hAnsi="Arial"/>
                <w:sz w:val="9"/>
                <w:szCs w:val="9"/>
                <w:color w:val="auto"/>
              </w:rPr>
              <w:t>(7)</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Hotel, Gaming and Leisure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7.40%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10,224,431</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10,193,277</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9,508,720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Plant Health Intermediate, Inc. </w:t>
            </w:r>
            <w:r>
              <w:rPr>
                <w:rFonts w:ascii="Arial" w:cs="Arial" w:eastAsia="Arial" w:hAnsi="Arial"/>
                <w:sz w:val="9"/>
                <w:szCs w:val="9"/>
                <w:color w:val="auto"/>
              </w:rPr>
              <w:t>(7)</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10/19/2022</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650,644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646,164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640,884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PlayPower, Inc.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05/08/2026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Leisure Products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5.72%</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5,367,361</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5,320,837</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5,098,992</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PRA Events, Inc.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08/08/2022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0.00%</w:t>
            </w:r>
          </w:p>
        </w:tc>
        <w:tc>
          <w:tcPr>
            <w:tcW w:w="120" w:type="dxa"/>
            <w:vAlign w:val="bottom"/>
          </w:tcPr>
          <w:p>
            <w:pPr>
              <w:jc w:val="right"/>
              <w:spacing w:after="0"/>
              <w:rPr>
                <w:sz w:val="20"/>
                <w:szCs w:val="20"/>
                <w:color w:val="auto"/>
              </w:rPr>
            </w:pPr>
            <w:r>
              <w:rPr>
                <w:rFonts w:ascii="Arial" w:cs="Arial" w:eastAsia="Arial" w:hAnsi="Arial"/>
                <w:sz w:val="9"/>
                <w:szCs w:val="9"/>
                <w:color w:val="auto"/>
                <w:w w:val="72"/>
              </w:rPr>
              <w:t>(6)</w:t>
            </w:r>
          </w:p>
        </w:tc>
        <w:tc>
          <w:tcPr>
            <w:tcW w:w="680" w:type="dxa"/>
            <w:vAlign w:val="bottom"/>
          </w:tcPr>
          <w:p>
            <w:pPr>
              <w:jc w:val="right"/>
              <w:spacing w:after="0"/>
              <w:rPr>
                <w:sz w:val="20"/>
                <w:szCs w:val="20"/>
                <w:color w:val="auto"/>
              </w:rPr>
            </w:pPr>
            <w:r>
              <w:rPr>
                <w:rFonts w:ascii="Arial" w:cs="Arial" w:eastAsia="Arial" w:hAnsi="Arial"/>
                <w:sz w:val="11"/>
                <w:szCs w:val="11"/>
                <w:color w:val="auto"/>
              </w:rPr>
              <w:t>1M L+700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2,558,746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2,527,407</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2,154,464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Questex,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09/09/2024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7,350,000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7,245,118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6,762,000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Questex, LLC (Revolver)</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09/09/2024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598,404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598,404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550,532</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09/09/2024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598,404</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(47,872)</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Research Horizons,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06/28/2022</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6,894,172</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6,847,485</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6,618,405</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Research Now Group, Inc. and Survey Sampling</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12/20/2024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23,266,875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22,662,940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21,975,563</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shd w:val="clear" w:color="auto" w:fill="CCECFF"/>
          </w:tcPr>
          <w:p>
            <w:pPr>
              <w:ind w:left="140"/>
              <w:spacing w:after="0"/>
              <w:rPr>
                <w:sz w:val="20"/>
                <w:szCs w:val="20"/>
                <w:color w:val="auto"/>
              </w:rPr>
            </w:pPr>
            <w:r>
              <w:rPr>
                <w:rFonts w:ascii="Arial" w:cs="Arial" w:eastAsia="Arial" w:hAnsi="Arial"/>
                <w:sz w:val="11"/>
                <w:szCs w:val="11"/>
                <w:color w:val="auto"/>
              </w:rPr>
              <w:t>International LLC</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Riverpoint Medical,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06/20/2025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Equipment and Supplies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4,937,500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4,892,077</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4,764,194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06/20/2025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Equipment and Supplies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909,091</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(31,909)</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Riverside Assessments,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03/10/2025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15,671,250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15,389,332</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14,848,509</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Sales Benchmark Index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01/03/2025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7.75%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13,934,045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13,689,392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13,599,628</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Sales Benchmark Index LLC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07/07/2021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3,231,707</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(77,561)</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01/03/2025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1,292,683</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(31,024)</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Salient CRGT Inc.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02/28/2022</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High Tech Industries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L+650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1,696,397</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1,684,941</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1,569,168</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Sargent &amp; Greenleaf Inc.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12/20/2024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Electronic Equipment, Instruments, and Components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4,700,654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4,639,240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4,616,042</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Electronic Equipment, Instruments, and Components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1,056,367</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(19,015)</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07/14/2025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13,478,823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13,351,351</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12,501,608</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Schlesinger Global, Inc. (Revolver)</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07/14/2025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7.00%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774,839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774,839</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718,663</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07/14/2025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1,095,462</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(79,421)</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Signature Systems Holding Company</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05/03/2024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L+650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12,350,000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12,205,240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11,948,625</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Signature Systems Holding Company (Revolver)</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05/03/2024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978,495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978,495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946,694</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05/03/2024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768,817</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(24,987)</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Smile Brands Inc. </w:t>
            </w:r>
            <w:r>
              <w:rPr>
                <w:rFonts w:ascii="Arial" w:cs="Arial" w:eastAsia="Arial" w:hAnsi="Arial"/>
                <w:sz w:val="9"/>
                <w:szCs w:val="9"/>
                <w:color w:val="auto"/>
              </w:rPr>
              <w:t>(7)</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10/14/2024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4.90%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3,395,269</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3,395,269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3,293,411</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Smile Brands Inc.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10/14/2024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1,076,088</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(32,283)</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10/14/2024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1,616,250</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(99,027)</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07/19/2021</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100,000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99,000</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07/19/2021</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395,136</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(3,951)</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Solutionreach, Inc.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01/17/2024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6,316,818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6,227,596</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6,247,334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Solutionreach, Inc. (Revolver)</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01/17/2024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1,248,750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1,248,750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1,235,014</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01/17/2024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416,250</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(4,579)</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Spear Education,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02/26/2025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15,049,375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14,913,852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14,673,140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02/26/2022</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6,875,000</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(171,875)</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Spectacle Gary Holdings,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12/23/2025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Hotels, Restaurants and Leisure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11.00%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L+900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8,427,027</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8,196,440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8,174,216</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Spectacle Gary Holdings, LLC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12/23/2025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Hotels, Restaurants and Leisure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972,973</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(29,189)</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STV Group Incorporated</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12/11/2026</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Construction &amp; Engineering</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5.40%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12,875,242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12,753,948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12,746,490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TeleGuam Holdings, LLC</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11/20/2025</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6,584,034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6,519,682</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6,386,513</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07/18/2025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Diversified Financial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9,900,000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9,562,628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9,528,750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Tensar Corporation</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07/09/2021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5.75%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L+475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22,439,744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22,394,704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22,439,744</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The Infosoft Group,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09/16/2024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6.75%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18,200,773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18,074,350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18,200,773</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The Original Cakerie, Co. </w:t>
            </w:r>
            <w:r>
              <w:rPr>
                <w:rFonts w:ascii="Arial" w:cs="Arial" w:eastAsia="Arial" w:hAnsi="Arial"/>
                <w:sz w:val="9"/>
                <w:szCs w:val="9"/>
                <w:color w:val="auto"/>
              </w:rPr>
              <w:t>(5), (10)</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07/20/2022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6.00%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2M 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7,547,565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7,496,711</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7,472,089</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The Original Cakerie Ltd. </w:t>
            </w:r>
            <w:r>
              <w:rPr>
                <w:rFonts w:ascii="Arial" w:cs="Arial" w:eastAsia="Arial" w:hAnsi="Arial"/>
                <w:sz w:val="9"/>
                <w:szCs w:val="9"/>
                <w:color w:val="auto"/>
              </w:rPr>
              <w:t>(5), (10)</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07/20/2022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5,376,152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5,352,309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5,322,390</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The Original Cakerie Ltd. (Revolver) </w:t>
            </w:r>
            <w:r>
              <w:rPr>
                <w:rFonts w:ascii="Arial" w:cs="Arial" w:eastAsia="Arial" w:hAnsi="Arial"/>
                <w:sz w:val="9"/>
                <w:szCs w:val="9"/>
                <w:color w:val="auto"/>
              </w:rPr>
              <w:t>(5), (9), (10)</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07/20/2022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1,418,484</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(14,185)</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9"/>
                <w:szCs w:val="9"/>
                <w:color w:val="auto"/>
              </w:rPr>
              <w:t>(5), (10)</w:t>
            </w:r>
          </w:p>
        </w:tc>
        <w:tc>
          <w:tcPr>
            <w:tcW w:w="7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11/24/2025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Food Products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4,962,500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4,918,485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4,813,625</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TVC Enterprises, LLC</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01/18/2024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5,793,560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5,711,855</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5,750,108</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 (9)</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01/18/2024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1,303,813</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(9,779)</w:t>
            </w: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TWS Acquisition Corporation</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06/16/2025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Diversified Consumer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6,910,465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6,766,653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6,772,256</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TWS Acquisition Corporation (Revolver)</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06/16/2025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Diversified Consumer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1,819,285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1,819,285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1,782,899</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06/16/2025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Diversified Consumer Services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808,571</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(16,171)</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Tyto Athene,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08/27/2024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6.25%</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17,491,232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17,294,288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17,435,261</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9"/>
                <w:szCs w:val="9"/>
                <w:color w:val="auto"/>
              </w:rPr>
              <w:t>(7), (9)</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08/27/2024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6,818,182</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(21,818)</w:t>
            </w: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UBEO,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04/03/2024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5.50%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13,967,402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13,889,735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13,129,357</w:t>
            </w:r>
          </w:p>
        </w:tc>
        <w:tc>
          <w:tcPr>
            <w:tcW w:w="120" w:type="dxa"/>
            <w:vAlign w:val="bottom"/>
            <w:shd w:val="clear" w:color="auto" w:fill="CCECFF"/>
          </w:tcPr>
          <w:p>
            <w:pPr>
              <w:spacing w:after="0"/>
              <w:rPr>
                <w:sz w:val="11"/>
                <w:szCs w:val="11"/>
                <w:color w:val="auto"/>
              </w:rPr>
            </w:pPr>
          </w:p>
        </w:tc>
      </w:tr>
      <w:tr>
        <w:trPr>
          <w:trHeight w:val="135"/>
        </w:trPr>
        <w:tc>
          <w:tcPr>
            <w:tcW w:w="3380" w:type="dxa"/>
            <w:vAlign w:val="bottom"/>
          </w:tcPr>
          <w:p>
            <w:pPr>
              <w:spacing w:after="0"/>
              <w:rPr>
                <w:sz w:val="20"/>
                <w:szCs w:val="20"/>
                <w:color w:val="auto"/>
              </w:rPr>
            </w:pPr>
            <w:r>
              <w:rPr>
                <w:rFonts w:ascii="Arial" w:cs="Arial" w:eastAsia="Arial" w:hAnsi="Arial"/>
                <w:sz w:val="11"/>
                <w:szCs w:val="11"/>
                <w:color w:val="auto"/>
              </w:rPr>
              <w:t>UBEO, LLC (Revolver)</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04/03/2024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2,933,333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2,933,333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2,717,939</w:t>
            </w:r>
          </w:p>
        </w:tc>
        <w:tc>
          <w:tcPr>
            <w:tcW w:w="120" w:type="dxa"/>
            <w:vAlign w:val="bottom"/>
          </w:tcPr>
          <w:p>
            <w:pPr>
              <w:spacing w:after="0"/>
              <w:rPr>
                <w:sz w:val="11"/>
                <w:szCs w:val="11"/>
                <w:color w:val="auto"/>
              </w:rPr>
            </w:pPr>
          </w:p>
        </w:tc>
      </w:tr>
      <w:tr>
        <w:trPr>
          <w:trHeight w:val="135"/>
        </w:trPr>
        <w:tc>
          <w:tcPr>
            <w:tcW w:w="3380" w:type="dxa"/>
            <w:vAlign w:val="bottom"/>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7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90"/>
              </w:rPr>
              <w:t>08/30/2024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Healthcare Providers and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6.00%</w:t>
            </w: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4,962,500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4,888,916</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4,813,625</w:t>
            </w:r>
          </w:p>
        </w:tc>
        <w:tc>
          <w:tcPr>
            <w:tcW w:w="120" w:type="dxa"/>
            <w:vAlign w:val="bottom"/>
            <w:shd w:val="clear" w:color="auto" w:fill="CCECFF"/>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20" w:type="dxa"/>
            <w:vAlign w:val="bottom"/>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7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c>
          <w:tcPr>
            <w:tcW w:w="120" w:type="dxa"/>
            <w:vAlign w:val="bottom"/>
          </w:tcPr>
          <w:p>
            <w:pPr>
              <w:spacing w:after="0"/>
              <w:rPr>
                <w:sz w:val="11"/>
                <w:szCs w:val="11"/>
                <w:color w:val="auto"/>
              </w:rPr>
            </w:pPr>
          </w:p>
        </w:tc>
      </w:tr>
      <w:tr>
        <w:trPr>
          <w:trHeight w:val="128"/>
        </w:trPr>
        <w:tc>
          <w:tcPr>
            <w:tcW w:w="3360" w:type="dxa"/>
            <w:vAlign w:val="bottom"/>
          </w:tcPr>
          <w:p>
            <w:pPr>
              <w:spacing w:after="0"/>
              <w:rPr>
                <w:sz w:val="20"/>
                <w:szCs w:val="20"/>
                <w:color w:val="auto"/>
              </w:rPr>
            </w:pPr>
            <w:r>
              <w:rPr>
                <w:rFonts w:ascii="Arial" w:cs="Arial" w:eastAsia="Arial" w:hAnsi="Arial"/>
                <w:sz w:val="11"/>
                <w:szCs w:val="11"/>
                <w:color w:val="auto"/>
              </w:rPr>
              <w:t>US Med Acquisition,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08/13/2021</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L+800</w:t>
            </w:r>
          </w:p>
        </w:tc>
        <w:tc>
          <w:tcPr>
            <w:tcW w:w="660" w:type="dxa"/>
            <w:vAlign w:val="bottom"/>
          </w:tcPr>
          <w:p>
            <w:pPr>
              <w:jc w:val="right"/>
              <w:spacing w:after="0"/>
              <w:rPr>
                <w:sz w:val="20"/>
                <w:szCs w:val="20"/>
                <w:color w:val="auto"/>
              </w:rPr>
            </w:pPr>
            <w:r>
              <w:rPr>
                <w:rFonts w:ascii="Arial" w:cs="Arial" w:eastAsia="Arial" w:hAnsi="Arial"/>
                <w:sz w:val="11"/>
                <w:szCs w:val="11"/>
                <w:color w:val="auto"/>
              </w:rPr>
              <w:t>2,964,844</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2,964,844</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2,935,195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Vision Purchaser Corporation</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06/10/2025</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14,358,203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14,104,839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13,496,711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Whitney, Bradley &amp; Brown,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10/18/2022</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4,156,259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4,110,635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4,114,696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Wildcat Buyerco,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02/27/2026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8,852,574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8,685,417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8,764,052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9"/>
                <w:szCs w:val="9"/>
                <w:color w:val="auto"/>
              </w:rPr>
              <w:t>(7), (9)</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02/27/2022</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2,491,176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3,114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9"/>
                <w:szCs w:val="9"/>
                <w:color w:val="auto"/>
              </w:rPr>
              <w:t>(7), (9)</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02/27/2026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533,824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(9,716)</w:t>
            </w:r>
          </w:p>
        </w:tc>
      </w:tr>
      <w:tr>
        <w:trPr>
          <w:trHeight w:val="128"/>
        </w:trPr>
        <w:tc>
          <w:tcPr>
            <w:tcW w:w="33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1"/>
              </w:rPr>
              <w:t>855,654,960</w:t>
            </w: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1"/>
              </w:rPr>
              <w:t>837,579,784</w:t>
            </w:r>
          </w:p>
        </w:tc>
        <w:tc>
          <w:tcPr>
            <w:tcW w:w="120" w:type="dxa"/>
            <w:vAlign w:val="bottom"/>
            <w:tcBorders>
              <w:bottom w:val="single" w:sz="8" w:color="CCECFF"/>
            </w:tcBorders>
          </w:tcPr>
          <w:p>
            <w:pPr>
              <w:spacing w:after="0"/>
              <w:rPr>
                <w:sz w:val="11"/>
                <w:szCs w:val="11"/>
                <w:color w:val="auto"/>
              </w:rPr>
            </w:pPr>
          </w:p>
        </w:tc>
      </w:tr>
      <w:tr>
        <w:trPr>
          <w:trHeight w:val="128"/>
        </w:trPr>
        <w:tc>
          <w:tcPr>
            <w:tcW w:w="33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Debt—5.1%</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DBI Holdings, LLC, Term Loan B</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02/01/2026</w:t>
            </w:r>
          </w:p>
        </w:tc>
        <w:tc>
          <w:tcPr>
            <w:tcW w:w="2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11,157,124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11,157,124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11,157,124</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9.00%)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DBI Holdings, LLC, Term Loan C </w:t>
            </w:r>
            <w:r>
              <w:rPr>
                <w:rFonts w:ascii="Arial" w:cs="Arial" w:eastAsia="Arial" w:hAnsi="Arial"/>
                <w:sz w:val="9"/>
                <w:szCs w:val="9"/>
                <w:color w:val="auto"/>
              </w:rPr>
              <w:t>(7)</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03/26/2021</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22,312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22,312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22,312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9.00%)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DecoPac, Inc.</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03/31/2025</w:t>
            </w: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9.25%</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tcPr>
          <w:p>
            <w:pPr>
              <w:jc w:val="right"/>
              <w:spacing w:after="0"/>
              <w:rPr>
                <w:sz w:val="20"/>
                <w:szCs w:val="20"/>
                <w:color w:val="auto"/>
              </w:rPr>
            </w:pPr>
            <w:r>
              <w:rPr>
                <w:rFonts w:ascii="Arial" w:cs="Arial" w:eastAsia="Arial" w:hAnsi="Arial"/>
                <w:sz w:val="11"/>
                <w:szCs w:val="11"/>
                <w:color w:val="auto"/>
              </w:rPr>
              <w:t>9,738,580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9,654,555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9,738,580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MailSouth, Inc.</w:t>
            </w:r>
          </w:p>
        </w:tc>
        <w:tc>
          <w:tcPr>
            <w:tcW w:w="66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10/23/2024</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xml:space="preserve">0.00% </w:t>
            </w:r>
            <w:r>
              <w:rPr>
                <w:rFonts w:ascii="Arial" w:cs="Arial" w:eastAsia="Arial" w:hAnsi="Arial"/>
                <w:sz w:val="9"/>
                <w:szCs w:val="9"/>
                <w:color w:val="auto"/>
              </w:rPr>
              <w:t>(6)</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2,871,025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2,827,178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1,464,223</w:t>
            </w: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w:t>
            </w:r>
          </w:p>
        </w:tc>
        <w:tc>
          <w:tcPr>
            <w:tcW w:w="6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11/30/2024</w:t>
            </w:r>
          </w:p>
        </w:tc>
        <w:tc>
          <w:tcPr>
            <w:tcW w:w="2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tcPr>
          <w:p>
            <w:pPr>
              <w:jc w:val="right"/>
              <w:spacing w:after="0"/>
              <w:rPr>
                <w:sz w:val="20"/>
                <w:szCs w:val="20"/>
                <w:color w:val="auto"/>
              </w:rPr>
            </w:pPr>
            <w:r>
              <w:rPr>
                <w:rFonts w:ascii="Arial" w:cs="Arial" w:eastAsia="Arial" w:hAnsi="Arial"/>
                <w:sz w:val="11"/>
                <w:szCs w:val="11"/>
                <w:color w:val="auto"/>
              </w:rPr>
              <w:t>2,099,171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2,083,772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2,099,171</w:t>
            </w:r>
          </w:p>
        </w:tc>
        <w:tc>
          <w:tcPr>
            <w:tcW w:w="120" w:type="dxa"/>
            <w:vAlign w:val="bottom"/>
          </w:tcPr>
          <w:p>
            <w:pPr>
              <w:spacing w:after="0"/>
              <w:rPr>
                <w:sz w:val="12"/>
                <w:szCs w:val="12"/>
                <w:color w:val="auto"/>
              </w:rPr>
            </w:pPr>
          </w:p>
        </w:tc>
      </w:tr>
      <w:tr>
        <w:trPr>
          <w:trHeight w:val="131"/>
        </w:trPr>
        <w:tc>
          <w:tcPr>
            <w:tcW w:w="336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12.30%)</w:t>
            </w: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8"/>
        </w:trPr>
        <w:tc>
          <w:tcPr>
            <w:tcW w:w="33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25,744,941</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24,481,410</w:t>
            </w:r>
          </w:p>
        </w:tc>
        <w:tc>
          <w:tcPr>
            <w:tcW w:w="120" w:type="dxa"/>
            <w:vAlign w:val="bottom"/>
            <w:shd w:val="clear" w:color="auto" w:fill="CCECFF"/>
          </w:tcPr>
          <w:p>
            <w:pPr>
              <w:spacing w:after="0"/>
              <w:rPr>
                <w:sz w:val="11"/>
                <w:szCs w:val="11"/>
                <w:color w:val="auto"/>
              </w:rPr>
            </w:pPr>
          </w:p>
        </w:tc>
      </w:tr>
      <w:tr>
        <w:trPr>
          <w:trHeight w:val="129"/>
        </w:trPr>
        <w:tc>
          <w:tcPr>
            <w:tcW w:w="3360" w:type="dxa"/>
            <w:vAlign w:val="bottom"/>
          </w:tcPr>
          <w:p>
            <w:pPr>
              <w:spacing w:after="0"/>
              <w:rPr>
                <w:sz w:val="20"/>
                <w:szCs w:val="20"/>
                <w:color w:val="auto"/>
              </w:rPr>
            </w:pPr>
            <w:r>
              <w:rPr>
                <w:rFonts w:ascii="Arial" w:cs="Arial" w:eastAsia="Arial" w:hAnsi="Arial"/>
                <w:sz w:val="11"/>
                <w:szCs w:val="11"/>
                <w:b w:val="1"/>
                <w:bCs w:val="1"/>
                <w:color w:val="auto"/>
              </w:rPr>
              <w:t xml:space="preserve">Preferrred Equity— 1.3% </w:t>
            </w:r>
            <w:r>
              <w:rPr>
                <w:rFonts w:ascii="Arial" w:cs="Arial" w:eastAsia="Arial" w:hAnsi="Arial"/>
                <w:sz w:val="9"/>
                <w:szCs w:val="9"/>
                <w:b w:val="1"/>
                <w:bCs w:val="1"/>
                <w:color w:val="auto"/>
              </w:rPr>
              <w:t>(6)</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21,870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9"/>
                <w:szCs w:val="9"/>
                <w:color w:val="auto"/>
              </w:rPr>
              <w:t>(5), (7), (10)</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10,173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11,274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9"/>
                <w:szCs w:val="9"/>
                <w:color w:val="auto"/>
              </w:rPr>
              <w:t>(5), (7), (10)</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77,827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207,079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DBI Holding, LLC, Series A-1 </w:t>
            </w:r>
            <w:r>
              <w:rPr>
                <w:rFonts w:ascii="Arial" w:cs="Arial" w:eastAsia="Arial" w:hAnsi="Arial"/>
                <w:sz w:val="9"/>
                <w:szCs w:val="9"/>
                <w:color w:val="auto"/>
              </w:rPr>
              <w:t>(8)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14.00%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7,041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7,040,844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2,522,555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635,021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490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591,195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429,000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488,631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1,167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1,166,993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1,221,750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(5), (7), (10)</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Food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409,011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443,141</w:t>
            </w: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UniTek Global Services, Inc. -</w:t>
            </w:r>
          </w:p>
        </w:tc>
        <w:tc>
          <w:tcPr>
            <w:tcW w:w="14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20.00%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343,861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343,861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19.00%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448,851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448,851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13.50%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1,047,317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670,283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29"/>
        </w:trPr>
        <w:tc>
          <w:tcPr>
            <w:tcW w:w="33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Total Preferred Equity</w:t>
            </w:r>
          </w:p>
        </w:tc>
        <w:tc>
          <w:tcPr>
            <w:tcW w:w="14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3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12,068,713</w:t>
            </w: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6,120,646</w:t>
            </w:r>
          </w:p>
        </w:tc>
        <w:tc>
          <w:tcPr>
            <w:tcW w:w="120" w:type="dxa"/>
            <w:vAlign w:val="bottom"/>
            <w:tcBorders>
              <w:top w:val="single" w:sz="8" w:color="CCECFF"/>
            </w:tcBorders>
            <w:shd w:val="clear" w:color="auto" w:fill="CCECFF"/>
          </w:tcPr>
          <w:p>
            <w:pPr>
              <w:spacing w:after="0"/>
              <w:rPr>
                <w:sz w:val="11"/>
                <w:szCs w:val="11"/>
                <w:color w:val="auto"/>
              </w:rPr>
            </w:pPr>
          </w:p>
        </w:tc>
      </w:tr>
      <w:tr>
        <w:trPr>
          <w:trHeight w:val="128"/>
        </w:trPr>
        <w:tc>
          <w:tcPr>
            <w:tcW w:w="3360" w:type="dxa"/>
            <w:vAlign w:val="bottom"/>
          </w:tcPr>
          <w:p>
            <w:pPr>
              <w:spacing w:after="0"/>
              <w:rPr>
                <w:sz w:val="20"/>
                <w:szCs w:val="20"/>
                <w:color w:val="auto"/>
              </w:rPr>
            </w:pPr>
            <w:r>
              <w:rPr>
                <w:rFonts w:ascii="Arial" w:cs="Arial" w:eastAsia="Arial" w:hAnsi="Arial"/>
                <w:sz w:val="11"/>
                <w:szCs w:val="11"/>
                <w:b w:val="1"/>
                <w:bCs w:val="1"/>
                <w:color w:val="auto"/>
              </w:rPr>
              <w:t xml:space="preserve">Common Equity/Warrants— 8.9% </w:t>
            </w:r>
            <w:r>
              <w:rPr>
                <w:rFonts w:ascii="Arial" w:cs="Arial" w:eastAsia="Arial" w:hAnsi="Arial"/>
                <w:sz w:val="9"/>
                <w:szCs w:val="9"/>
                <w:b w:val="1"/>
                <w:bCs w:val="1"/>
                <w:color w:val="auto"/>
              </w:rPr>
              <w:t>(6)</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Goods: Durable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8,893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244,998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1,002,599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 (9)</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194,836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933,198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21,908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2,190,771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7,599,349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 (9)</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5,592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(Allied) Investment Holdings,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120,962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1,243,217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(Allied America, Inc.)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4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13,333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(Summit) Investment Holdings,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58,846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629,620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788,839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(SFP Holding,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DBI Holding, LLC, Series B </w:t>
            </w:r>
            <w:r>
              <w:rPr>
                <w:rFonts w:ascii="Arial" w:cs="Arial" w:eastAsia="Arial" w:hAnsi="Arial"/>
                <w:sz w:val="9"/>
                <w:szCs w:val="9"/>
                <w:color w:val="auto"/>
              </w:rPr>
              <w:t>(8)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1,489,508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330,791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DecoPac Holdings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1,632,744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2,401,324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295,982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295,982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449,276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(7), (10)</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251,156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257,421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Faraday Holdings,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1,141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58,044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375,581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Gauge InfosoftCoInvest,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143,663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775,000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Gauge Lash Coinvest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1,485,953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1,760,670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2,615,277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437,371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425,883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391,144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391,144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482,277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1,722,632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1,596,634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3,010,719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 (8), (9)</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277,368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Go Dawgs Capital III, LP</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Building Products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324,675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324,675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324,675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IIN Group Holdings, LLC</w:t>
            </w:r>
          </w:p>
        </w:tc>
        <w:tc>
          <w:tcPr>
            <w:tcW w:w="14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1,054,709</w:t>
            </w:r>
          </w:p>
        </w:tc>
        <w:tc>
          <w:tcPr>
            <w:tcW w:w="120" w:type="dxa"/>
            <w:vAlign w:val="bottom"/>
          </w:tcPr>
          <w:p>
            <w:pPr>
              <w:spacing w:after="0"/>
              <w:rPr>
                <w:sz w:val="12"/>
                <w:szCs w:val="12"/>
                <w:color w:val="auto"/>
              </w:rPr>
            </w:pP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ITC Rumba, LLC (Cano Health,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46,763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766,149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2,335,369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JWC/UMA Holdings, L.P. </w:t>
            </w:r>
            <w:r>
              <w:rPr>
                <w:rFonts w:ascii="Arial" w:cs="Arial" w:eastAsia="Arial" w:hAnsi="Arial"/>
                <w:sz w:val="9"/>
                <w:szCs w:val="9"/>
                <w:color w:val="auto"/>
              </w:rPr>
              <w:t>(7)</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1,389,498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JWC-WE Holdings, L.P.</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1,381,741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1,381,741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8,704,966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Hotels, Restaurants and Leisure</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87,345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226,368</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Lightspeed Investment Holdco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585,587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585,587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672,313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960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24,916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w w:val="90"/>
              </w:rPr>
              <w:t xml:space="preserve">OceanSound Discovery Equity, LP (Holdco Sands Intermediate, LLC) </w:t>
            </w:r>
            <w:r>
              <w:rPr>
                <w:rFonts w:ascii="Arial" w:cs="Arial" w:eastAsia="Arial" w:hAnsi="Arial"/>
                <w:sz w:val="9"/>
                <w:szCs w:val="9"/>
                <w:color w:val="auto"/>
                <w:w w:val="90"/>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173,638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1,736,381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1,744,780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286,000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1,067,566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103,995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(8), (9)</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96,667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SBI Holdings Investments LLC (Sales Benchmark Index LLC) </w:t>
            </w:r>
            <w:r>
              <w:rPr>
                <w:rFonts w:ascii="Arial" w:cs="Arial" w:eastAsia="Arial" w:hAnsi="Arial"/>
                <w:sz w:val="9"/>
                <w:szCs w:val="9"/>
                <w:color w:val="auto"/>
              </w:rPr>
              <w:t>(7), (8)</w:t>
            </w:r>
          </w:p>
        </w:tc>
        <w:tc>
          <w:tcPr>
            <w:tcW w:w="14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64,634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646,341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458,093</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61,421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2020</w:t>
      </w:r>
    </w:p>
    <w:tbl>
      <w:tblPr>
        <w:tblLayout w:type="fixed"/>
        <w:tblInd w:w="0" w:type="dxa"/>
        <w:tblCellMar>
          <w:top w:w="0" w:type="dxa"/>
          <w:left w:w="0" w:type="dxa"/>
          <w:bottom w:w="0" w:type="dxa"/>
          <w:right w:w="0" w:type="dxa"/>
        </w:tblCellMar>
      </w:tblPr>
      <w:tr>
        <w:trPr>
          <w:trHeight w:val="116"/>
        </w:trPr>
        <w:tc>
          <w:tcPr>
            <w:tcW w:w="3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16" w:lineRule="exact"/>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Maturity</w:t>
            </w:r>
          </w:p>
        </w:tc>
        <w:tc>
          <w:tcPr>
            <w:tcW w:w="240" w:type="dxa"/>
            <w:vAlign w:val="bottom"/>
          </w:tcPr>
          <w:p>
            <w:pPr>
              <w:spacing w:after="0"/>
              <w:rPr>
                <w:sz w:val="11"/>
                <w:szCs w:val="11"/>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440" w:type="dxa"/>
            <w:vAlign w:val="bottom"/>
            <w:gridSpan w:val="2"/>
          </w:tcPr>
          <w:p>
            <w:pPr>
              <w:spacing w:after="0"/>
              <w:rPr>
                <w:sz w:val="20"/>
                <w:szCs w:val="20"/>
                <w:color w:val="auto"/>
              </w:rPr>
            </w:pPr>
            <w:r>
              <w:rPr>
                <w:rFonts w:ascii="Arial" w:cs="Arial" w:eastAsia="Arial" w:hAnsi="Arial"/>
                <w:sz w:val="11"/>
                <w:szCs w:val="11"/>
                <w:color w:val="auto"/>
              </w:rPr>
              <w:t>SSC Dominion Holdings, LLC</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w:t>
            </w: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500,000</w:t>
            </w:r>
          </w:p>
        </w:tc>
        <w:tc>
          <w:tcPr>
            <w:tcW w:w="2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583,200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440" w:type="dxa"/>
            <w:vAlign w:val="bottom"/>
            <w:gridSpan w:val="2"/>
          </w:tcPr>
          <w:p>
            <w:pPr>
              <w:ind w:left="140"/>
              <w:spacing w:after="0"/>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9"/>
                <w:szCs w:val="9"/>
                <w:color w:val="auto"/>
              </w:rPr>
              <w:t>(7)</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1,585,388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2"/>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(5), (7), (10)</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Food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21,527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21,527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105,482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213,739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2"/>
          </w:tcPr>
          <w:p>
            <w:pPr>
              <w:spacing w:after="0"/>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9"/>
                <w:szCs w:val="9"/>
                <w:color w:val="auto"/>
              </w:rPr>
              <w:t>(7)</w:t>
            </w: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23,889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WBB Equity, LLC </w:t>
            </w:r>
            <w:r>
              <w:rPr>
                <w:rFonts w:ascii="Arial" w:cs="Arial" w:eastAsia="Arial" w:hAnsi="Arial"/>
                <w:sz w:val="9"/>
                <w:szCs w:val="9"/>
                <w:color w:val="auto"/>
              </w:rPr>
              <w:t>(7), (8)</w:t>
            </w: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142,857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142,857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625,714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 xml:space="preserve">Wildcat Parent, LP (Wildcat Buyerco, Inc.) </w:t>
            </w:r>
            <w:r>
              <w:rPr>
                <w:rFonts w:ascii="Arial" w:cs="Arial" w:eastAsia="Arial" w:hAnsi="Arial"/>
                <w:sz w:val="9"/>
                <w:szCs w:val="9"/>
                <w:color w:val="auto"/>
              </w:rPr>
              <w:t>(7), (8)</w:t>
            </w: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8"/>
              </w:rPr>
              <w:t>Electronic Equipment, Instruments, and Components</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2,240</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223,995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246,694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Common Equity/Warrants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22,406,143</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42,370,469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w w:val="90"/>
              </w:rPr>
              <w:t>Total Investments in Non-Controlled, Non-Affiliated Portfolio Companies</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915,874,757</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910,552,309</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00" w:type="dxa"/>
            <w:vAlign w:val="bottom"/>
            <w:gridSpan w:val="4"/>
            <w:shd w:val="clear" w:color="auto" w:fill="CCECFF"/>
          </w:tcPr>
          <w:p>
            <w:pPr>
              <w:spacing w:after="0"/>
              <w:rPr>
                <w:sz w:val="20"/>
                <w:szCs w:val="20"/>
                <w:color w:val="auto"/>
              </w:rPr>
            </w:pPr>
            <w:r>
              <w:rPr>
                <w:rFonts w:ascii="Arial" w:cs="Arial" w:eastAsia="Arial" w:hAnsi="Arial"/>
                <w:sz w:val="11"/>
                <w:szCs w:val="11"/>
                <w:b w:val="1"/>
                <w:bCs w:val="1"/>
                <w:color w:val="auto"/>
              </w:rPr>
              <w:t xml:space="preserve">Investments in Non-Controlled, Affiliated Portfolio Companies—2.3% </w:t>
            </w:r>
            <w:r>
              <w:rPr>
                <w:rFonts w:ascii="Arial" w:cs="Arial" w:eastAsia="Arial" w:hAnsi="Arial"/>
                <w:sz w:val="9"/>
                <w:szCs w:val="9"/>
                <w:b w:val="1"/>
                <w:bCs w:val="1"/>
                <w:color w:val="auto"/>
              </w:rPr>
              <w:t>(3), (4)</w:t>
            </w: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2"/>
          </w:tcPr>
          <w:p>
            <w:pPr>
              <w:spacing w:after="0"/>
              <w:rPr>
                <w:sz w:val="20"/>
                <w:szCs w:val="20"/>
                <w:color w:val="auto"/>
              </w:rPr>
            </w:pPr>
            <w:r>
              <w:rPr>
                <w:rFonts w:ascii="Arial" w:cs="Arial" w:eastAsia="Arial" w:hAnsi="Arial"/>
                <w:sz w:val="11"/>
                <w:szCs w:val="11"/>
                <w:b w:val="1"/>
                <w:bCs w:val="1"/>
                <w:color w:val="auto"/>
              </w:rPr>
              <w:t>First Lien Secured Debt—1.2%</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 Super Senior Term Loan </w:t>
            </w:r>
            <w:r>
              <w:rPr>
                <w:rFonts w:ascii="Arial" w:cs="Arial" w:eastAsia="Arial" w:hAnsi="Arial"/>
                <w:sz w:val="9"/>
                <w:szCs w:val="9"/>
                <w:color w:val="auto"/>
              </w:rPr>
              <w:t>(7)</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06/01/2022</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1,366,489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1,366,489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1,366,489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2"/>
          </w:tcPr>
          <w:p>
            <w:pPr>
              <w:spacing w:after="0"/>
              <w:rPr>
                <w:sz w:val="20"/>
                <w:szCs w:val="20"/>
                <w:color w:val="auto"/>
              </w:rPr>
            </w:pPr>
            <w:r>
              <w:rPr>
                <w:rFonts w:ascii="Arial" w:cs="Arial" w:eastAsia="Arial" w:hAnsi="Arial"/>
                <w:sz w:val="11"/>
                <w:szCs w:val="11"/>
                <w:color w:val="auto"/>
              </w:rPr>
              <w:t xml:space="preserve">Country Fresh Holdings, LLC - Super Senior Term Loan </w:t>
            </w:r>
            <w:r>
              <w:rPr>
                <w:rFonts w:ascii="Arial" w:cs="Arial" w:eastAsia="Arial" w:hAnsi="Arial"/>
                <w:sz w:val="9"/>
                <w:szCs w:val="9"/>
                <w:color w:val="auto"/>
              </w:rPr>
              <w:t>(7), (9)</w:t>
            </w:r>
          </w:p>
        </w:tc>
        <w:tc>
          <w:tcPr>
            <w:tcW w:w="520" w:type="dxa"/>
            <w:vAlign w:val="bottom"/>
          </w:tcPr>
          <w:p>
            <w:pPr>
              <w:spacing w:after="0"/>
              <w:rPr>
                <w:sz w:val="20"/>
                <w:szCs w:val="20"/>
                <w:color w:val="auto"/>
              </w:rPr>
            </w:pPr>
            <w:r>
              <w:rPr>
                <w:rFonts w:ascii="Arial" w:cs="Arial" w:eastAsia="Arial" w:hAnsi="Arial"/>
                <w:sz w:val="11"/>
                <w:szCs w:val="11"/>
                <w:color w:val="auto"/>
                <w:w w:val="90"/>
              </w:rPr>
              <w:t>06/01/2022</w:t>
            </w:r>
          </w:p>
        </w:tc>
        <w:tc>
          <w:tcPr>
            <w:tcW w:w="240" w:type="dxa"/>
            <w:vAlign w:val="bottom"/>
          </w:tcPr>
          <w:p>
            <w:pPr>
              <w:spacing w:after="0"/>
              <w:rPr>
                <w:sz w:val="11"/>
                <w:szCs w:val="11"/>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452,123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9"/>
                <w:szCs w:val="9"/>
                <w:color w:val="auto"/>
              </w:rPr>
              <w:t>(7)</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05/01/2023</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1,544,161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1,515,199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1,544,161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 xml:space="preserve">Country Fresh Holdings, LLC (Revolver) </w:t>
            </w:r>
            <w:r>
              <w:rPr>
                <w:rFonts w:ascii="Arial" w:cs="Arial" w:eastAsia="Arial" w:hAnsi="Arial"/>
                <w:sz w:val="9"/>
                <w:szCs w:val="9"/>
                <w:color w:val="auto"/>
              </w:rPr>
              <w:t>(7)</w:t>
            </w:r>
          </w:p>
        </w:tc>
        <w:tc>
          <w:tcPr>
            <w:tcW w:w="52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w w:val="90"/>
              </w:rPr>
              <w:t>05/01/2023</w:t>
            </w:r>
          </w:p>
        </w:tc>
        <w:tc>
          <w:tcPr>
            <w:tcW w:w="240" w:type="dxa"/>
            <w:vAlign w:val="bottom"/>
            <w:tcBorders>
              <w:bottom w:val="single" w:sz="8" w:color="CCECFF"/>
            </w:tcBorders>
          </w:tcPr>
          <w:p>
            <w:pPr>
              <w:spacing w:after="0"/>
              <w:rPr>
                <w:sz w:val="11"/>
                <w:szCs w:val="11"/>
                <w:color w:val="auto"/>
              </w:rPr>
            </w:pPr>
          </w:p>
        </w:tc>
        <w:tc>
          <w:tcPr>
            <w:tcW w:w="24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6.00%</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2,746,564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2,746,564</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2,746,564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5,628,252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5,657,214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2"/>
          </w:tcPr>
          <w:p>
            <w:pPr>
              <w:spacing w:after="0"/>
              <w:rPr>
                <w:sz w:val="20"/>
                <w:szCs w:val="20"/>
                <w:color w:val="auto"/>
              </w:rPr>
            </w:pPr>
            <w:r>
              <w:rPr>
                <w:rFonts w:ascii="Arial" w:cs="Arial" w:eastAsia="Arial" w:hAnsi="Arial"/>
                <w:sz w:val="11"/>
                <w:szCs w:val="11"/>
                <w:b w:val="1"/>
                <w:bCs w:val="1"/>
                <w:color w:val="auto"/>
              </w:rPr>
              <w:t>Second Lien Secured Debt—1.1%</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04/29/2024</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5,882,579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5,882,579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5,429,620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9.50%)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gridSpan w:val="2"/>
          </w:tcPr>
          <w:p>
            <w:pPr>
              <w:spacing w:after="0"/>
              <w:rPr>
                <w:sz w:val="20"/>
                <w:szCs w:val="20"/>
                <w:color w:val="auto"/>
              </w:rPr>
            </w:pPr>
            <w:r>
              <w:rPr>
                <w:rFonts w:ascii="Arial" w:cs="Arial" w:eastAsia="Arial" w:hAnsi="Arial"/>
                <w:sz w:val="11"/>
                <w:szCs w:val="11"/>
                <w:b w:val="1"/>
                <w:bCs w:val="1"/>
                <w:color w:val="auto"/>
              </w:rPr>
              <w:t>Total Second Lien Secured Debt</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5,882,579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5,429,620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 xml:space="preserve">Common Equity/Warrants—0.0% </w:t>
            </w:r>
            <w:r>
              <w:rPr>
                <w:rFonts w:ascii="Arial" w:cs="Arial" w:eastAsia="Arial" w:hAnsi="Arial"/>
                <w:sz w:val="9"/>
                <w:szCs w:val="9"/>
                <w:b w:val="1"/>
                <w:bCs w:val="1"/>
                <w:color w:val="auto"/>
              </w:rPr>
              <w:t>(6)</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 xml:space="preserve">Country Fresh Holding Company Inc. </w:t>
            </w:r>
            <w:r>
              <w:rPr>
                <w:rFonts w:ascii="Arial" w:cs="Arial" w:eastAsia="Arial" w:hAnsi="Arial"/>
                <w:sz w:val="9"/>
                <w:szCs w:val="9"/>
                <w:color w:val="auto"/>
              </w:rPr>
              <w:t>(7)</w:t>
            </w: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5"/>
              </w:rPr>
              <w:t>Beverage, Food and Tobacco</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8,034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10,453,350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Common Equity/Warrants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10,453,350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4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w w:val="96"/>
              </w:rPr>
              <w:t>Total Investments in Non-Controlled, Affiliated Portfolio Companies</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21,964,181</w:t>
            </w:r>
          </w:p>
        </w:tc>
        <w:tc>
          <w:tcPr>
            <w:tcW w:w="220" w:type="dxa"/>
            <w:vAlign w:val="bottom"/>
            <w:tcBorders>
              <w:bottom w:val="single" w:sz="8" w:color="CCEC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11,086,834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w w:val="92"/>
              </w:rPr>
              <w:t xml:space="preserve">Investments in Controlled, Affiliated Portfolio Companies—34.6% </w:t>
            </w:r>
            <w:r>
              <w:rPr>
                <w:rFonts w:ascii="Arial" w:cs="Arial" w:eastAsia="Arial" w:hAnsi="Arial"/>
                <w:sz w:val="9"/>
                <w:szCs w:val="9"/>
                <w:b w:val="1"/>
                <w:bCs w:val="1"/>
                <w:color w:val="auto"/>
                <w:w w:val="92"/>
              </w:rPr>
              <w:t>(3), (4)</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2"/>
          </w:tcPr>
          <w:p>
            <w:pPr>
              <w:spacing w:after="0"/>
              <w:rPr>
                <w:sz w:val="20"/>
                <w:szCs w:val="20"/>
                <w:color w:val="auto"/>
              </w:rPr>
            </w:pPr>
            <w:r>
              <w:rPr>
                <w:rFonts w:ascii="Arial" w:cs="Arial" w:eastAsia="Arial" w:hAnsi="Arial"/>
                <w:sz w:val="11"/>
                <w:szCs w:val="11"/>
                <w:b w:val="1"/>
                <w:bCs w:val="1"/>
                <w:color w:val="auto"/>
              </w:rPr>
              <w:t>First Lien Secured Debt—26.3%</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05/06/2024</w:t>
            </w:r>
          </w:p>
        </w:tc>
        <w:tc>
          <w:tcPr>
            <w:tcW w:w="24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8.22%</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125,378,750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125,378,750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125,378,750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2"/>
          </w:tcPr>
          <w:p>
            <w:pPr>
              <w:spacing w:after="0"/>
              <w:rPr>
                <w:sz w:val="20"/>
                <w:szCs w:val="20"/>
                <w:color w:val="auto"/>
              </w:rPr>
            </w:pPr>
            <w:r>
              <w:rPr>
                <w:rFonts w:ascii="Arial" w:cs="Arial" w:eastAsia="Arial" w:hAnsi="Arial"/>
                <w:sz w:val="11"/>
                <w:szCs w:val="11"/>
                <w:b w:val="1"/>
                <w:bCs w:val="1"/>
                <w:color w:val="auto"/>
              </w:rPr>
              <w:t>Total First Lien Secured Debt</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125,378,750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125,378,750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Equity Interests—8.4%</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1"/>
                <w:szCs w:val="11"/>
                <w:color w:val="auto"/>
              </w:rPr>
              <w:t>—</w:t>
            </w:r>
          </w:p>
        </w:tc>
        <w:tc>
          <w:tcPr>
            <w:tcW w:w="24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9"/>
              </w:rPr>
              <w:t>Financial Services</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53,734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53,733,750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39,910,574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Equity Interests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53,733,750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39,910,574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Investments in Controlled, Affiliated Portfolio Companies</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179,112,500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165,289,324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Investments—227.7%</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88"/>
              </w:rPr>
              <w:t>1,116,951,438</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3"/>
              </w:rPr>
              <w:t>1,086,928,467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2"/>
          </w:tcPr>
          <w:p>
            <w:pPr>
              <w:spacing w:after="0"/>
              <w:rPr>
                <w:sz w:val="20"/>
                <w:szCs w:val="20"/>
                <w:color w:val="auto"/>
              </w:rPr>
            </w:pPr>
            <w:r>
              <w:rPr>
                <w:rFonts w:ascii="Arial" w:cs="Arial" w:eastAsia="Arial" w:hAnsi="Arial"/>
                <w:sz w:val="11"/>
                <w:szCs w:val="11"/>
                <w:b w:val="1"/>
                <w:bCs w:val="1"/>
                <w:color w:val="auto"/>
              </w:rPr>
              <w:t>Cash and Cash Equivalents—12.1%</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8,433,416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8,433,416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BNY Mellon Cash</w:t>
            </w: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49,101,005</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49,078,512</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57,534,421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57,511,928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40" w:type="dxa"/>
            <w:vAlign w:val="bottom"/>
            <w:gridSpan w:val="2"/>
          </w:tcPr>
          <w:p>
            <w:pPr>
              <w:spacing w:after="0"/>
              <w:rPr>
                <w:sz w:val="20"/>
                <w:szCs w:val="20"/>
                <w:color w:val="auto"/>
              </w:rPr>
            </w:pPr>
            <w:r>
              <w:rPr>
                <w:rFonts w:ascii="Arial" w:cs="Arial" w:eastAsia="Arial" w:hAnsi="Arial"/>
                <w:sz w:val="11"/>
                <w:szCs w:val="11"/>
                <w:b w:val="1"/>
                <w:bCs w:val="1"/>
                <w:color w:val="auto"/>
              </w:rPr>
              <w:t>Total Investments and Cash Equivalents—239.8%</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w w:val="88"/>
              </w:rPr>
              <w:t>1,174,485,859</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w w:val="93"/>
              </w:rPr>
              <w:t>1,144,440,395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CFF"/>
            </w:tcBorders>
            <w:gridSpan w:val="2"/>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Assets—(139.8)%</w:t>
            </w:r>
          </w:p>
        </w:tc>
        <w:tc>
          <w:tcPr>
            <w:tcW w:w="5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3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66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440" w:type="dxa"/>
            <w:vAlign w:val="bottom"/>
            <w:gridSpan w:val="2"/>
            <w:vMerge w:val="continue"/>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3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rPr>
              <w:t>(667,170,003)</w:t>
            </w:r>
          </w:p>
        </w:tc>
        <w:tc>
          <w:tcPr>
            <w:tcW w:w="0" w:type="dxa"/>
            <w:vAlign w:val="bottom"/>
          </w:tcPr>
          <w:p>
            <w:pPr>
              <w:spacing w:after="0"/>
              <w:rPr>
                <w:sz w:val="1"/>
                <w:szCs w:val="1"/>
                <w:color w:val="auto"/>
              </w:rPr>
            </w:pPr>
          </w:p>
        </w:tc>
      </w:tr>
      <w:tr>
        <w:trPr>
          <w:trHeight w:val="135"/>
        </w:trPr>
        <w:tc>
          <w:tcPr>
            <w:tcW w:w="3440" w:type="dxa"/>
            <w:vAlign w:val="bottom"/>
            <w:gridSpan w:val="2"/>
          </w:tcPr>
          <w:p>
            <w:pPr>
              <w:spacing w:after="0"/>
              <w:rPr>
                <w:sz w:val="20"/>
                <w:szCs w:val="20"/>
                <w:color w:val="auto"/>
              </w:rPr>
            </w:pPr>
            <w:r>
              <w:rPr>
                <w:rFonts w:ascii="Arial" w:cs="Arial" w:eastAsia="Arial" w:hAnsi="Arial"/>
                <w:sz w:val="11"/>
                <w:szCs w:val="11"/>
                <w:b w:val="1"/>
                <w:bCs w:val="1"/>
                <w:color w:val="auto"/>
              </w:rPr>
              <w:t>Net Assets—100.0%</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477,270,392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3455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380" w:right="40" w:hanging="372"/>
        <w:spacing w:after="0" w:line="276" w:lineRule="auto"/>
        <w:tabs>
          <w:tab w:leader="none" w:pos="380" w:val="left"/>
        </w:tabs>
        <w:numPr>
          <w:ilvl w:val="0"/>
          <w:numId w:val="57"/>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7"/>
        </w:numPr>
        <w:rPr>
          <w:rFonts w:ascii="Arial" w:cs="Arial" w:eastAsia="Arial" w:hAnsi="Arial"/>
          <w:sz w:val="11"/>
          <w:szCs w:val="11"/>
          <w:color w:val="auto"/>
        </w:rPr>
      </w:pPr>
      <w:r>
        <w:rPr>
          <w:rFonts w:ascii="Arial" w:cs="Arial" w:eastAsia="Arial" w:hAnsi="Arial"/>
          <w:sz w:val="11"/>
          <w:szCs w:val="11"/>
          <w:color w:val="auto"/>
        </w:rPr>
        <w:t>The securities, or a portion thereof, are not 1) pledged as collateral under the Credit Facility and held through Funding I; or 2) securing the 2031 Asset-Backed Debt (See Note 11) and held through PennantPark CLO I, Ltd.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7"/>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2020, qualifying assets represent 81% of our total assets and non-qualifying assets represent 19%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Par amount is denominated in Canadian Dollars (C$) as denoted.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rPr>
          <w:sz w:val="20"/>
          <w:szCs w:val="20"/>
          <w:color w:val="auto"/>
        </w:rPr>
      </w:pPr>
      <w:r>
        <w:rPr>
          <w:rFonts w:ascii="Arial" w:cs="Arial" w:eastAsia="Arial" w:hAnsi="Arial"/>
          <w:sz w:val="14"/>
          <w:szCs w:val="14"/>
          <w:b w:val="1"/>
          <w:bCs w:val="1"/>
          <w:color w:val="auto"/>
        </w:rPr>
        <w:t>SEPTEMBER 30, 2021</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27"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06" w:lineRule="exact"/>
        <w:rPr>
          <w:sz w:val="20"/>
          <w:szCs w:val="20"/>
          <w:color w:val="auto"/>
        </w:rPr>
      </w:pPr>
    </w:p>
    <w:p>
      <w:pPr>
        <w:ind w:right="140" w:firstLine="438"/>
        <w:spacing w:after="0" w:line="248" w:lineRule="auto"/>
        <w:rPr>
          <w:sz w:val="20"/>
          <w:szCs w:val="20"/>
          <w:color w:val="auto"/>
        </w:rPr>
      </w:pPr>
      <w:r>
        <w:rPr>
          <w:rFonts w:ascii="Arial" w:cs="Arial" w:eastAsia="Arial" w:hAnsi="Arial"/>
          <w:sz w:val="13"/>
          <w:szCs w:val="13"/>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13"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We entered into the Investment Management Agreement with the Investment Adviser, an external adviser that manages our day-to-day operations. We also entered into the Administration Agreement with the Administrator, which provides the administrative services necessary for us to operate.</w:t>
      </w:r>
    </w:p>
    <w:p>
      <w:pPr>
        <w:spacing w:after="0" w:line="93"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Funding I, our wholly-owned subsidiary and a special purpose entity, was organized in Delaware as a limited liability company in May 2011. We formed Funding I in order to establish our Prior Credit Facility. On August 12, 2021, we terminated the Prior Credit Facility, and Funding I, as borrower, entered into the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$300 million at LIBOR (or an alternative risk-free floating interest rate index) plus 225 basis points during the revolving period. The Credit Facility is secured by all of the assets held by Funding I. See Note 11.</w:t>
      </w:r>
    </w:p>
    <w:p>
      <w:pPr>
        <w:spacing w:after="0" w:line="109" w:lineRule="exact"/>
        <w:rPr>
          <w:sz w:val="20"/>
          <w:szCs w:val="20"/>
          <w:color w:val="auto"/>
        </w:rPr>
      </w:pPr>
    </w:p>
    <w:p>
      <w:pPr>
        <w:ind w:right="2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PSSL was formed as a Delaware limited liability company. See Note 4.</w:t>
      </w:r>
    </w:p>
    <w:p>
      <w:pPr>
        <w:spacing w:after="0" w:line="124"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In November 2017, we issued $138.6 million of our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TASE. In connection with this offering, we have dual listed our common stock on the TASE.</w:t>
      </w:r>
    </w:p>
    <w:p>
      <w:pPr>
        <w:spacing w:after="0" w:line="117" w:lineRule="exact"/>
        <w:rPr>
          <w:sz w:val="20"/>
          <w:szCs w:val="20"/>
          <w:color w:val="auto"/>
        </w:rPr>
      </w:pPr>
    </w:p>
    <w:p>
      <w:pPr>
        <w:ind w:right="120" w:firstLine="438"/>
        <w:spacing w:after="0" w:line="231" w:lineRule="auto"/>
        <w:rPr>
          <w:sz w:val="20"/>
          <w:szCs w:val="20"/>
          <w:color w:val="auto"/>
        </w:rPr>
      </w:pPr>
      <w:r>
        <w:rPr>
          <w:rFonts w:ascii="Arial" w:cs="Arial" w:eastAsia="Arial" w:hAnsi="Arial"/>
          <w:sz w:val="14"/>
          <w:szCs w:val="14"/>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See Note 11.</w:t>
      </w:r>
    </w:p>
    <w:p>
      <w:pPr>
        <w:spacing w:after="0" w:line="116" w:lineRule="exact"/>
        <w:rPr>
          <w:sz w:val="20"/>
          <w:szCs w:val="20"/>
          <w:color w:val="auto"/>
        </w:rPr>
      </w:pPr>
    </w:p>
    <w:p>
      <w:pPr>
        <w:ind w:right="240" w:firstLine="438"/>
        <w:spacing w:after="0" w:line="270" w:lineRule="auto"/>
        <w:rPr>
          <w:sz w:val="20"/>
          <w:szCs w:val="20"/>
          <w:color w:val="auto"/>
        </w:rPr>
      </w:pPr>
      <w:r>
        <w:rPr>
          <w:rFonts w:ascii="Arial" w:cs="Arial" w:eastAsia="Arial" w:hAnsi="Arial"/>
          <w:sz w:val="13"/>
          <w:szCs w:val="13"/>
          <w:color w:val="auto"/>
        </w:rPr>
        <w:t>In March 2021, we issued $100.0 million in aggregate principal amount of 2026 Notes at a public offering price per note of 99.4%. Interest on the 2026 Notes is paid semi-annually on April 1 and October 1 of each year, at a rate of 4.25% per year, commencing October 1, 2021. The 2026 Notes mature on April 1, 2026 and may be redeemed in whole or in part at our</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option subject to a make-whole premium if redeemed more than three months prior to maturity. The 2026 Notes are general, unsecured obligations and rank equal in right of payment with all of</w:t>
      </w:r>
    </w:p>
    <w:p>
      <w:pPr>
        <w:spacing w:after="0" w:line="33" w:lineRule="exact"/>
        <w:rPr>
          <w:sz w:val="20"/>
          <w:szCs w:val="20"/>
          <w:color w:val="auto"/>
        </w:rPr>
      </w:pPr>
    </w:p>
    <w:p>
      <w:pPr>
        <w:ind w:right="20"/>
        <w:spacing w:after="0" w:line="234" w:lineRule="auto"/>
        <w:rPr>
          <w:sz w:val="20"/>
          <w:szCs w:val="20"/>
          <w:color w:val="auto"/>
        </w:rPr>
      </w:pPr>
      <w:r>
        <w:rPr>
          <w:rFonts w:ascii="Arial" w:cs="Arial" w:eastAsia="Arial" w:hAnsi="Arial"/>
          <w:sz w:val="14"/>
          <w:szCs w:val="14"/>
          <w:color w:val="auto"/>
        </w:rPr>
        <w:t>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16" w:lineRule="exact"/>
        <w:rPr>
          <w:sz w:val="20"/>
          <w:szCs w:val="20"/>
          <w:color w:val="auto"/>
        </w:rPr>
      </w:pPr>
    </w:p>
    <w:p>
      <w:pPr>
        <w:ind w:right="260" w:firstLine="438"/>
        <w:spacing w:after="0" w:line="233" w:lineRule="auto"/>
        <w:rPr>
          <w:sz w:val="20"/>
          <w:szCs w:val="20"/>
          <w:color w:val="auto"/>
        </w:rPr>
      </w:pPr>
      <w:r>
        <w:rPr>
          <w:rFonts w:ascii="Arial" w:cs="Arial" w:eastAsia="Arial" w:hAnsi="Arial"/>
          <w:sz w:val="14"/>
          <w:szCs w:val="14"/>
          <w:color w:val="auto"/>
        </w:rPr>
        <w:t>In April 2021, we formed PTSF, an unconsolidated limited partnership, organized as a Delaware limited liability partnership. We sold $81.4 million in investments to a wholly-owned subsidiary of PTSF in exchange for cash in the amount of $69.5 million and an $11.9 million equity interest in PTSF representing 23.08% of the total outstanding Class A Units of PTSF. We recognized $0.4 million of realized gain upon the formation of PTSF. As of September 30, 2021, our capital commitment of $15.3 million is fully funded and we hold 23.08% of the total outstanding Class A Units of PTSF and a 4.99% voting interest in the general partner which manages PTSF.</w:t>
      </w:r>
    </w:p>
    <w:p>
      <w:pPr>
        <w:spacing w:after="0" w:line="117" w:lineRule="exact"/>
        <w:rPr>
          <w:sz w:val="20"/>
          <w:szCs w:val="20"/>
          <w:color w:val="auto"/>
        </w:rPr>
      </w:pPr>
    </w:p>
    <w:p>
      <w:pPr>
        <w:jc w:val="both"/>
        <w:ind w:right="20" w:firstLine="456"/>
        <w:spacing w:after="0" w:line="283" w:lineRule="auto"/>
        <w:rPr>
          <w:sz w:val="20"/>
          <w:szCs w:val="20"/>
          <w:color w:val="auto"/>
        </w:rPr>
      </w:pPr>
      <w:r>
        <w:rPr>
          <w:rFonts w:ascii="Arial" w:cs="Arial" w:eastAsia="Arial" w:hAnsi="Arial"/>
          <w:sz w:val="12"/>
          <w:szCs w:val="12"/>
          <w:color w:val="auto"/>
        </w:rPr>
        <w:t>On August 20, 2021, we entered into equity distribution agreements (together, the “Equity Distribution Agreements”) with each of JMP Securities LLC and Raymond James &amp; Associates, Inc., as the sales agents, in connection with the sale of shares of our common stock, par value $0.001 per share (the “Common Stock”), with an aggregate offering price of up to $75 million under an at-the-market offering (the “ATM Program”). The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w:t>
      </w:r>
    </w:p>
    <w:p>
      <w:pPr>
        <w:spacing w:after="0" w:line="92"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During the three months ended September 30, 2021, we issued 108,654 shares of our Common Stock under the ATM Program at a weighted-average price of $12.91 per share, raising $1.4 million of gross proceeds. Net proceeds were $1.4 million after commissions to the Sales Agents on shares sold. We incurred $0.4 million of legal and other offering costs associated with establishing the ATM Program. As of September 30, 2021, we had $73.6 million available under the ATM Program.</w:t>
      </w:r>
    </w:p>
    <w:p>
      <w:pPr>
        <w:spacing w:after="0" w:line="115" w:lineRule="exact"/>
        <w:rPr>
          <w:sz w:val="20"/>
          <w:szCs w:val="20"/>
          <w:color w:val="auto"/>
        </w:rPr>
      </w:pPr>
    </w:p>
    <w:p>
      <w:pPr>
        <w:ind w:right="380" w:firstLine="438"/>
        <w:spacing w:after="0" w:line="335" w:lineRule="auto"/>
        <w:rPr>
          <w:sz w:val="20"/>
          <w:szCs w:val="20"/>
          <w:color w:val="auto"/>
        </w:rPr>
      </w:pPr>
      <w:r>
        <w:rPr>
          <w:rFonts w:ascii="Arial" w:cs="Arial" w:eastAsia="Arial" w:hAnsi="Arial"/>
          <w:sz w:val="12"/>
          <w:szCs w:val="12"/>
          <w:color w:val="auto"/>
        </w:rPr>
        <w:t>Through September 30, 2021, we issued 108,654 shares of our Common Stock under the ATM Program at a weighted-average price of $12.91, raising $1.4 million of gross proceeds. Net proceeds were $1.4 million after commissions to the Sales Agents on shares sold. We incurred $0.4 million of legal and other offering costs associated with establishing the ATM Program.</w:t>
      </w:r>
    </w:p>
    <w:p>
      <w:pPr>
        <w:spacing w:after="0" w:line="60"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We are operated by a person who has claimed an exclusion from the definition of the term “commodity pool operator” under the Commodity Exchange Act and, therefore, is not subject to registration or regulation as a commodity pool operator under the Commodity Exchange Act.</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2021</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 ESTIMATES</w:t>
      </w:r>
    </w:p>
    <w:p>
      <w:pPr>
        <w:spacing w:after="0" w:line="127" w:lineRule="exact"/>
        <w:rPr>
          <w:sz w:val="20"/>
          <w:szCs w:val="20"/>
          <w:color w:val="auto"/>
        </w:rPr>
      </w:pPr>
    </w:p>
    <w:p>
      <w:pPr>
        <w:ind w:right="40" w:firstLine="438"/>
        <w:spacing w:after="0" w:line="227" w:lineRule="auto"/>
        <w:rPr>
          <w:sz w:val="20"/>
          <w:szCs w:val="20"/>
          <w:color w:val="auto"/>
        </w:rPr>
      </w:pPr>
      <w:r>
        <w:rPr>
          <w:rFonts w:ascii="Arial" w:cs="Arial" w:eastAsia="Arial" w:hAnsi="Arial"/>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the global outbreak of the novel coronavirus during the first quarter of 2020,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8"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1" w:lineRule="exact"/>
        <w:rPr>
          <w:sz w:val="20"/>
          <w:szCs w:val="20"/>
          <w:color w:val="auto"/>
        </w:rPr>
      </w:pPr>
    </w:p>
    <w:p>
      <w:pPr>
        <w:ind w:left="920" w:right="20" w:hanging="359"/>
        <w:spacing w:after="0" w:line="253" w:lineRule="auto"/>
        <w:tabs>
          <w:tab w:leader="none" w:pos="9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203" w:lineRule="exact"/>
        <w:rPr>
          <w:rFonts w:ascii="Arial" w:cs="Arial" w:eastAsia="Arial" w:hAnsi="Arial"/>
          <w:sz w:val="14"/>
          <w:szCs w:val="14"/>
          <w:color w:val="auto"/>
        </w:rPr>
      </w:pPr>
    </w:p>
    <w:p>
      <w:pPr>
        <w:ind w:left="920" w:right="60" w:hanging="359"/>
        <w:spacing w:after="0" w:line="264" w:lineRule="auto"/>
        <w:tabs>
          <w:tab w:leader="none" w:pos="9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00" w:hanging="359"/>
        <w:spacing w:after="0" w:line="238" w:lineRule="auto"/>
        <w:tabs>
          <w:tab w:leader="none" w:pos="9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80" w:hanging="359"/>
        <w:spacing w:after="0" w:line="253" w:lineRule="auto"/>
        <w:tabs>
          <w:tab w:leader="none" w:pos="9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26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04" w:lineRule="exact"/>
        <w:rPr>
          <w:sz w:val="20"/>
          <w:szCs w:val="20"/>
          <w:color w:val="auto"/>
        </w:rPr>
      </w:pPr>
    </w:p>
    <w:p>
      <w:pPr>
        <w:ind w:right="60" w:firstLine="438"/>
        <w:spacing w:after="0" w:line="245"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16" w:lineRule="exact"/>
        <w:rPr>
          <w:sz w:val="20"/>
          <w:szCs w:val="20"/>
          <w:color w:val="auto"/>
        </w:rPr>
      </w:pPr>
    </w:p>
    <w:p>
      <w:pPr>
        <w:ind w:right="340" w:firstLine="438"/>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September 30, 2021, we had two portfolio companies on non-accrual, representing 2.7% and 2.6% of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4"/>
          <w:szCs w:val="14"/>
          <w:b w:val="1"/>
          <w:bCs w:val="1"/>
          <w:color w:val="auto"/>
        </w:rPr>
        <w:t>SEPTEMBER 30, 2021</w:t>
      </w:r>
    </w:p>
    <w:p>
      <w:pPr>
        <w:spacing w:after="0" w:line="273"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overall portfolio on a cost and fair value basis, respectively. As of September 30, 2020, we had three portfolio company on non-accrual, representing 2.1% and 1.8% of our overall portfolio on a cost and fair value basis, respectively.</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We have complied with the requirements of Subchapter M of the Code and expect to be treated as a RIC for federal income tax purposes. In this regard, we account for income taxes using the asset and liability method prescribed by ASC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federal income taxes. However, we may choose to retain a portion of our calendar year income, which may result in the imposition of an excise tax, or we may incur taxes through our taxable subsidiaries, including the Taxable Subsidiary. For the years ended September 30, 2021, 2020 and 2019, we recorded a provision for taxes of $0.4 million, $0.4 million and zero, respectively, pertaining to U.S. federal excise tax.</w:t>
      </w:r>
    </w:p>
    <w:p>
      <w:pPr>
        <w:spacing w:after="0" w:line="113" w:lineRule="exact"/>
        <w:rPr>
          <w:sz w:val="20"/>
          <w:szCs w:val="20"/>
          <w:color w:val="auto"/>
        </w:rPr>
      </w:pPr>
    </w:p>
    <w:p>
      <w:pPr>
        <w:jc w:val="both"/>
        <w:ind w:right="18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99"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02"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which was terminated on November 22, 2017,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460" w:hanging="204"/>
        <w:spacing w:after="0"/>
        <w:tabs>
          <w:tab w:leader="none" w:pos="460" w:val="left"/>
        </w:tabs>
        <w:numPr>
          <w:ilvl w:val="0"/>
          <w:numId w:val="5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rFonts w:ascii="Arial" w:cs="Arial" w:eastAsia="Arial" w:hAnsi="Arial"/>
          <w:sz w:val="14"/>
          <w:szCs w:val="14"/>
          <w:b w:val="1"/>
          <w:bCs w:val="1"/>
          <w:i w:val="1"/>
          <w:iCs w:val="1"/>
          <w:color w:val="auto"/>
        </w:rPr>
      </w:pPr>
    </w:p>
    <w:p>
      <w:pPr>
        <w:ind w:left="44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22" w:lineRule="exact"/>
        <w:rPr>
          <w:rFonts w:ascii="Arial" w:cs="Arial" w:eastAsia="Arial" w:hAnsi="Arial"/>
          <w:sz w:val="14"/>
          <w:szCs w:val="14"/>
          <w:b w:val="1"/>
          <w:bCs w:val="1"/>
          <w:i w:val="1"/>
          <w:iCs w:val="1"/>
          <w:color w:val="auto"/>
        </w:rPr>
      </w:pPr>
    </w:p>
    <w:p>
      <w:pPr>
        <w:ind w:left="920" w:hanging="359"/>
        <w:spacing w:after="0"/>
        <w:tabs>
          <w:tab w:leader="none" w:pos="920" w:val="left"/>
        </w:tabs>
        <w:numPr>
          <w:ilvl w:val="1"/>
          <w:numId w:val="59"/>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1"/>
          <w:numId w:val="59"/>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04"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23" w:lineRule="exact"/>
        <w:rPr>
          <w:sz w:val="20"/>
          <w:szCs w:val="20"/>
          <w:color w:val="auto"/>
        </w:rPr>
      </w:pPr>
    </w:p>
    <w:p>
      <w:pPr>
        <w:jc w:val="both"/>
        <w:ind w:firstLine="438"/>
        <w:spacing w:after="0" w:line="233" w:lineRule="auto"/>
        <w:rPr>
          <w:sz w:val="20"/>
          <w:szCs w:val="20"/>
          <w:color w:val="auto"/>
        </w:rPr>
      </w:pPr>
      <w:r>
        <w:rPr>
          <w:rFonts w:ascii="Arial" w:cs="Arial" w:eastAsia="Arial" w:hAnsi="Arial"/>
          <w:sz w:val="14"/>
          <w:szCs w:val="14"/>
          <w:color w:val="auto"/>
        </w:rPr>
        <w:t>As permitted under Regulation S-X and as explained by ASC paragraph 946-810-45-3, PennantPark Floating Rate Capital Ltd. will generally not consolidate its investment in a company other than an investment company wholly-owned subsidiary or a controlled operating company whose business consists of providing services to us. Accordingly, we have consolidated the results of our taxable subsidiaries, including the Taxable Subsidiary, Funding I and the Securitization Issuer in our Consolidated Financial Statements. We do not consolidate our non-controlling interest in PSSL or PTSF. See further description of our investment in PSSL in Note 4.</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13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its assets and such assets are not intended to be available to the creditors of PennantPark Floating Rate Capital Ltd. or any of its affiliates.</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(h) Recent Accounting Pronouncements</w:t>
      </w:r>
    </w:p>
    <w:p>
      <w:pPr>
        <w:spacing w:after="0" w:line="136" w:lineRule="exact"/>
        <w:rPr>
          <w:sz w:val="20"/>
          <w:szCs w:val="20"/>
          <w:color w:val="auto"/>
        </w:rPr>
      </w:pPr>
    </w:p>
    <w:p>
      <w:pPr>
        <w:ind w:right="140" w:firstLine="438"/>
        <w:spacing w:after="0" w:line="255" w:lineRule="auto"/>
        <w:rPr>
          <w:sz w:val="20"/>
          <w:szCs w:val="20"/>
          <w:color w:val="auto"/>
        </w:rPr>
      </w:pPr>
      <w:r>
        <w:rPr>
          <w:rFonts w:ascii="Arial" w:cs="Arial" w:eastAsia="Arial" w:hAnsi="Arial"/>
          <w:sz w:val="13"/>
          <w:szCs w:val="13"/>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evaluating the potential impact that the adoption of this guidance will have on the Company’s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2021.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2021</w:t>
      </w:r>
    </w:p>
    <w:p>
      <w:pPr>
        <w:spacing w:after="0" w:line="273" w:lineRule="exact"/>
        <w:rPr>
          <w:sz w:val="20"/>
          <w:szCs w:val="20"/>
          <w:color w:val="auto"/>
        </w:rPr>
      </w:pPr>
    </w:p>
    <w:p>
      <w:pPr>
        <w:ind w:right="480"/>
        <w:spacing w:after="0" w:line="253" w:lineRule="auto"/>
        <w:rPr>
          <w:sz w:val="20"/>
          <w:szCs w:val="20"/>
          <w:color w:val="auto"/>
        </w:rPr>
      </w:pPr>
      <w:r>
        <w:rPr>
          <w:rFonts w:ascii="Arial" w:cs="Arial" w:eastAsia="Arial" w:hAnsi="Arial"/>
          <w:sz w:val="14"/>
          <w:szCs w:val="14"/>
          <w:color w:val="auto"/>
        </w:rPr>
        <w:t>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93"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2021, 2020 and 2019, the Investment Adviser earned a base management fee of $10.7 million, $11.4 million and $10.2 million, respectively, from us.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39"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w:t>
      </w:r>
    </w:p>
    <w:p>
      <w:pPr>
        <w:spacing w:after="0" w:line="7" w:lineRule="exact"/>
        <w:rPr>
          <w:sz w:val="20"/>
          <w:szCs w:val="20"/>
          <w:color w:val="auto"/>
        </w:rPr>
      </w:pPr>
    </w:p>
    <w:p>
      <w:pPr>
        <w:ind w:right="120"/>
        <w:spacing w:after="0" w:line="237" w:lineRule="auto"/>
        <w:rPr>
          <w:sz w:val="20"/>
          <w:szCs w:val="20"/>
          <w:color w:val="auto"/>
        </w:rPr>
      </w:pPr>
      <w:r>
        <w:rPr>
          <w:rFonts w:ascii="Arial" w:cs="Arial" w:eastAsia="Arial" w:hAnsi="Arial"/>
          <w:sz w:val="14"/>
          <w:szCs w:val="14"/>
          <w:color w:val="auto"/>
        </w:rPr>
        <w:t>2.9167% in any calendar quarter. These calculations are pro-rated for any share issuances or repurchases during the relevant quarter, if applicable. For the years ended September 30, 2021, 2020 and 2019, the Investment Adviser earned $5.3 million, $9.3 million and $7.6 million, respectively, in incentive fees on net investment income from us.</w:t>
      </w:r>
    </w:p>
    <w:p>
      <w:pPr>
        <w:spacing w:after="0" w:line="102" w:lineRule="exact"/>
        <w:rPr>
          <w:sz w:val="20"/>
          <w:szCs w:val="20"/>
          <w:color w:val="auto"/>
        </w:rPr>
      </w:pPr>
    </w:p>
    <w:p>
      <w:pPr>
        <w:ind w:right="160" w:firstLine="438"/>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2021, 2020 and 2019, the Investment Adviser did not accrued an incentive fee on capital gains as calculated under the Investment Management Agreement (as described above).</w:t>
      </w:r>
    </w:p>
    <w:p>
      <w:pPr>
        <w:spacing w:after="0" w:line="107" w:lineRule="exact"/>
        <w:rPr>
          <w:sz w:val="20"/>
          <w:szCs w:val="20"/>
          <w:color w:val="auto"/>
        </w:rPr>
      </w:pPr>
    </w:p>
    <w:p>
      <w:pPr>
        <w:ind w:right="80" w:firstLine="438"/>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2021, 2020 and 2019 was zero, zero and $(1.4) million, respectively.</w:t>
      </w:r>
    </w:p>
    <w:p>
      <w:pPr>
        <w:spacing w:after="0" w:line="118"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the directors who are not interested persons of us, in February 2021.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2021, 2020 and 2019, we reimbursed the Investment Adviser approximately $1.1 million, $1.6 million and $1.9 million, respectively, including expenses the Investment Adviser incurred on behalf of the Administrator, for services described above.</w:t>
      </w:r>
    </w:p>
    <w:p>
      <w:pPr>
        <w:spacing w:after="0" w:line="98"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During the years ended September 30, 2021, 2020 and 2019, the Company made no purchases from and sold zero, $15.0 million and zero in total investments to an affiliated fund managed by our Investment Adviser in accordance with, and pursuant to procedures adopted under, Rule 17a-7 of the 1940 Act. Net realized losses on those sales for the same periods amounted to zero, $1.0 million and zero, respectively.</w:t>
      </w:r>
    </w:p>
    <w:p>
      <w:pPr>
        <w:spacing w:after="0" w:line="115" w:lineRule="exact"/>
        <w:rPr>
          <w:sz w:val="20"/>
          <w:szCs w:val="20"/>
          <w:color w:val="auto"/>
        </w:rPr>
      </w:pPr>
    </w:p>
    <w:p>
      <w:pPr>
        <w:ind w:right="380" w:firstLine="438"/>
        <w:spacing w:after="0" w:line="253" w:lineRule="auto"/>
        <w:rPr>
          <w:sz w:val="20"/>
          <w:szCs w:val="20"/>
          <w:color w:val="auto"/>
        </w:rPr>
      </w:pPr>
      <w:r>
        <w:rPr>
          <w:rFonts w:ascii="Arial" w:cs="Arial" w:eastAsia="Arial" w:hAnsi="Arial"/>
          <w:sz w:val="14"/>
          <w:szCs w:val="14"/>
          <w:color w:val="auto"/>
        </w:rPr>
        <w:t>For the years ended September 30, 2021, 2020 and 2019, we sold $285.8 million, $86.7 million and $89.6 million investments, respectively, in investments to PSSL at fair value and recognized $0.4 million, $0.5 million and $0.5 million of net realized gains for the same periods, respectively.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For the six months ended September 30, 2021, we sold $81.4 Million in investments to PTSF at fair value and recognized $0.5 million of net realized gains.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27"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Purchases of investments, including PIK interest, for the years ended September 30, 2021, 2020 and 2019 totaled $664.1 million, $439.2 million and $641.7 million, respectively. Sales and repayments of investments for the same periods totaled $702.1 million, $396.9 million and $527.3 million, respectively.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20" w:type="dxa"/>
            <w:vAlign w:val="bottom"/>
          </w:tcPr>
          <w:p>
            <w:pPr>
              <w:spacing w:after="0"/>
              <w:rPr>
                <w:sz w:val="14"/>
                <w:szCs w:val="14"/>
                <w:color w:val="auto"/>
              </w:rPr>
            </w:pPr>
          </w:p>
        </w:tc>
        <w:tc>
          <w:tcPr>
            <w:tcW w:w="312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2021</w:t>
            </w:r>
          </w:p>
        </w:tc>
        <w:tc>
          <w:tcPr>
            <w:tcW w:w="320" w:type="dxa"/>
            <w:vAlign w:val="bottom"/>
          </w:tcPr>
          <w:p>
            <w:pPr>
              <w:spacing w:after="0"/>
              <w:rPr>
                <w:sz w:val="14"/>
                <w:szCs w:val="14"/>
                <w:color w:val="auto"/>
              </w:rPr>
            </w:pPr>
          </w:p>
        </w:tc>
        <w:tc>
          <w:tcPr>
            <w:tcW w:w="2940" w:type="dxa"/>
            <w:vAlign w:val="bottom"/>
            <w:gridSpan w:val="6"/>
          </w:tcPr>
          <w:p>
            <w:pPr>
              <w:ind w:left="64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55"/>
        </w:trPr>
        <w:tc>
          <w:tcPr>
            <w:tcW w:w="45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Cost</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795,263,521</w:t>
            </w:r>
          </w:p>
        </w:tc>
        <w:tc>
          <w:tcPr>
            <w:tcW w:w="2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793,543,269</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861,283,212</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843,236,998</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First lien in PSSL</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140,875,000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140,875,000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125,378,750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125,378,750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8,936,756</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8,949,112</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31,627,520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29,911,030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Equity</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65,185,730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93,395,916</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44,928,206</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48,491,115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 interests in PSSL</w:t>
            </w: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60,375,000</w:t>
            </w:r>
          </w:p>
        </w:tc>
        <w:tc>
          <w:tcPr>
            <w:tcW w:w="28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44,856,115</w:t>
            </w:r>
          </w:p>
        </w:tc>
        <w:tc>
          <w:tcPr>
            <w:tcW w:w="28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53,733,750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39,910,574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1,070,636,007</w:t>
            </w:r>
          </w:p>
        </w:tc>
        <w:tc>
          <w:tcPr>
            <w:tcW w:w="28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1,081,619,412</w:t>
            </w:r>
          </w:p>
        </w:tc>
        <w:tc>
          <w:tcPr>
            <w:tcW w:w="2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1,116,951,438</w:t>
            </w:r>
          </w:p>
        </w:tc>
        <w:tc>
          <w:tcPr>
            <w:tcW w:w="26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1,086,928,467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49,825,527</w:t>
            </w:r>
          </w:p>
        </w:tc>
        <w:tc>
          <w:tcPr>
            <w:tcW w:w="28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49,825,527</w:t>
            </w:r>
          </w:p>
        </w:tc>
        <w:tc>
          <w:tcPr>
            <w:tcW w:w="280" w:type="dxa"/>
            <w:vAlign w:val="bottom"/>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57,534,421</w:t>
            </w:r>
          </w:p>
        </w:tc>
        <w:tc>
          <w:tcPr>
            <w:tcW w:w="2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57,511,928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1,120,461,534</w:t>
            </w:r>
          </w:p>
        </w:tc>
        <w:tc>
          <w:tcPr>
            <w:tcW w:w="28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1,131,444,939</w:t>
            </w:r>
          </w:p>
        </w:tc>
        <w:tc>
          <w:tcPr>
            <w:tcW w:w="280" w:type="dxa"/>
            <w:vAlign w:val="bottom"/>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1,174,485,859</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1,144,440,395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160" w:type="dxa"/>
            <w:vAlign w:val="bottom"/>
            <w:tcBorders>
              <w:bottom w:val="single" w:sz="8" w:color="CCECFF"/>
            </w:tcBorders>
          </w:tcPr>
          <w:p>
            <w:pPr>
              <w:spacing w:after="0"/>
              <w:rPr>
                <w:sz w:val="14"/>
                <w:szCs w:val="1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 xml:space="preserve">September 30, 2021 </w:t>
            </w:r>
            <w:r>
              <w:rPr>
                <w:rFonts w:ascii="Arial" w:cs="Arial" w:eastAsia="Arial" w:hAnsi="Arial"/>
                <w:sz w:val="12"/>
                <w:szCs w:val="12"/>
                <w:b w:val="1"/>
                <w:bCs w:val="1"/>
                <w:color w:val="auto"/>
                <w:w w:val="96"/>
              </w:rPr>
              <w:t>(1)</w:t>
            </w:r>
          </w:p>
        </w:tc>
        <w:tc>
          <w:tcPr>
            <w:tcW w:w="320" w:type="dxa"/>
            <w:vAlign w:val="bottom"/>
            <w:tcBorders>
              <w:bottom w:val="single" w:sz="8" w:color="CCECFF"/>
            </w:tcBorders>
          </w:tcPr>
          <w:p>
            <w:pPr>
              <w:spacing w:after="0"/>
              <w:rPr>
                <w:sz w:val="14"/>
                <w:szCs w:val="14"/>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 xml:space="preserve">September 30, 2020 </w:t>
            </w:r>
            <w:r>
              <w:rPr>
                <w:rFonts w:ascii="Arial" w:cs="Arial" w:eastAsia="Arial" w:hAnsi="Arial"/>
                <w:sz w:val="12"/>
                <w:szCs w:val="12"/>
                <w:b w:val="1"/>
                <w:bCs w:val="1"/>
                <w:color w:val="auto"/>
                <w:w w:val="96"/>
              </w:rPr>
              <w:t>(1)</w:t>
            </w:r>
          </w:p>
        </w:tc>
        <w:tc>
          <w:tcPr>
            <w:tcW w:w="140" w:type="dxa"/>
            <w:vAlign w:val="bottom"/>
            <w:tcBorders>
              <w:bottom w:val="single" w:sz="8" w:color="CCECFF"/>
            </w:tcBorders>
          </w:tcPr>
          <w:p>
            <w:pPr>
              <w:spacing w:after="0"/>
              <w:rPr>
                <w:sz w:val="14"/>
                <w:szCs w:val="14"/>
                <w:color w:val="auto"/>
              </w:rPr>
            </w:pPr>
          </w:p>
        </w:tc>
      </w:tr>
      <w:tr>
        <w:trPr>
          <w:trHeight w:val="156"/>
        </w:trPr>
        <w:tc>
          <w:tcPr>
            <w:tcW w:w="75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Media</w:t>
            </w:r>
          </w:p>
        </w:tc>
        <w:tc>
          <w:tcPr>
            <w:tcW w:w="160" w:type="dxa"/>
            <w:vAlign w:val="bottom"/>
            <w:shd w:val="clear" w:color="auto" w:fill="CCECFF"/>
          </w:tcPr>
          <w:p>
            <w:pPr>
              <w:spacing w:after="0"/>
              <w:rPr>
                <w:sz w:val="13"/>
                <w:szCs w:val="13"/>
                <w:color w:val="auto"/>
              </w:rPr>
            </w:pPr>
          </w:p>
        </w:tc>
        <w:tc>
          <w:tcPr>
            <w:tcW w:w="1880" w:type="dxa"/>
            <w:vAlign w:val="bottom"/>
            <w:gridSpan w:val="2"/>
            <w:shd w:val="clear" w:color="auto" w:fill="CCECFF"/>
          </w:tcPr>
          <w:p>
            <w:pPr>
              <w:jc w:val="right"/>
              <w:ind w:right="200"/>
              <w:spacing w:after="0" w:line="155" w:lineRule="exact"/>
              <w:rPr>
                <w:sz w:val="20"/>
                <w:szCs w:val="20"/>
                <w:color w:val="auto"/>
              </w:rPr>
            </w:pPr>
            <w:r>
              <w:rPr>
                <w:rFonts w:ascii="Arial" w:cs="Arial" w:eastAsia="Arial" w:hAnsi="Arial"/>
                <w:sz w:val="14"/>
                <w:szCs w:val="14"/>
                <w:color w:val="auto"/>
              </w:rPr>
              <w:t>9%</w:t>
            </w:r>
          </w:p>
        </w:tc>
        <w:tc>
          <w:tcPr>
            <w:tcW w:w="168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5%</w:t>
            </w: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Professional Services</w:t>
            </w:r>
          </w:p>
        </w:tc>
        <w:tc>
          <w:tcPr>
            <w:tcW w:w="1560" w:type="dxa"/>
            <w:vAlign w:val="bottom"/>
          </w:tcPr>
          <w:p>
            <w:pPr>
              <w:jc w:val="right"/>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Personal Products</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Capital Equipment</w:t>
            </w:r>
          </w:p>
        </w:tc>
        <w:tc>
          <w:tcPr>
            <w:tcW w:w="156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Commercial Services &amp; Supplies</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IT Services</w:t>
            </w:r>
          </w:p>
        </w:tc>
        <w:tc>
          <w:tcPr>
            <w:tcW w:w="156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Media: Diversified and Production</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Aerospace and Defense</w:t>
            </w:r>
          </w:p>
        </w:tc>
        <w:tc>
          <w:tcPr>
            <w:tcW w:w="156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Healthcare Technology</w:t>
            </w:r>
          </w:p>
        </w:tc>
        <w:tc>
          <w:tcPr>
            <w:tcW w:w="156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High Tech Industries</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Construction and Building</w:t>
            </w:r>
          </w:p>
        </w:tc>
        <w:tc>
          <w:tcPr>
            <w:tcW w:w="156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Electronic Equipment, Instruments, and Components</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Automobiles</w:t>
            </w: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Chemicals, Plastics and Rubber</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Consumer Services</w:t>
            </w: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Diversified Consumer Services</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Diversified Financial Services</w:t>
            </w: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Financial Services</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6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Healthcare Equipment and Supplies</w:t>
            </w: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Hotels, Restaurants and Leisure</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Media: Advertising, Printing and Publishing</w:t>
            </w: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Media: Broadcasting and Subscription</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Wholesale</w:t>
            </w: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Banking, Finance, Insurance &amp; Real Estate</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Building Products</w:t>
            </w:r>
          </w:p>
        </w:tc>
        <w:tc>
          <w:tcPr>
            <w:tcW w:w="156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Construction &amp; Engineering</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Energy Equipment and Services</w:t>
            </w:r>
          </w:p>
        </w:tc>
        <w:tc>
          <w:tcPr>
            <w:tcW w:w="156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Healthcare Providers and Services</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Hotel, Gaming and Leisure</w:t>
            </w:r>
          </w:p>
        </w:tc>
        <w:tc>
          <w:tcPr>
            <w:tcW w:w="156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Insurance</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Beverage, Food and Tobacco</w:t>
            </w:r>
          </w:p>
        </w:tc>
        <w:tc>
          <w:tcPr>
            <w:tcW w:w="1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Consumer Goods: Durable</w:t>
            </w:r>
          </w:p>
        </w:tc>
        <w:tc>
          <w:tcPr>
            <w:tcW w:w="1880" w:type="dxa"/>
            <w:vAlign w:val="bottom"/>
            <w:gridSpan w:val="2"/>
            <w:shd w:val="clear" w:color="auto" w:fill="CCECFF"/>
          </w:tcPr>
          <w:p>
            <w:pPr>
              <w:jc w:val="right"/>
              <w:ind w:right="34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Consumer Goods: Non-Durable</w:t>
            </w:r>
          </w:p>
        </w:tc>
        <w:tc>
          <w:tcPr>
            <w:tcW w:w="1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Environmental Industries</w:t>
            </w:r>
          </w:p>
        </w:tc>
        <w:tc>
          <w:tcPr>
            <w:tcW w:w="1880" w:type="dxa"/>
            <w:vAlign w:val="bottom"/>
            <w:gridSpan w:val="2"/>
            <w:shd w:val="clear" w:color="auto" w:fill="CCECFF"/>
          </w:tcPr>
          <w:p>
            <w:pPr>
              <w:jc w:val="right"/>
              <w:ind w:right="34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Healthcare and Pharmaceuticals</w:t>
            </w:r>
          </w:p>
        </w:tc>
        <w:tc>
          <w:tcPr>
            <w:tcW w:w="1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Retail</w:t>
            </w:r>
          </w:p>
        </w:tc>
        <w:tc>
          <w:tcPr>
            <w:tcW w:w="1880" w:type="dxa"/>
            <w:vAlign w:val="bottom"/>
            <w:gridSpan w:val="2"/>
            <w:shd w:val="clear" w:color="auto" w:fill="CCECFF"/>
          </w:tcPr>
          <w:p>
            <w:pPr>
              <w:jc w:val="right"/>
              <w:ind w:right="34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3"/>
          </w:tcPr>
          <w:p>
            <w:pPr>
              <w:spacing w:after="0"/>
              <w:rPr>
                <w:sz w:val="20"/>
                <w:szCs w:val="20"/>
                <w:color w:val="auto"/>
              </w:rPr>
            </w:pPr>
            <w:r>
              <w:rPr>
                <w:rFonts w:ascii="Arial" w:cs="Arial" w:eastAsia="Arial" w:hAnsi="Arial"/>
                <w:sz w:val="14"/>
                <w:szCs w:val="14"/>
                <w:color w:val="auto"/>
              </w:rPr>
              <w:t>Telecommunications</w:t>
            </w:r>
          </w:p>
        </w:tc>
        <w:tc>
          <w:tcPr>
            <w:tcW w:w="1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All Other</w:t>
            </w:r>
          </w:p>
        </w:tc>
        <w:tc>
          <w:tcPr>
            <w:tcW w:w="1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55"/>
        </w:trPr>
        <w:tc>
          <w:tcPr>
            <w:tcW w:w="7680" w:type="dxa"/>
            <w:vAlign w:val="bottom"/>
            <w:gridSpan w:val="3"/>
          </w:tcPr>
          <w:p>
            <w:pPr>
              <w:spacing w:after="0" w:line="155" w:lineRule="exact"/>
              <w:rPr>
                <w:sz w:val="20"/>
                <w:szCs w:val="20"/>
                <w:color w:val="auto"/>
              </w:rPr>
            </w:pPr>
            <w:r>
              <w:rPr>
                <w:rFonts w:ascii="Arial" w:cs="Arial" w:eastAsia="Arial" w:hAnsi="Arial"/>
                <w:sz w:val="14"/>
                <w:szCs w:val="14"/>
                <w:color w:val="auto"/>
              </w:rPr>
              <w:t>Total</w:t>
            </w:r>
          </w:p>
        </w:tc>
        <w:tc>
          <w:tcPr>
            <w:tcW w:w="18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100%</w:t>
            </w:r>
          </w:p>
        </w:tc>
        <w:tc>
          <w:tcPr>
            <w:tcW w:w="16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r>
      <w:tr>
        <w:trPr>
          <w:trHeight w:val="20"/>
        </w:trPr>
        <w:tc>
          <w:tcPr>
            <w:tcW w:w="2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5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r>
    </w:tbl>
    <w:p>
      <w:pPr>
        <w:ind w:left="380" w:hanging="372"/>
        <w:spacing w:after="0" w:line="190" w:lineRule="auto"/>
        <w:tabs>
          <w:tab w:leader="none" w:pos="380" w:val="left"/>
        </w:tabs>
        <w:numPr>
          <w:ilvl w:val="0"/>
          <w:numId w:val="60"/>
        </w:numPr>
        <w:rPr>
          <w:rFonts w:ascii="Arial" w:cs="Arial" w:eastAsia="Arial" w:hAnsi="Arial"/>
          <w:sz w:val="20"/>
          <w:szCs w:val="20"/>
          <w:b w:val="1"/>
          <w:bCs w:val="1"/>
          <w:color w:val="auto"/>
          <w:vertAlign w:val="superscript"/>
        </w:rPr>
      </w:pPr>
      <w:r>
        <w:rPr>
          <w:rFonts w:ascii="Arial" w:cs="Arial" w:eastAsia="Arial" w:hAnsi="Arial"/>
          <w:sz w:val="12"/>
          <w:szCs w:val="12"/>
          <w:color w:val="auto"/>
        </w:rPr>
        <w:t>Excludes investments in PSSL.</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September 30, 2021 and 2020, PSSL had total assets of $603.6 million and $406.4 million, respectively. As of the same dates, we and Kemper had remaining commitments to fund first lien secured debt and equity interests in PSSL in an aggregate amount of $48.0 million and $25.3 million, respectively. PSSL invests in portfolio companies in the same industries in which we may directly invest.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2021</w:t>
      </w:r>
    </w:p>
    <w:p>
      <w:pPr>
        <w:spacing w:after="0" w:line="354"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September 30, 2021 and 2020, we and Kemper owned 87.5% and 12.5%, respectively, of each of the outstanding first lien secured debt and equity interests. As of the same dates, our investment made in PSSL consisted of first lien secured debt of $140.9 million (additional $29.4 million unfunded) and $125.4 million (additional $15.5 million unfunded), respectively, and equity interests of $60.4 million (additional $12.6 million unfunded) and $53.7 million (additional $6.6 million unfunded), respectively.</w:t>
      </w:r>
    </w:p>
    <w:p>
      <w:pPr>
        <w:spacing w:after="0" w:line="117"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Additionally, PSSL has entered into a $155.0 million senior secured revolving credit facility which bears interest at LIBOR (or an alternative risk-free floating interest rate index) plus 260 basis points, or the PSSL Credit Facility 2, with Ally Bank through its wholly-owned subsidiary, PennantPark Senior Secured Loan Facility LLC II, or PSSL Subsidiary II, subject to leverage and borrowing base restrictions.</w:t>
      </w:r>
    </w:p>
    <w:p>
      <w:pPr>
        <w:spacing w:after="0" w:line="115"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September 30, 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September 30, 2020</w:t>
            </w:r>
          </w:p>
        </w:tc>
        <w:tc>
          <w:tcPr>
            <w:tcW w:w="20" w:type="dxa"/>
            <w:vAlign w:val="bottom"/>
          </w:tcPr>
          <w:p>
            <w:pPr>
              <w:spacing w:after="0"/>
              <w:rPr>
                <w:sz w:val="14"/>
                <w:szCs w:val="14"/>
                <w:color w:val="auto"/>
              </w:rPr>
            </w:pPr>
          </w:p>
        </w:tc>
      </w:tr>
      <w:tr>
        <w:trPr>
          <w:trHeight w:val="156"/>
        </w:trPr>
        <w:tc>
          <w:tcPr>
            <w:tcW w:w="45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31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564,783,128</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392,986,090</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Weighted average cost yield on income producing investments</w:t>
            </w: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6.8%</w:t>
            </w: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3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3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18,932,630</w:t>
            </w:r>
          </w:p>
        </w:tc>
        <w:tc>
          <w:tcPr>
            <w:tcW w:w="220" w:type="dxa"/>
            <w:vAlign w:val="bottom"/>
          </w:tcPr>
          <w:p>
            <w:pPr>
              <w:spacing w:after="0"/>
              <w:rPr>
                <w:sz w:val="14"/>
                <w:szCs w:val="14"/>
                <w:color w:val="auto"/>
              </w:rPr>
            </w:pP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20,614,860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3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84,287,460</w:t>
            </w:r>
          </w:p>
        </w:tc>
        <w:tc>
          <w:tcPr>
            <w:tcW w:w="220" w:type="dxa"/>
            <w:vAlign w:val="bottom"/>
            <w:shd w:val="clear" w:color="auto" w:fill="CCECFF"/>
          </w:tcPr>
          <w:p>
            <w:pPr>
              <w:spacing w:after="0"/>
              <w:rPr>
                <w:sz w:val="14"/>
                <w:szCs w:val="14"/>
                <w:color w:val="auto"/>
              </w:rPr>
            </w:pPr>
          </w:p>
        </w:tc>
        <w:tc>
          <w:tcPr>
            <w:tcW w:w="220" w:type="dxa"/>
            <w:vAlign w:val="bottom"/>
            <w:gridSpan w:val="2"/>
            <w:shd w:val="clear" w:color="auto" w:fill="CCECFF"/>
          </w:tcPr>
          <w:p>
            <w:pPr>
              <w:jc w:val="right"/>
              <w:ind w:right="9"/>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93,320,993</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379"/>
        </w:trPr>
        <w:tc>
          <w:tcPr>
            <w:tcW w:w="4580" w:type="dxa"/>
            <w:vAlign w:val="bottom"/>
          </w:tcPr>
          <w:p>
            <w:pPr>
              <w:spacing w:after="0"/>
              <w:rPr>
                <w:sz w:val="24"/>
                <w:szCs w:val="24"/>
                <w:color w:val="auto"/>
              </w:rPr>
            </w:pPr>
          </w:p>
        </w:tc>
        <w:tc>
          <w:tcPr>
            <w:tcW w:w="3100" w:type="dxa"/>
            <w:vAlign w:val="bottom"/>
          </w:tcPr>
          <w:p>
            <w:pPr>
              <w:jc w:val="right"/>
              <w:ind w:right="1908"/>
              <w:spacing w:after="0"/>
              <w:rPr>
                <w:sz w:val="20"/>
                <w:szCs w:val="20"/>
                <w:color w:val="auto"/>
              </w:rPr>
            </w:pPr>
            <w:r>
              <w:rPr>
                <w:rFonts w:ascii="Arial" w:cs="Arial" w:eastAsia="Arial" w:hAnsi="Arial"/>
                <w:sz w:val="14"/>
                <w:szCs w:val="14"/>
                <w:color w:val="auto"/>
              </w:rPr>
              <w:t>78</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58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0" w:name="page81"/>
    <w:bookmarkEnd w:id="8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200" w:lineRule="exact"/>
        <w:rPr>
          <w:sz w:val="20"/>
          <w:szCs w:val="20"/>
          <w:color w:val="auto"/>
        </w:rPr>
      </w:pPr>
    </w:p>
    <w:p>
      <w:pPr>
        <w:spacing w:after="0" w:line="30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September 30, 2021: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10"/>
                <w:szCs w:val="10"/>
                <w:color w:val="auto"/>
              </w:rPr>
            </w:pPr>
          </w:p>
        </w:tc>
        <w:tc>
          <w:tcPr>
            <w:tcW w:w="9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Maturity</w:t>
            </w: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Coupon</w:t>
            </w:r>
          </w:p>
        </w:tc>
        <w:tc>
          <w:tcPr>
            <w:tcW w:w="14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Cost</w:t>
            </w: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9"/>
                <w:szCs w:val="9"/>
                <w:b w:val="1"/>
                <w:bCs w:val="1"/>
                <w:color w:val="auto"/>
              </w:rPr>
              <w:t>(2)</w:t>
            </w:r>
          </w:p>
        </w:tc>
      </w:tr>
      <w:tr>
        <w:trPr>
          <w:trHeight w:val="128"/>
        </w:trPr>
        <w:tc>
          <w:tcPr>
            <w:tcW w:w="30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First Lien Secured Debt - 1,088.%</w:t>
            </w: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Ad.net Acquisition,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05/06/2026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8,977,500</w:t>
            </w:r>
          </w:p>
        </w:tc>
        <w:tc>
          <w:tcPr>
            <w:tcW w:w="3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8,851,554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8,842,838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Altamira Technologies,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07/24/2025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L+700</w:t>
            </w:r>
          </w:p>
        </w:tc>
        <w:tc>
          <w:tcPr>
            <w:tcW w:w="680" w:type="dxa"/>
            <w:vAlign w:val="bottom"/>
          </w:tcPr>
          <w:p>
            <w:pPr>
              <w:jc w:val="right"/>
              <w:spacing w:after="0"/>
              <w:rPr>
                <w:sz w:val="20"/>
                <w:szCs w:val="20"/>
                <w:color w:val="auto"/>
              </w:rPr>
            </w:pPr>
            <w:r>
              <w:rPr>
                <w:rFonts w:ascii="Arial" w:cs="Arial" w:eastAsia="Arial" w:hAnsi="Arial"/>
                <w:sz w:val="11"/>
                <w:szCs w:val="11"/>
                <w:color w:val="auto"/>
              </w:rPr>
              <w:t>5,525,093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5,375,682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5,179,775</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American Insulated Glass,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12/21/2023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Building Products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5,720,691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5,653,291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5,663,484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Apex Service Partners,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07/31/2025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L+525</w:t>
            </w:r>
          </w:p>
        </w:tc>
        <w:tc>
          <w:tcPr>
            <w:tcW w:w="680" w:type="dxa"/>
            <w:vAlign w:val="bottom"/>
          </w:tcPr>
          <w:p>
            <w:pPr>
              <w:jc w:val="right"/>
              <w:spacing w:after="0"/>
              <w:rPr>
                <w:sz w:val="20"/>
                <w:szCs w:val="20"/>
                <w:color w:val="auto"/>
              </w:rPr>
            </w:pPr>
            <w:r>
              <w:rPr>
                <w:rFonts w:ascii="Arial" w:cs="Arial" w:eastAsia="Arial" w:hAnsi="Arial"/>
                <w:sz w:val="11"/>
                <w:szCs w:val="11"/>
                <w:color w:val="auto"/>
              </w:rPr>
              <w:t>1,020,636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1,020,636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1,010,430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Apex Service Partners, LLC Term Loan B</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07/31/2025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2,222,284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2,222,284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2,200,061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Apex Service Partners, LLC Term Loan 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07/31/2025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L+525</w:t>
            </w:r>
          </w:p>
        </w:tc>
        <w:tc>
          <w:tcPr>
            <w:tcW w:w="680" w:type="dxa"/>
            <w:vAlign w:val="bottom"/>
          </w:tcPr>
          <w:p>
            <w:pPr>
              <w:jc w:val="right"/>
              <w:spacing w:after="0"/>
              <w:rPr>
                <w:sz w:val="20"/>
                <w:szCs w:val="20"/>
                <w:color w:val="auto"/>
              </w:rPr>
            </w:pPr>
            <w:r>
              <w:rPr>
                <w:rFonts w:ascii="Arial" w:cs="Arial" w:eastAsia="Arial" w:hAnsi="Arial"/>
                <w:sz w:val="11"/>
                <w:szCs w:val="11"/>
                <w:color w:val="auto"/>
              </w:rPr>
              <w:t>4,173,913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4,103,292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4,132,174</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Applied Technical Services,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12/29/2026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4,511,364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4,419,019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4,421,136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By Light Professional IT Services,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05/16/2022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12,879,690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12,868,714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12,879,690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11/14/2023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9.50%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L+850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12,281,867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12,231,080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11,980,961</w:t>
            </w:r>
          </w:p>
        </w:tc>
        <w:tc>
          <w:tcPr>
            <w:tcW w:w="120" w:type="dxa"/>
            <w:vAlign w:val="bottom"/>
            <w:shd w:val="clear" w:color="auto" w:fill="CCECFF"/>
          </w:tcPr>
          <w:p>
            <w:pPr>
              <w:spacing w:after="0"/>
              <w:rPr>
                <w:sz w:val="11"/>
                <w:szCs w:val="11"/>
                <w:color w:val="auto"/>
              </w:rPr>
            </w:pPr>
          </w:p>
        </w:tc>
      </w:tr>
      <w:tr>
        <w:trPr>
          <w:trHeight w:val="135"/>
        </w:trPr>
        <w:tc>
          <w:tcPr>
            <w:tcW w:w="21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(PIK 9.50%)</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Cano Health</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11/23/2027</w:t>
            </w:r>
          </w:p>
        </w:tc>
        <w:tc>
          <w:tcPr>
            <w:tcW w:w="1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Healthcare, Education &amp; Childcare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L+450</w:t>
            </w:r>
          </w:p>
        </w:tc>
        <w:tc>
          <w:tcPr>
            <w:tcW w:w="680" w:type="dxa"/>
            <w:vAlign w:val="bottom"/>
          </w:tcPr>
          <w:p>
            <w:pPr>
              <w:jc w:val="right"/>
              <w:spacing w:after="0"/>
              <w:rPr>
                <w:sz w:val="20"/>
                <w:szCs w:val="20"/>
                <w:color w:val="auto"/>
              </w:rPr>
            </w:pPr>
            <w:r>
              <w:rPr>
                <w:rFonts w:ascii="Arial" w:cs="Arial" w:eastAsia="Arial" w:hAnsi="Arial"/>
                <w:sz w:val="11"/>
                <w:szCs w:val="11"/>
                <w:color w:val="auto"/>
              </w:rPr>
              <w:t>2,653,333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2,646,700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2,654,448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CHA Holdings,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04/10/2025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Construction and Engineering</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5,614,627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5,518,856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5,530,408</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Challenger Performance Optimization,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08/31/2023</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L+675</w:t>
            </w:r>
          </w:p>
        </w:tc>
        <w:tc>
          <w:tcPr>
            <w:tcW w:w="680" w:type="dxa"/>
            <w:vAlign w:val="bottom"/>
          </w:tcPr>
          <w:p>
            <w:pPr>
              <w:jc w:val="right"/>
              <w:spacing w:after="0"/>
              <w:rPr>
                <w:sz w:val="20"/>
                <w:szCs w:val="20"/>
                <w:color w:val="auto"/>
              </w:rPr>
            </w:pPr>
            <w:r>
              <w:rPr>
                <w:rFonts w:ascii="Arial" w:cs="Arial" w:eastAsia="Arial" w:hAnsi="Arial"/>
                <w:sz w:val="11"/>
                <w:szCs w:val="11"/>
                <w:color w:val="auto"/>
              </w:rPr>
              <w:t>9,500,705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9,453,659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9,215,683</w:t>
            </w:r>
          </w:p>
        </w:tc>
        <w:tc>
          <w:tcPr>
            <w:tcW w:w="120" w:type="dxa"/>
            <w:vAlign w:val="bottom"/>
          </w:tcPr>
          <w:p>
            <w:pPr>
              <w:spacing w:after="0"/>
              <w:rPr>
                <w:sz w:val="12"/>
                <w:szCs w:val="12"/>
                <w:color w:val="auto"/>
              </w:rPr>
            </w:pPr>
          </w:p>
        </w:tc>
      </w:tr>
      <w:tr>
        <w:trPr>
          <w:trHeight w:val="131"/>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1.00%)</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Connatix Buyer,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07/13/2027</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3,921,757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3,920,000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CoolSys,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08/04/2028</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L+475</w:t>
            </w:r>
          </w:p>
        </w:tc>
        <w:tc>
          <w:tcPr>
            <w:tcW w:w="680" w:type="dxa"/>
            <w:vAlign w:val="bottom"/>
          </w:tcPr>
          <w:p>
            <w:pPr>
              <w:jc w:val="right"/>
              <w:spacing w:after="0"/>
              <w:rPr>
                <w:sz w:val="20"/>
                <w:szCs w:val="20"/>
                <w:color w:val="auto"/>
              </w:rPr>
            </w:pPr>
            <w:r>
              <w:rPr>
                <w:rFonts w:ascii="Arial" w:cs="Arial" w:eastAsia="Arial" w:hAnsi="Arial"/>
                <w:sz w:val="11"/>
                <w:szCs w:val="11"/>
                <w:color w:val="auto"/>
              </w:rPr>
              <w:t>1,909,091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1,890,159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1,913,864</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Crane 1 Services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08/16/2027</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2,131,579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2,100,271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2,110,264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Crash Champions,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08/05/2025</w:t>
            </w:r>
          </w:p>
        </w:tc>
        <w:tc>
          <w:tcPr>
            <w:tcW w:w="1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2"/>
              </w:rPr>
              <w:t>Automobiles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8,977,500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8,801,543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8,797,950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Digital Room Holdings,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05/22/2026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5.08%</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3,228,001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3,111,026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3,186,037</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Douglas Products and Packaging Company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8,746,050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8,694,764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8,746,050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7,323,008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7,278,084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7,323,008</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Dr. Squatch, LLC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8/27/2026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Personal Products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9,803,125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9,800,000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DRS Holdings III, Inc.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11/03/2025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15,675,682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15,584,366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15,565,952</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East Valley Tourist Development Authority</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03/07/2022</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9.00%</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L+800</w:t>
            </w:r>
          </w:p>
        </w:tc>
        <w:tc>
          <w:tcPr>
            <w:tcW w:w="680" w:type="dxa"/>
            <w:vAlign w:val="bottom"/>
          </w:tcPr>
          <w:p>
            <w:pPr>
              <w:jc w:val="right"/>
              <w:spacing w:after="0"/>
              <w:rPr>
                <w:sz w:val="20"/>
                <w:szCs w:val="20"/>
                <w:color w:val="auto"/>
              </w:rPr>
            </w:pPr>
            <w:r>
              <w:rPr>
                <w:rFonts w:ascii="Arial" w:cs="Arial" w:eastAsia="Arial" w:hAnsi="Arial"/>
                <w:sz w:val="11"/>
                <w:szCs w:val="11"/>
                <w:color w:val="auto"/>
              </w:rPr>
              <w:t>5,719,009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5,624,041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5,633,224</w:t>
            </w:r>
          </w:p>
        </w:tc>
        <w:tc>
          <w:tcPr>
            <w:tcW w:w="120" w:type="dxa"/>
            <w:vAlign w:val="bottom"/>
          </w:tcPr>
          <w:p>
            <w:pPr>
              <w:spacing w:after="0"/>
              <w:rPr>
                <w:sz w:val="12"/>
                <w:szCs w:val="12"/>
                <w:color w:val="auto"/>
              </w:rPr>
            </w:pPr>
          </w:p>
        </w:tc>
      </w:tr>
      <w:tr>
        <w:trPr>
          <w:trHeight w:val="131"/>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3.50%)</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ECL Entertainment,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03/312028</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L+750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2,647,212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2,621,341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2,706,774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ECM Industries,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12/23/2025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L+450</w:t>
            </w:r>
          </w:p>
        </w:tc>
        <w:tc>
          <w:tcPr>
            <w:tcW w:w="680" w:type="dxa"/>
            <w:vAlign w:val="bottom"/>
          </w:tcPr>
          <w:p>
            <w:pPr>
              <w:jc w:val="right"/>
              <w:spacing w:after="0"/>
              <w:rPr>
                <w:sz w:val="20"/>
                <w:szCs w:val="20"/>
                <w:color w:val="auto"/>
              </w:rPr>
            </w:pPr>
            <w:r>
              <w:rPr>
                <w:rFonts w:ascii="Arial" w:cs="Arial" w:eastAsia="Arial" w:hAnsi="Arial"/>
                <w:sz w:val="11"/>
                <w:szCs w:val="11"/>
                <w:color w:val="auto"/>
              </w:rPr>
              <w:t>4,994,355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4,994,355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4,894,468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Fairbanks More Defense</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06/17/2028</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L+475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9,954,660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10,000,000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FlexPrint,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01/02/2024</w:t>
            </w:r>
          </w:p>
        </w:tc>
        <w:tc>
          <w:tcPr>
            <w:tcW w:w="1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6.02%</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L+590</w:t>
            </w:r>
          </w:p>
        </w:tc>
        <w:tc>
          <w:tcPr>
            <w:tcW w:w="680" w:type="dxa"/>
            <w:vAlign w:val="bottom"/>
          </w:tcPr>
          <w:p>
            <w:pPr>
              <w:jc w:val="right"/>
              <w:spacing w:after="0"/>
              <w:rPr>
                <w:sz w:val="20"/>
                <w:szCs w:val="20"/>
                <w:color w:val="auto"/>
              </w:rPr>
            </w:pPr>
            <w:r>
              <w:rPr>
                <w:rFonts w:ascii="Arial" w:cs="Arial" w:eastAsia="Arial" w:hAnsi="Arial"/>
                <w:sz w:val="11"/>
                <w:szCs w:val="11"/>
                <w:color w:val="auto"/>
              </w:rPr>
              <w:t>4,769,595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4,732,000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4,745,747</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Gantech Acquisition Corp.</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05/14/2026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IT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L+625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14,925,000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14,648,015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14,626,500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Global Holdings InterCo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03/16/2026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Diversified Financial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3,967,531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3,947,994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3,947,694</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Graffiti Buyer,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08/10/2027</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Trding Companies &amp; Distributors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2,392,857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2,345,748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2,356,964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Hancock Roofing and Construction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12/31/2026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Insurance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2,481,250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2,424,925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2,456,438</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Holdco Sands Intermediate,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12/19/2025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6,473,725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6,407,142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6,441,356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IMIA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04/09/2027</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13,589,144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13,338,397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13,317,361</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09/29/2023</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11,566,905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11,527,975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11,566,905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K2 Pure Solutions NoCal, L.P.</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12/20/2023</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L+700</w:t>
            </w:r>
          </w:p>
        </w:tc>
        <w:tc>
          <w:tcPr>
            <w:tcW w:w="680" w:type="dxa"/>
            <w:vAlign w:val="bottom"/>
          </w:tcPr>
          <w:p>
            <w:pPr>
              <w:jc w:val="right"/>
              <w:spacing w:after="0"/>
              <w:rPr>
                <w:sz w:val="20"/>
                <w:szCs w:val="20"/>
                <w:color w:val="auto"/>
              </w:rPr>
            </w:pPr>
            <w:r>
              <w:rPr>
                <w:rFonts w:ascii="Arial" w:cs="Arial" w:eastAsia="Arial" w:hAnsi="Arial"/>
                <w:sz w:val="11"/>
                <w:szCs w:val="11"/>
                <w:color w:val="auto"/>
              </w:rPr>
              <w:t>19,450,000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19,192,725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18,932,630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10/31/2024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L+750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10,491,277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10,435,348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9,833,474</w:t>
            </w:r>
          </w:p>
        </w:tc>
        <w:tc>
          <w:tcPr>
            <w:tcW w:w="120" w:type="dxa"/>
            <w:vAlign w:val="bottom"/>
            <w:shd w:val="clear" w:color="auto" w:fill="CCECFF"/>
          </w:tcPr>
          <w:p>
            <w:pPr>
              <w:spacing w:after="0"/>
              <w:rPr>
                <w:sz w:val="11"/>
                <w:szCs w:val="11"/>
                <w:color w:val="auto"/>
              </w:rPr>
            </w:pPr>
          </w:p>
        </w:tc>
      </w:tr>
      <w:tr>
        <w:trPr>
          <w:trHeight w:val="135"/>
        </w:trPr>
        <w:tc>
          <w:tcPr>
            <w:tcW w:w="21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(PIK 1.00%)</w:t>
            </w: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Lightspeed Buyer Inc.</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02/3/2026</w:t>
            </w:r>
          </w:p>
        </w:tc>
        <w:tc>
          <w:tcPr>
            <w:tcW w:w="120" w:type="dxa"/>
            <w:vAlign w:val="bottom"/>
          </w:tcPr>
          <w:p>
            <w:pPr>
              <w:spacing w:after="0"/>
              <w:rPr>
                <w:sz w:val="11"/>
                <w:szCs w:val="11"/>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Healthcare Providers and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5,706,549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5,605,574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5,706,549</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Lucky Bucks,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07/20/2027</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Hotel, Gaming and Leisure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4,411,012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4,424,085</w:t>
            </w:r>
          </w:p>
        </w:tc>
        <w:tc>
          <w:tcPr>
            <w:tcW w:w="120" w:type="dxa"/>
            <w:vAlign w:val="bottom"/>
            <w:shd w:val="clear" w:color="auto" w:fill="CCECFF"/>
          </w:tcPr>
          <w:p>
            <w:pPr>
              <w:spacing w:after="0"/>
              <w:rPr>
                <w:sz w:val="11"/>
                <w:szCs w:val="11"/>
                <w:color w:val="auto"/>
              </w:rPr>
            </w:pPr>
          </w:p>
        </w:tc>
      </w:tr>
      <w:tr>
        <w:trPr>
          <w:trHeight w:val="139"/>
        </w:trPr>
        <w:tc>
          <w:tcPr>
            <w:tcW w:w="3080" w:type="dxa"/>
            <w:vAlign w:val="bottom"/>
            <w:gridSpan w:val="2"/>
          </w:tcPr>
          <w:p>
            <w:pPr>
              <w:spacing w:after="0"/>
              <w:rPr>
                <w:sz w:val="20"/>
                <w:szCs w:val="20"/>
                <w:color w:val="auto"/>
              </w:rPr>
            </w:pPr>
            <w:r>
              <w:rPr>
                <w:rFonts w:ascii="Arial" w:cs="Arial" w:eastAsia="Arial" w:hAnsi="Arial"/>
                <w:sz w:val="11"/>
                <w:szCs w:val="11"/>
                <w:color w:val="auto"/>
              </w:rPr>
              <w:t>Marketplace Events,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09/30/2025</w:t>
            </w:r>
          </w:p>
        </w:tc>
        <w:tc>
          <w:tcPr>
            <w:tcW w:w="120" w:type="dxa"/>
            <w:vAlign w:val="bottom"/>
          </w:tcPr>
          <w:p>
            <w:pPr>
              <w:spacing w:after="0"/>
              <w:rPr>
                <w:sz w:val="12"/>
                <w:szCs w:val="12"/>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L+525</w:t>
            </w:r>
          </w:p>
        </w:tc>
        <w:tc>
          <w:tcPr>
            <w:tcW w:w="680" w:type="dxa"/>
            <w:vAlign w:val="bottom"/>
          </w:tcPr>
          <w:p>
            <w:pPr>
              <w:jc w:val="right"/>
              <w:spacing w:after="0"/>
              <w:rPr>
                <w:sz w:val="20"/>
                <w:szCs w:val="20"/>
                <w:color w:val="auto"/>
              </w:rPr>
            </w:pPr>
            <w:r>
              <w:rPr>
                <w:rFonts w:ascii="Arial" w:cs="Arial" w:eastAsia="Arial" w:hAnsi="Arial"/>
                <w:sz w:val="11"/>
                <w:szCs w:val="11"/>
                <w:color w:val="auto"/>
              </w:rPr>
              <w:t>617,487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617,487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617,487</w:t>
            </w:r>
          </w:p>
        </w:tc>
        <w:tc>
          <w:tcPr>
            <w:tcW w:w="120" w:type="dxa"/>
            <w:vAlign w:val="bottom"/>
          </w:tcPr>
          <w:p>
            <w:pPr>
              <w:spacing w:after="0"/>
              <w:rPr>
                <w:sz w:val="12"/>
                <w:szCs w:val="12"/>
                <w:color w:val="auto"/>
              </w:rPr>
            </w:pPr>
          </w:p>
        </w:tc>
      </w:tr>
      <w:tr>
        <w:trPr>
          <w:trHeight w:val="131"/>
        </w:trPr>
        <w:tc>
          <w:tcPr>
            <w:tcW w:w="3080" w:type="dxa"/>
            <w:vAlign w:val="bottom"/>
            <w:gridSpan w:val="2"/>
          </w:tcPr>
          <w:p>
            <w:pPr>
              <w:ind w:left="80"/>
              <w:spacing w:after="0"/>
              <w:rPr>
                <w:sz w:val="20"/>
                <w:szCs w:val="20"/>
                <w:color w:val="auto"/>
              </w:rPr>
            </w:pPr>
            <w:r>
              <w:rPr>
                <w:rFonts w:ascii="Arial" w:cs="Arial" w:eastAsia="Arial" w:hAnsi="Arial"/>
                <w:sz w:val="11"/>
                <w:szCs w:val="11"/>
                <w:color w:val="auto"/>
              </w:rPr>
              <w:t>Super Priority First Lien Term Loan</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(PIK 6.25%)</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5"/>
        </w:trPr>
        <w:tc>
          <w:tcPr>
            <w:tcW w:w="3080" w:type="dxa"/>
            <w:vAlign w:val="bottom"/>
            <w:gridSpan w:val="2"/>
            <w:shd w:val="clear" w:color="auto" w:fill="CCECFF"/>
          </w:tcPr>
          <w:p>
            <w:pPr>
              <w:spacing w:after="0" w:line="125" w:lineRule="exact"/>
              <w:rPr>
                <w:sz w:val="20"/>
                <w:szCs w:val="20"/>
                <w:color w:val="auto"/>
              </w:rPr>
            </w:pPr>
            <w:r>
              <w:rPr>
                <w:rFonts w:ascii="Arial" w:cs="Arial" w:eastAsia="Arial" w:hAnsi="Arial"/>
                <w:sz w:val="11"/>
                <w:szCs w:val="11"/>
                <w:color w:val="auto"/>
                <w:w w:val="93"/>
              </w:rPr>
              <w:t>Marketplace Events, LLC - Super Priority First Lien Unfunded Term</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5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r>
      <w:tr>
        <w:trPr>
          <w:trHeight w:val="131"/>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Loan</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09/30/2025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589,122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Marketplace Events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09/30/2026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0.00%</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(4)</w:t>
            </w: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4,614,973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3,441,474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4,614,973</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Mars Acquisition Holdings Corp.</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05/14/2026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3"/>
              </w:rPr>
              <w:t>Media</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9,812,779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9,900,000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MBS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04/16/2027</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Internet Software and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7,481,250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7,337,843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7,331,625</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05/23/2024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Media: Advertising, Printing &amp; Publishing</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5,531,856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5,411,520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5,476,537</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Mission Critical Electronics,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09/28/2022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L+500</w:t>
            </w:r>
          </w:p>
        </w:tc>
        <w:tc>
          <w:tcPr>
            <w:tcW w:w="680" w:type="dxa"/>
            <w:vAlign w:val="bottom"/>
          </w:tcPr>
          <w:p>
            <w:pPr>
              <w:jc w:val="right"/>
              <w:spacing w:after="0"/>
              <w:rPr>
                <w:sz w:val="20"/>
                <w:szCs w:val="20"/>
                <w:color w:val="auto"/>
              </w:rPr>
            </w:pPr>
            <w:r>
              <w:rPr>
                <w:rFonts w:ascii="Arial" w:cs="Arial" w:eastAsia="Arial" w:hAnsi="Arial"/>
                <w:sz w:val="11"/>
                <w:szCs w:val="11"/>
                <w:color w:val="auto"/>
              </w:rPr>
              <w:t>5,889,949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5,877,013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5,889,949</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NBH Group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08/19/2026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Healthcare, Education &amp; Culture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10,901,830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10,687,200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10,683,794</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New Milani Group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06/06/2024</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tcPr>
          <w:p>
            <w:pPr>
              <w:jc w:val="right"/>
              <w:spacing w:after="0"/>
              <w:rPr>
                <w:sz w:val="20"/>
                <w:szCs w:val="20"/>
                <w:color w:val="auto"/>
              </w:rPr>
            </w:pPr>
            <w:r>
              <w:rPr>
                <w:rFonts w:ascii="Arial" w:cs="Arial" w:eastAsia="Arial" w:hAnsi="Arial"/>
                <w:sz w:val="11"/>
                <w:szCs w:val="11"/>
                <w:color w:val="auto"/>
              </w:rPr>
              <w:t>14,550,000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14,481,129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13,895,250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OIS Management Services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07/09/2026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Healthcare Equipment and Supplies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L+475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1,995,000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1,965,911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1,965,075</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One Stop Mailing,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05/07/2027</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Air Freight and Logistics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14,919,643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14,631,178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14,658,549</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Output Services Group,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03/27/2024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7,743,419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7,732,934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7,046,511</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Ox Two,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05/18/2026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Construction and Building</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4,975,000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4,901,154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4,875,500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PH Beauty Holdings III,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09/29/2025</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5.12%</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9,692,670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9,514,071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9,466,540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Plant Health Intermediate,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1,577,806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1,568,099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1,577,806</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PlayPower, Inc.</w:t>
            </w:r>
          </w:p>
        </w:tc>
        <w:tc>
          <w:tcPr>
            <w:tcW w:w="78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05/8/2026</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5.63%</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3,805,440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3,719,648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3,735,687</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Recteq,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01/29/2026</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Leisure Products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4,975,000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4,887,511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4,925,250</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w w:val="94"/>
              </w:rPr>
              <w:t>Research Now Group, Inc. and Survey Sampling International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10,679,701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10,591,506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10,543,962</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Sales Benchmark Index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01/03/2025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Professional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7.75%</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L+600</w:t>
            </w:r>
          </w:p>
        </w:tc>
        <w:tc>
          <w:tcPr>
            <w:tcW w:w="680" w:type="dxa"/>
            <w:vAlign w:val="bottom"/>
          </w:tcPr>
          <w:p>
            <w:pPr>
              <w:jc w:val="right"/>
              <w:spacing w:after="0"/>
              <w:rPr>
                <w:sz w:val="20"/>
                <w:szCs w:val="20"/>
                <w:color w:val="auto"/>
              </w:rPr>
            </w:pPr>
            <w:r>
              <w:rPr>
                <w:rFonts w:ascii="Arial" w:cs="Arial" w:eastAsia="Arial" w:hAnsi="Arial"/>
                <w:sz w:val="11"/>
                <w:szCs w:val="11"/>
                <w:color w:val="auto"/>
              </w:rPr>
              <w:t>5,578,331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5,495,801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5,438,872</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Sargent &amp; Greenleaf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5,549,876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5,492,898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5,549,876</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Schlesinger Global,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07/14/2025</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3M L+700</w:t>
            </w:r>
          </w:p>
        </w:tc>
        <w:tc>
          <w:tcPr>
            <w:tcW w:w="680" w:type="dxa"/>
            <w:vAlign w:val="bottom"/>
          </w:tcPr>
          <w:p>
            <w:pPr>
              <w:jc w:val="right"/>
              <w:spacing w:after="0"/>
              <w:rPr>
                <w:sz w:val="20"/>
                <w:szCs w:val="20"/>
                <w:color w:val="auto"/>
              </w:rPr>
            </w:pPr>
            <w:r>
              <w:rPr>
                <w:rFonts w:ascii="Arial" w:cs="Arial" w:eastAsia="Arial" w:hAnsi="Arial"/>
                <w:sz w:val="11"/>
                <w:szCs w:val="11"/>
                <w:color w:val="auto"/>
              </w:rPr>
              <w:t>11,784,634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11,760,259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11,254,326</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Smile Brands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10/14/2024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5.32%</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12,576,323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12,458,672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12,450,560</w:t>
            </w:r>
          </w:p>
        </w:tc>
        <w:tc>
          <w:tcPr>
            <w:tcW w:w="120" w:type="dxa"/>
            <w:vAlign w:val="bottom"/>
            <w:shd w:val="clear" w:color="auto" w:fill="CCECFF"/>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Arial" w:cs="Arial" w:eastAsia="Arial" w:hAnsi="Arial"/>
                <w:sz w:val="11"/>
                <w:szCs w:val="11"/>
                <w:color w:val="auto"/>
              </w:rPr>
              <w:t>Snak Club,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07/19/2022</w:t>
            </w:r>
          </w:p>
        </w:tc>
        <w:tc>
          <w:tcPr>
            <w:tcW w:w="120" w:type="dxa"/>
            <w:vAlign w:val="bottom"/>
          </w:tcPr>
          <w:p>
            <w:pPr>
              <w:spacing w:after="0"/>
              <w:rPr>
                <w:sz w:val="11"/>
                <w:szCs w:val="11"/>
                <w:color w:val="auto"/>
              </w:rPr>
            </w:pPr>
          </w:p>
        </w:tc>
        <w:tc>
          <w:tcPr>
            <w:tcW w:w="268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1M L+600</w:t>
            </w:r>
          </w:p>
        </w:tc>
        <w:tc>
          <w:tcPr>
            <w:tcW w:w="680" w:type="dxa"/>
            <w:vAlign w:val="bottom"/>
          </w:tcPr>
          <w:p>
            <w:pPr>
              <w:jc w:val="right"/>
              <w:spacing w:after="0"/>
              <w:rPr>
                <w:sz w:val="20"/>
                <w:szCs w:val="20"/>
                <w:color w:val="auto"/>
              </w:rPr>
            </w:pPr>
            <w:r>
              <w:rPr>
                <w:rFonts w:ascii="Arial" w:cs="Arial" w:eastAsia="Arial" w:hAnsi="Arial"/>
                <w:sz w:val="11"/>
                <w:szCs w:val="11"/>
                <w:color w:val="auto"/>
              </w:rPr>
              <w:t>4,388,056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4,361,678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4,388,056</w:t>
            </w:r>
          </w:p>
        </w:tc>
        <w:tc>
          <w:tcPr>
            <w:tcW w:w="120" w:type="dxa"/>
            <w:vAlign w:val="bottom"/>
          </w:tcPr>
          <w:p>
            <w:pPr>
              <w:spacing w:after="0"/>
              <w:rPr>
                <w:sz w:val="11"/>
                <w:szCs w:val="11"/>
                <w:color w:val="auto"/>
              </w:rPr>
            </w:pPr>
          </w:p>
        </w:tc>
      </w:tr>
      <w:tr>
        <w:trPr>
          <w:trHeight w:val="135"/>
        </w:trPr>
        <w:tc>
          <w:tcPr>
            <w:tcW w:w="308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Solutionreach,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01/17/2024</w:t>
            </w:r>
          </w:p>
        </w:tc>
        <w:tc>
          <w:tcPr>
            <w:tcW w:w="120" w:type="dxa"/>
            <w:vAlign w:val="bottom"/>
            <w:shd w:val="clear" w:color="auto" w:fill="CCECFF"/>
          </w:tcPr>
          <w:p>
            <w:pPr>
              <w:spacing w:after="0"/>
              <w:rPr>
                <w:sz w:val="11"/>
                <w:szCs w:val="11"/>
                <w:color w:val="auto"/>
              </w:rPr>
            </w:pP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1M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5,892,286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5,854,034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5,892,286</w:t>
            </w:r>
          </w:p>
        </w:tc>
        <w:tc>
          <w:tcPr>
            <w:tcW w:w="120" w:type="dxa"/>
            <w:vAlign w:val="bottom"/>
            <w:shd w:val="clear" w:color="auto" w:fill="CCECFF"/>
          </w:tcPr>
          <w:p>
            <w:pPr>
              <w:spacing w:after="0"/>
              <w:rPr>
                <w:sz w:val="11"/>
                <w:szCs w:val="11"/>
                <w:color w:val="auto"/>
              </w:rPr>
            </w:pPr>
          </w:p>
        </w:tc>
      </w:tr>
      <w:tr>
        <w:trPr>
          <w:trHeight w:val="40"/>
        </w:trPr>
        <w:tc>
          <w:tcPr>
            <w:tcW w:w="2120" w:type="dxa"/>
            <w:vAlign w:val="bottom"/>
            <w:tcBorders>
              <w:bottom w:val="single" w:sz="8" w:color="auto"/>
            </w:tcBorders>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Basis Point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Spread</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96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Above</w:t>
            </w:r>
          </w:p>
        </w:tc>
        <w:tc>
          <w:tcPr>
            <w:tcW w:w="1020" w:type="dxa"/>
            <w:vAlign w:val="bottom"/>
            <w:gridSpan w:val="3"/>
          </w:tcPr>
          <w:p>
            <w:pPr>
              <w:jc w:val="right"/>
              <w:ind w:right="560"/>
              <w:spacing w:after="0" w:line="122" w:lineRule="exact"/>
              <w:rPr>
                <w:sz w:val="20"/>
                <w:szCs w:val="20"/>
                <w:color w:val="auto"/>
              </w:rPr>
            </w:pPr>
            <w:r>
              <w:rPr>
                <w:rFonts w:ascii="Arial" w:cs="Arial" w:eastAsia="Arial" w:hAnsi="Arial"/>
                <w:sz w:val="11"/>
                <w:szCs w:val="11"/>
                <w:b w:val="1"/>
                <w:bCs w:val="1"/>
                <w:color w:val="auto"/>
              </w:rPr>
              <w:t>Par /</w:t>
            </w: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900" w:type="dxa"/>
            <w:vAlign w:val="bottom"/>
            <w:tcBorders>
              <w:bottom w:val="single" w:sz="8" w:color="CCECFF"/>
            </w:tcBorders>
          </w:tcPr>
          <w:p>
            <w:pPr>
              <w:jc w:val="center"/>
              <w:ind w:left="46"/>
              <w:spacing w:after="0"/>
              <w:rPr>
                <w:sz w:val="20"/>
                <w:szCs w:val="20"/>
                <w:color w:val="auto"/>
              </w:rPr>
            </w:pPr>
            <w:r>
              <w:rPr>
                <w:rFonts w:ascii="Arial" w:cs="Arial" w:eastAsia="Arial" w:hAnsi="Arial"/>
                <w:sz w:val="11"/>
                <w:szCs w:val="11"/>
                <w:b w:val="1"/>
                <w:bCs w:val="1"/>
                <w:color w:val="auto"/>
                <w:w w:val="92"/>
              </w:rPr>
              <w:t>Industry</w:t>
            </w:r>
          </w:p>
        </w:tc>
        <w:tc>
          <w:tcPr>
            <w:tcW w:w="7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7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Spectacle Gary Holdings, LLC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12/23/2025</w:t>
            </w:r>
          </w:p>
        </w:tc>
        <w:tc>
          <w:tcPr>
            <w:tcW w:w="290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6"/>
              </w:rPr>
              <w:t>Hotels, Restaurants and Leisure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11.00%</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1M L+900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4,389,000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4,505,648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4,764,830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STV Group Incorporated</w:t>
            </w:r>
          </w:p>
        </w:tc>
        <w:tc>
          <w:tcPr>
            <w:tcW w:w="540" w:type="dxa"/>
            <w:vAlign w:val="bottom"/>
          </w:tcPr>
          <w:p>
            <w:pPr>
              <w:jc w:val="center"/>
              <w:spacing w:after="0"/>
              <w:rPr>
                <w:sz w:val="20"/>
                <w:szCs w:val="20"/>
                <w:color w:val="auto"/>
              </w:rPr>
            </w:pPr>
            <w:r>
              <w:rPr>
                <w:rFonts w:ascii="Arial" w:cs="Arial" w:eastAsia="Arial" w:hAnsi="Arial"/>
                <w:sz w:val="11"/>
                <w:szCs w:val="11"/>
                <w:color w:val="auto"/>
                <w:w w:val="87"/>
              </w:rPr>
              <w:t>12/11/2026</w:t>
            </w:r>
          </w:p>
        </w:tc>
        <w:tc>
          <w:tcPr>
            <w:tcW w:w="2900" w:type="dxa"/>
            <w:vAlign w:val="bottom"/>
          </w:tcPr>
          <w:p>
            <w:pPr>
              <w:jc w:val="center"/>
              <w:ind w:left="46"/>
              <w:spacing w:after="0"/>
              <w:rPr>
                <w:sz w:val="20"/>
                <w:szCs w:val="20"/>
                <w:color w:val="auto"/>
              </w:rPr>
            </w:pPr>
            <w:r>
              <w:rPr>
                <w:rFonts w:ascii="Arial" w:cs="Arial" w:eastAsia="Arial" w:hAnsi="Arial"/>
                <w:sz w:val="11"/>
                <w:szCs w:val="11"/>
                <w:color w:val="auto"/>
                <w:w w:val="92"/>
              </w:rPr>
              <w:t>Construction and Building</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5.33%</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1M L+525</w:t>
            </w:r>
          </w:p>
        </w:tc>
        <w:tc>
          <w:tcPr>
            <w:tcW w:w="680" w:type="dxa"/>
            <w:vAlign w:val="bottom"/>
          </w:tcPr>
          <w:p>
            <w:pPr>
              <w:jc w:val="right"/>
              <w:spacing w:after="0"/>
              <w:rPr>
                <w:sz w:val="20"/>
                <w:szCs w:val="20"/>
                <w:color w:val="auto"/>
              </w:rPr>
            </w:pPr>
            <w:r>
              <w:rPr>
                <w:rFonts w:ascii="Arial" w:cs="Arial" w:eastAsia="Arial" w:hAnsi="Arial"/>
                <w:sz w:val="11"/>
                <w:szCs w:val="11"/>
                <w:color w:val="auto"/>
              </w:rPr>
              <w:t>9,075,412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9,003,666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9,030,035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TAC LifePort Purchaser, LLC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03/01/2026</w:t>
            </w:r>
          </w:p>
        </w:tc>
        <w:tc>
          <w:tcPr>
            <w:tcW w:w="29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6"/>
              </w:rPr>
              <w:t>Aerospace and Defense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3M L+600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4,950,000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4,860,463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4,948,403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TeleGuam Holdings, LLC</w:t>
            </w:r>
          </w:p>
        </w:tc>
        <w:tc>
          <w:tcPr>
            <w:tcW w:w="540" w:type="dxa"/>
            <w:vAlign w:val="bottom"/>
          </w:tcPr>
          <w:p>
            <w:pPr>
              <w:jc w:val="center"/>
              <w:spacing w:after="0"/>
              <w:rPr>
                <w:sz w:val="20"/>
                <w:szCs w:val="20"/>
                <w:color w:val="auto"/>
              </w:rPr>
            </w:pPr>
            <w:r>
              <w:rPr>
                <w:rFonts w:ascii="Arial" w:cs="Arial" w:eastAsia="Arial" w:hAnsi="Arial"/>
                <w:sz w:val="11"/>
                <w:szCs w:val="11"/>
                <w:color w:val="auto"/>
                <w:w w:val="87"/>
              </w:rPr>
              <w:t>11/20/2025</w:t>
            </w:r>
          </w:p>
        </w:tc>
        <w:tc>
          <w:tcPr>
            <w:tcW w:w="2900" w:type="dxa"/>
            <w:vAlign w:val="bottom"/>
          </w:tcPr>
          <w:p>
            <w:pPr>
              <w:jc w:val="center"/>
              <w:ind w:left="46"/>
              <w:spacing w:after="0"/>
              <w:rPr>
                <w:sz w:val="20"/>
                <w:szCs w:val="20"/>
                <w:color w:val="auto"/>
              </w:rPr>
            </w:pPr>
            <w:r>
              <w:rPr>
                <w:rFonts w:ascii="Arial" w:cs="Arial" w:eastAsia="Arial" w:hAnsi="Arial"/>
                <w:sz w:val="11"/>
                <w:szCs w:val="11"/>
                <w:color w:val="auto"/>
                <w:w w:val="87"/>
              </w:rPr>
              <w:t>Telecommunications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1M L+450</w:t>
            </w:r>
          </w:p>
        </w:tc>
        <w:tc>
          <w:tcPr>
            <w:tcW w:w="680" w:type="dxa"/>
            <w:vAlign w:val="bottom"/>
          </w:tcPr>
          <w:p>
            <w:pPr>
              <w:jc w:val="right"/>
              <w:spacing w:after="0"/>
              <w:rPr>
                <w:sz w:val="20"/>
                <w:szCs w:val="20"/>
                <w:color w:val="auto"/>
              </w:rPr>
            </w:pPr>
            <w:r>
              <w:rPr>
                <w:rFonts w:ascii="Arial" w:cs="Arial" w:eastAsia="Arial" w:hAnsi="Arial"/>
                <w:sz w:val="11"/>
                <w:szCs w:val="11"/>
                <w:color w:val="auto"/>
              </w:rPr>
              <w:t>10,337,380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10,312,931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10,234,006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07/18/2025</w:t>
            </w:r>
          </w:p>
        </w:tc>
        <w:tc>
          <w:tcPr>
            <w:tcW w:w="290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1M L+525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2,309,486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2,306,149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2,296,969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The Aegis Technologies Group, LLC</w:t>
            </w: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10/31/2025</w:t>
            </w:r>
          </w:p>
        </w:tc>
        <w:tc>
          <w:tcPr>
            <w:tcW w:w="2900" w:type="dxa"/>
            <w:vAlign w:val="bottom"/>
          </w:tcPr>
          <w:p>
            <w:pPr>
              <w:jc w:val="center"/>
              <w:ind w:left="26"/>
              <w:spacing w:after="0"/>
              <w:rPr>
                <w:sz w:val="20"/>
                <w:szCs w:val="20"/>
                <w:color w:val="auto"/>
              </w:rPr>
            </w:pPr>
            <w:r>
              <w:rPr>
                <w:rFonts w:ascii="Arial" w:cs="Arial" w:eastAsia="Arial" w:hAnsi="Arial"/>
                <w:sz w:val="11"/>
                <w:szCs w:val="11"/>
                <w:color w:val="auto"/>
                <w:w w:val="86"/>
              </w:rPr>
              <w:t>Aerospace and Defense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6.77%</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3M L+550</w:t>
            </w:r>
          </w:p>
        </w:tc>
        <w:tc>
          <w:tcPr>
            <w:tcW w:w="680" w:type="dxa"/>
            <w:vAlign w:val="bottom"/>
          </w:tcPr>
          <w:p>
            <w:pPr>
              <w:jc w:val="right"/>
              <w:spacing w:after="0"/>
              <w:rPr>
                <w:sz w:val="20"/>
                <w:szCs w:val="20"/>
                <w:color w:val="auto"/>
              </w:rPr>
            </w:pPr>
            <w:r>
              <w:rPr>
                <w:rFonts w:ascii="Arial" w:cs="Arial" w:eastAsia="Arial" w:hAnsi="Arial"/>
                <w:sz w:val="11"/>
                <w:szCs w:val="11"/>
                <w:color w:val="auto"/>
              </w:rPr>
              <w:t>5,713,461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5,633,702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5,656,327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The Bluebird Group LLC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07/27/2026</w:t>
            </w:r>
          </w:p>
        </w:tc>
        <w:tc>
          <w:tcPr>
            <w:tcW w:w="290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6"/>
              </w:rPr>
              <w:t>Professional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3M L+700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1,743,846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1,709,872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1,732,860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The Infosoft Group, LLC</w:t>
            </w: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09/16/2024</w:t>
            </w:r>
          </w:p>
        </w:tc>
        <w:tc>
          <w:tcPr>
            <w:tcW w:w="2900" w:type="dxa"/>
            <w:vAlign w:val="bottom"/>
          </w:tcPr>
          <w:p>
            <w:pPr>
              <w:jc w:val="center"/>
              <w:ind w:left="26"/>
              <w:spacing w:after="0"/>
              <w:rPr>
                <w:sz w:val="20"/>
                <w:szCs w:val="20"/>
                <w:color w:val="auto"/>
              </w:rPr>
            </w:pPr>
            <w:r>
              <w:rPr>
                <w:rFonts w:ascii="Arial" w:cs="Arial" w:eastAsia="Arial" w:hAnsi="Arial"/>
                <w:sz w:val="11"/>
                <w:szCs w:val="11"/>
                <w:color w:val="auto"/>
                <w:w w:val="89"/>
              </w:rPr>
              <w:t>Media: Broadcasting and Subscription</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6M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13,383,253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13,375,955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13,383,253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The Vertex Companies, LLC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08/30/2027</w:t>
            </w:r>
          </w:p>
        </w:tc>
        <w:tc>
          <w:tcPr>
            <w:tcW w:w="290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8"/>
              </w:rPr>
              <w:t>Construction and Engineering</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6.50%</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6M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5,634,134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5,523,212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5,528,647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TPC Canada Parent, Inc. and TPC US Parent, LLC</w:t>
            </w:r>
          </w:p>
        </w:tc>
        <w:tc>
          <w:tcPr>
            <w:tcW w:w="540" w:type="dxa"/>
            <w:vAlign w:val="bottom"/>
          </w:tcPr>
          <w:p>
            <w:pPr>
              <w:jc w:val="center"/>
              <w:spacing w:after="0"/>
              <w:rPr>
                <w:sz w:val="20"/>
                <w:szCs w:val="20"/>
                <w:color w:val="auto"/>
              </w:rPr>
            </w:pPr>
            <w:r>
              <w:rPr>
                <w:rFonts w:ascii="Arial" w:cs="Arial" w:eastAsia="Arial" w:hAnsi="Arial"/>
                <w:sz w:val="11"/>
                <w:szCs w:val="11"/>
                <w:color w:val="auto"/>
                <w:w w:val="87"/>
              </w:rPr>
              <w:t>11/24/2025</w:t>
            </w:r>
          </w:p>
        </w:tc>
        <w:tc>
          <w:tcPr>
            <w:tcW w:w="2900" w:type="dxa"/>
            <w:vAlign w:val="bottom"/>
          </w:tcPr>
          <w:p>
            <w:pPr>
              <w:jc w:val="center"/>
              <w:ind w:left="26"/>
              <w:spacing w:after="0"/>
              <w:rPr>
                <w:sz w:val="20"/>
                <w:szCs w:val="20"/>
                <w:color w:val="auto"/>
              </w:rPr>
            </w:pPr>
            <w:r>
              <w:rPr>
                <w:rFonts w:ascii="Arial" w:cs="Arial" w:eastAsia="Arial" w:hAnsi="Arial"/>
                <w:sz w:val="11"/>
                <w:szCs w:val="11"/>
                <w:color w:val="auto"/>
                <w:w w:val="89"/>
              </w:rPr>
              <w:t>Consumer Goods: Non-Durable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3M L+525</w:t>
            </w:r>
          </w:p>
        </w:tc>
        <w:tc>
          <w:tcPr>
            <w:tcW w:w="680" w:type="dxa"/>
            <w:vAlign w:val="bottom"/>
          </w:tcPr>
          <w:p>
            <w:pPr>
              <w:jc w:val="right"/>
              <w:spacing w:after="0"/>
              <w:rPr>
                <w:sz w:val="20"/>
                <w:szCs w:val="20"/>
                <w:color w:val="auto"/>
              </w:rPr>
            </w:pPr>
            <w:r>
              <w:rPr>
                <w:rFonts w:ascii="Arial" w:cs="Arial" w:eastAsia="Arial" w:hAnsi="Arial"/>
                <w:sz w:val="11"/>
                <w:szCs w:val="11"/>
                <w:color w:val="auto"/>
              </w:rPr>
              <w:t>8,834,066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8,654,973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8,569,044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03/26/2026</w:t>
            </w:r>
          </w:p>
        </w:tc>
        <w:tc>
          <w:tcPr>
            <w:tcW w:w="290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0"/>
              </w:rPr>
              <w:t>Diversified Consumer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1M L+575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8,558,226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8,593,467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8,558,226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TWS Acquisition Corporation</w:t>
            </w: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06/16/2025</w:t>
            </w:r>
          </w:p>
        </w:tc>
        <w:tc>
          <w:tcPr>
            <w:tcW w:w="2900" w:type="dxa"/>
            <w:vAlign w:val="bottom"/>
          </w:tcPr>
          <w:p>
            <w:pPr>
              <w:jc w:val="center"/>
              <w:ind w:left="46"/>
              <w:spacing w:after="0"/>
              <w:rPr>
                <w:sz w:val="20"/>
                <w:szCs w:val="20"/>
                <w:color w:val="auto"/>
              </w:rPr>
            </w:pPr>
            <w:r>
              <w:rPr>
                <w:rFonts w:ascii="Arial" w:cs="Arial" w:eastAsia="Arial" w:hAnsi="Arial"/>
                <w:sz w:val="11"/>
                <w:szCs w:val="11"/>
                <w:color w:val="auto"/>
                <w:w w:val="90"/>
              </w:rPr>
              <w:t>Diversified Consumer Services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1M L+625</w:t>
            </w:r>
          </w:p>
        </w:tc>
        <w:tc>
          <w:tcPr>
            <w:tcW w:w="680" w:type="dxa"/>
            <w:vAlign w:val="bottom"/>
          </w:tcPr>
          <w:p>
            <w:pPr>
              <w:jc w:val="right"/>
              <w:spacing w:after="0"/>
              <w:rPr>
                <w:sz w:val="20"/>
                <w:szCs w:val="20"/>
                <w:color w:val="auto"/>
              </w:rPr>
            </w:pPr>
            <w:r>
              <w:rPr>
                <w:rFonts w:ascii="Arial" w:cs="Arial" w:eastAsia="Arial" w:hAnsi="Arial"/>
                <w:sz w:val="11"/>
                <w:szCs w:val="11"/>
                <w:color w:val="auto"/>
              </w:rPr>
              <w:t>6,636,062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6,598,947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6,636,062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Tyto Athene, LLC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08/27/2024</w:t>
            </w:r>
          </w:p>
        </w:tc>
        <w:tc>
          <w:tcPr>
            <w:tcW w:w="290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7"/>
              </w:rPr>
              <w:t>IT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11,442,500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11,334,186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11,442,500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UBEO, LLC</w:t>
            </w: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04/03/2024</w:t>
            </w:r>
          </w:p>
        </w:tc>
        <w:tc>
          <w:tcPr>
            <w:tcW w:w="2900" w:type="dxa"/>
            <w:vAlign w:val="bottom"/>
          </w:tcPr>
          <w:p>
            <w:pPr>
              <w:jc w:val="center"/>
              <w:ind w:left="46"/>
              <w:spacing w:after="0"/>
              <w:rPr>
                <w:sz w:val="20"/>
                <w:szCs w:val="20"/>
                <w:color w:val="auto"/>
              </w:rPr>
            </w:pPr>
            <w:r>
              <w:rPr>
                <w:rFonts w:ascii="Arial" w:cs="Arial" w:eastAsia="Arial" w:hAnsi="Arial"/>
                <w:sz w:val="11"/>
                <w:szCs w:val="11"/>
                <w:color w:val="auto"/>
                <w:w w:val="88"/>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1M L+450</w:t>
            </w:r>
          </w:p>
        </w:tc>
        <w:tc>
          <w:tcPr>
            <w:tcW w:w="680" w:type="dxa"/>
            <w:vAlign w:val="bottom"/>
          </w:tcPr>
          <w:p>
            <w:pPr>
              <w:jc w:val="right"/>
              <w:spacing w:after="0"/>
              <w:rPr>
                <w:sz w:val="20"/>
                <w:szCs w:val="20"/>
                <w:color w:val="auto"/>
              </w:rPr>
            </w:pPr>
            <w:r>
              <w:rPr>
                <w:rFonts w:ascii="Arial" w:cs="Arial" w:eastAsia="Arial" w:hAnsi="Arial"/>
                <w:sz w:val="11"/>
                <w:szCs w:val="11"/>
                <w:color w:val="auto"/>
              </w:rPr>
              <w:t>17,571,320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17,457,179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17,483,464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08/30/2024</w:t>
            </w:r>
          </w:p>
        </w:tc>
        <w:tc>
          <w:tcPr>
            <w:tcW w:w="290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8"/>
              </w:rPr>
              <w:t>Healthcare and Pharmaceuticals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1M L+450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11,030,410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10,848,799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10,975,256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Walker Edison Furniture Company LLC</w:t>
            </w: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03/31/2027</w:t>
            </w:r>
          </w:p>
        </w:tc>
        <w:tc>
          <w:tcPr>
            <w:tcW w:w="2900" w:type="dxa"/>
            <w:vAlign w:val="bottom"/>
          </w:tcPr>
          <w:p>
            <w:pPr>
              <w:jc w:val="center"/>
              <w:ind w:left="46"/>
              <w:spacing w:after="0"/>
              <w:rPr>
                <w:sz w:val="20"/>
                <w:szCs w:val="20"/>
                <w:color w:val="auto"/>
              </w:rPr>
            </w:pPr>
            <w:r>
              <w:rPr>
                <w:rFonts w:ascii="Arial" w:cs="Arial" w:eastAsia="Arial" w:hAnsi="Arial"/>
                <w:sz w:val="11"/>
                <w:szCs w:val="11"/>
                <w:color w:val="auto"/>
                <w:w w:val="85"/>
              </w:rPr>
              <w:t>Wholesale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1M L+575</w:t>
            </w:r>
          </w:p>
        </w:tc>
        <w:tc>
          <w:tcPr>
            <w:tcW w:w="680" w:type="dxa"/>
            <w:vAlign w:val="bottom"/>
          </w:tcPr>
          <w:p>
            <w:pPr>
              <w:jc w:val="right"/>
              <w:spacing w:after="0"/>
              <w:rPr>
                <w:sz w:val="20"/>
                <w:szCs w:val="20"/>
                <w:color w:val="auto"/>
              </w:rPr>
            </w:pPr>
            <w:r>
              <w:rPr>
                <w:rFonts w:ascii="Arial" w:cs="Arial" w:eastAsia="Arial" w:hAnsi="Arial"/>
                <w:sz w:val="11"/>
                <w:szCs w:val="11"/>
                <w:color w:val="auto"/>
              </w:rPr>
              <w:t>12,437,500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12,141,939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11,971,094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Wildcat Buyerco, Inc.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02/27/2026</w:t>
            </w:r>
          </w:p>
        </w:tc>
        <w:tc>
          <w:tcPr>
            <w:tcW w:w="290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8"/>
              </w:rPr>
              <w:t>Electronic Equipment, Instruments, and Components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3M L+500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5,705,549</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5,655,884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5,678,016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First Lien Secured Debt</w:t>
            </w:r>
          </w:p>
        </w:tc>
        <w:tc>
          <w:tcPr>
            <w:tcW w:w="540" w:type="dxa"/>
            <w:vAlign w:val="bottom"/>
            <w:tcBorders>
              <w:bottom w:val="single" w:sz="8" w:color="CCECFF"/>
            </w:tcBorders>
          </w:tcPr>
          <w:p>
            <w:pPr>
              <w:spacing w:after="0"/>
              <w:rPr>
                <w:sz w:val="11"/>
                <w:szCs w:val="11"/>
                <w:color w:val="auto"/>
              </w:rPr>
            </w:pPr>
          </w:p>
        </w:tc>
        <w:tc>
          <w:tcPr>
            <w:tcW w:w="290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558,879,885</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557,731,845</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gridSpan w:val="3"/>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 - 10.5%</w:t>
            </w:r>
          </w:p>
        </w:tc>
        <w:tc>
          <w:tcPr>
            <w:tcW w:w="540" w:type="dxa"/>
            <w:vAlign w:val="bottom"/>
            <w:shd w:val="clear" w:color="auto" w:fill="CCECFF"/>
          </w:tcPr>
          <w:p>
            <w:pPr>
              <w:spacing w:after="0"/>
              <w:rPr>
                <w:sz w:val="12"/>
                <w:szCs w:val="12"/>
                <w:color w:val="auto"/>
              </w:rPr>
            </w:pPr>
          </w:p>
        </w:tc>
        <w:tc>
          <w:tcPr>
            <w:tcW w:w="29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0" w:type="dxa"/>
            <w:vAlign w:val="bottom"/>
            <w:gridSpan w:val="3"/>
          </w:tcPr>
          <w:p>
            <w:pPr>
              <w:spacing w:after="0"/>
              <w:rPr>
                <w:sz w:val="20"/>
                <w:szCs w:val="20"/>
                <w:color w:val="auto"/>
              </w:rPr>
            </w:pPr>
            <w:r>
              <w:rPr>
                <w:rFonts w:ascii="Arial" w:cs="Arial" w:eastAsia="Arial" w:hAnsi="Arial"/>
                <w:sz w:val="11"/>
                <w:szCs w:val="11"/>
                <w:color w:val="auto"/>
              </w:rPr>
              <w:t>DBI Intermediate Holdco, LLC, Term Loan B</w:t>
            </w:r>
          </w:p>
        </w:tc>
        <w:tc>
          <w:tcPr>
            <w:tcW w:w="540" w:type="dxa"/>
            <w:vAlign w:val="bottom"/>
          </w:tcPr>
          <w:p>
            <w:pPr>
              <w:jc w:val="center"/>
              <w:spacing w:after="0"/>
              <w:rPr>
                <w:sz w:val="20"/>
                <w:szCs w:val="20"/>
                <w:color w:val="auto"/>
              </w:rPr>
            </w:pPr>
            <w:r>
              <w:rPr>
                <w:rFonts w:ascii="Arial" w:cs="Arial" w:eastAsia="Arial" w:hAnsi="Arial"/>
                <w:sz w:val="11"/>
                <w:szCs w:val="11"/>
                <w:color w:val="auto"/>
                <w:w w:val="90"/>
              </w:rPr>
              <w:t>02/02/2026</w:t>
            </w:r>
          </w:p>
        </w:tc>
        <w:tc>
          <w:tcPr>
            <w:tcW w:w="2900" w:type="dxa"/>
            <w:vAlign w:val="bottom"/>
          </w:tcPr>
          <w:p>
            <w:pPr>
              <w:jc w:val="center"/>
              <w:ind w:left="46"/>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11.00%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2,434,333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2,434,333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2,434,333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(PIK 9.00%)</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Inventus Power, Inc.</w:t>
            </w:r>
          </w:p>
        </w:tc>
        <w:tc>
          <w:tcPr>
            <w:tcW w:w="5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09/29/2024</w:t>
            </w:r>
          </w:p>
        </w:tc>
        <w:tc>
          <w:tcPr>
            <w:tcW w:w="290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8"/>
              </w:rPr>
              <w:t>Consumer Goods: Durable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3M L+850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3,000,000</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2,946,584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2,940,000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Second Lien Secured Debt</w:t>
            </w:r>
          </w:p>
        </w:tc>
        <w:tc>
          <w:tcPr>
            <w:tcW w:w="540" w:type="dxa"/>
            <w:vAlign w:val="bottom"/>
            <w:tcBorders>
              <w:bottom w:val="single" w:sz="8" w:color="CCECFF"/>
            </w:tcBorders>
          </w:tcPr>
          <w:p>
            <w:pPr>
              <w:spacing w:after="0"/>
              <w:rPr>
                <w:sz w:val="11"/>
                <w:szCs w:val="11"/>
                <w:color w:val="auto"/>
              </w:rPr>
            </w:pPr>
          </w:p>
        </w:tc>
        <w:tc>
          <w:tcPr>
            <w:tcW w:w="290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5,380,917</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5,374,333</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gridSpan w:val="3"/>
            <w:shd w:val="clear" w:color="auto" w:fill="CCECFF"/>
          </w:tcPr>
          <w:p>
            <w:pPr>
              <w:spacing w:after="0"/>
              <w:rPr>
                <w:sz w:val="20"/>
                <w:szCs w:val="20"/>
                <w:color w:val="auto"/>
              </w:rPr>
            </w:pPr>
            <w:r>
              <w:rPr>
                <w:rFonts w:ascii="Arial" w:cs="Arial" w:eastAsia="Arial" w:hAnsi="Arial"/>
                <w:sz w:val="12"/>
                <w:szCs w:val="12"/>
                <w:b w:val="1"/>
                <w:bCs w:val="1"/>
                <w:color w:val="auto"/>
              </w:rPr>
              <w:t>Equity Securities - 3.3%</w:t>
            </w:r>
          </w:p>
        </w:tc>
        <w:tc>
          <w:tcPr>
            <w:tcW w:w="540" w:type="dxa"/>
            <w:vAlign w:val="bottom"/>
            <w:shd w:val="clear" w:color="auto" w:fill="CCECFF"/>
          </w:tcPr>
          <w:p>
            <w:pPr>
              <w:spacing w:after="0"/>
              <w:rPr>
                <w:sz w:val="12"/>
                <w:szCs w:val="12"/>
                <w:color w:val="auto"/>
              </w:rPr>
            </w:pPr>
          </w:p>
        </w:tc>
        <w:tc>
          <w:tcPr>
            <w:tcW w:w="29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DBI Intermediate Holdco, LLC, Series A-1</w:t>
            </w:r>
          </w:p>
        </w:tc>
        <w:tc>
          <w:tcPr>
            <w:tcW w:w="540" w:type="dxa"/>
            <w:vAlign w:val="bottom"/>
          </w:tcPr>
          <w:p>
            <w:pPr>
              <w:ind w:left="260"/>
              <w:spacing w:after="0"/>
              <w:rPr>
                <w:sz w:val="20"/>
                <w:szCs w:val="20"/>
                <w:color w:val="auto"/>
              </w:rPr>
            </w:pPr>
            <w:r>
              <w:rPr>
                <w:rFonts w:ascii="Arial" w:cs="Arial" w:eastAsia="Arial" w:hAnsi="Arial"/>
                <w:sz w:val="11"/>
                <w:szCs w:val="11"/>
                <w:color w:val="auto"/>
              </w:rPr>
              <w:t>—</w:t>
            </w:r>
          </w:p>
        </w:tc>
        <w:tc>
          <w:tcPr>
            <w:tcW w:w="2900" w:type="dxa"/>
            <w:vAlign w:val="bottom"/>
          </w:tcPr>
          <w:p>
            <w:pPr>
              <w:jc w:val="center"/>
              <w:ind w:left="46"/>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13.00%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6,784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DBI Intermediate Holdco, LLC, Series AA</w:t>
            </w:r>
          </w:p>
        </w:tc>
        <w:tc>
          <w:tcPr>
            <w:tcW w:w="540" w:type="dxa"/>
            <w:vAlign w:val="bottom"/>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90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7,007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6,731,347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1,314,706.0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tcPr>
          <w:p>
            <w:pPr>
              <w:spacing w:after="0"/>
              <w:rPr>
                <w:sz w:val="20"/>
                <w:szCs w:val="20"/>
                <w:color w:val="auto"/>
              </w:rPr>
            </w:pPr>
            <w:r>
              <w:rPr>
                <w:rFonts w:ascii="Arial" w:cs="Arial" w:eastAsia="Arial" w:hAnsi="Arial"/>
                <w:sz w:val="11"/>
                <w:szCs w:val="11"/>
                <w:color w:val="auto"/>
              </w:rPr>
              <w:t>DBI Intermediate Holdco, LLC, Series B</w:t>
            </w:r>
          </w:p>
        </w:tc>
        <w:tc>
          <w:tcPr>
            <w:tcW w:w="540" w:type="dxa"/>
            <w:vAlign w:val="bottom"/>
          </w:tcPr>
          <w:p>
            <w:pPr>
              <w:ind w:left="260"/>
              <w:spacing w:after="0"/>
              <w:rPr>
                <w:sz w:val="20"/>
                <w:szCs w:val="20"/>
                <w:color w:val="auto"/>
              </w:rPr>
            </w:pPr>
            <w:r>
              <w:rPr>
                <w:rFonts w:ascii="Arial" w:cs="Arial" w:eastAsia="Arial" w:hAnsi="Arial"/>
                <w:sz w:val="11"/>
                <w:szCs w:val="11"/>
                <w:color w:val="auto"/>
              </w:rPr>
              <w:t>—</w:t>
            </w:r>
          </w:p>
        </w:tc>
        <w:tc>
          <w:tcPr>
            <w:tcW w:w="2900" w:type="dxa"/>
            <w:vAlign w:val="bottom"/>
          </w:tcPr>
          <w:p>
            <w:pPr>
              <w:jc w:val="center"/>
              <w:ind w:left="46"/>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New MPE Holdings, LLC</w:t>
            </w:r>
          </w:p>
        </w:tc>
        <w:tc>
          <w:tcPr>
            <w:tcW w:w="540" w:type="dxa"/>
            <w:vAlign w:val="bottom"/>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900" w:type="dxa"/>
            <w:vAlign w:val="bottom"/>
            <w:shd w:val="clear" w:color="auto" w:fill="CCECFF"/>
          </w:tcPr>
          <w:p>
            <w:pPr>
              <w:jc w:val="center"/>
              <w:ind w:left="46"/>
              <w:spacing w:after="0"/>
              <w:rPr>
                <w:sz w:val="20"/>
                <w:szCs w:val="20"/>
                <w:color w:val="auto"/>
              </w:rPr>
            </w:pPr>
            <w:r>
              <w:rPr>
                <w:rFonts w:ascii="Arial" w:cs="Arial" w:eastAsia="Arial" w:hAnsi="Arial"/>
                <w:sz w:val="11"/>
                <w:szCs w:val="11"/>
                <w:color w:val="auto"/>
                <w:w w:val="92"/>
              </w:rPr>
              <w:t>Media: Diversified and Production</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362,244.0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b w:val="1"/>
                <w:bCs w:val="1"/>
                <w:color w:val="auto"/>
              </w:rPr>
              <w:t>Total Equity Securities</w:t>
            </w:r>
          </w:p>
        </w:tc>
        <w:tc>
          <w:tcPr>
            <w:tcW w:w="540" w:type="dxa"/>
            <w:vAlign w:val="bottom"/>
            <w:tcBorders>
              <w:bottom w:val="single" w:sz="8" w:color="CCECFF"/>
            </w:tcBorders>
          </w:tcPr>
          <w:p>
            <w:pPr>
              <w:spacing w:after="0"/>
              <w:rPr>
                <w:sz w:val="11"/>
                <w:szCs w:val="11"/>
                <w:color w:val="auto"/>
              </w:rPr>
            </w:pPr>
          </w:p>
        </w:tc>
        <w:tc>
          <w:tcPr>
            <w:tcW w:w="290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12,002,178</w:t>
            </w:r>
          </w:p>
        </w:tc>
        <w:tc>
          <w:tcPr>
            <w:tcW w:w="22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1,676,950</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Investments - 1101.7%</w:t>
            </w:r>
          </w:p>
        </w:tc>
        <w:tc>
          <w:tcPr>
            <w:tcW w:w="540" w:type="dxa"/>
            <w:vAlign w:val="bottom"/>
            <w:shd w:val="clear" w:color="auto" w:fill="CCECFF"/>
          </w:tcPr>
          <w:p>
            <w:pPr>
              <w:spacing w:after="0"/>
              <w:rPr>
                <w:sz w:val="11"/>
                <w:szCs w:val="11"/>
                <w:color w:val="auto"/>
              </w:rPr>
            </w:pPr>
          </w:p>
        </w:tc>
        <w:tc>
          <w:tcPr>
            <w:tcW w:w="290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576,262,980</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564,783,128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0" w:type="dxa"/>
            <w:vAlign w:val="bottom"/>
            <w:gridSpan w:val="3"/>
          </w:tcPr>
          <w:p>
            <w:pPr>
              <w:spacing w:after="0"/>
              <w:rPr>
                <w:sz w:val="20"/>
                <w:szCs w:val="20"/>
                <w:color w:val="auto"/>
              </w:rPr>
            </w:pPr>
            <w:r>
              <w:rPr>
                <w:rFonts w:ascii="Arial" w:cs="Arial" w:eastAsia="Arial" w:hAnsi="Arial"/>
                <w:sz w:val="11"/>
                <w:szCs w:val="11"/>
                <w:b w:val="1"/>
                <w:bCs w:val="1"/>
                <w:color w:val="auto"/>
              </w:rPr>
              <w:t>Cash and Cash Equivalents - 55.3%</w:t>
            </w:r>
          </w:p>
        </w:tc>
        <w:tc>
          <w:tcPr>
            <w:tcW w:w="5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540" w:type="dxa"/>
            <w:vAlign w:val="bottom"/>
            <w:shd w:val="clear" w:color="auto" w:fill="CCECFF"/>
          </w:tcPr>
          <w:p>
            <w:pPr>
              <w:spacing w:after="0"/>
              <w:rPr>
                <w:sz w:val="11"/>
                <w:szCs w:val="11"/>
                <w:color w:val="auto"/>
              </w:rPr>
            </w:pPr>
          </w:p>
        </w:tc>
        <w:tc>
          <w:tcPr>
            <w:tcW w:w="290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28,190,894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28,190,894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Borders>
              <w:bottom w:val="single" w:sz="8" w:color="CCECFF"/>
            </w:tcBorders>
            <w:gridSpan w:val="3"/>
          </w:tcPr>
          <w:p>
            <w:pPr>
              <w:spacing w:after="0"/>
              <w:rPr>
                <w:sz w:val="20"/>
                <w:szCs w:val="20"/>
                <w:color w:val="auto"/>
              </w:rPr>
            </w:pPr>
            <w:r>
              <w:rPr>
                <w:rFonts w:ascii="Arial" w:cs="Arial" w:eastAsia="Arial" w:hAnsi="Arial"/>
                <w:sz w:val="11"/>
                <w:szCs w:val="11"/>
                <w:color w:val="auto"/>
              </w:rPr>
              <w:t>US Bank Cash</w:t>
            </w:r>
          </w:p>
        </w:tc>
        <w:tc>
          <w:tcPr>
            <w:tcW w:w="540" w:type="dxa"/>
            <w:vAlign w:val="bottom"/>
            <w:tcBorders>
              <w:bottom w:val="single" w:sz="8" w:color="CCECFF"/>
            </w:tcBorders>
          </w:tcPr>
          <w:p>
            <w:pPr>
              <w:spacing w:after="0"/>
              <w:rPr>
                <w:sz w:val="11"/>
                <w:szCs w:val="11"/>
                <w:color w:val="auto"/>
              </w:rPr>
            </w:pPr>
          </w:p>
        </w:tc>
        <w:tc>
          <w:tcPr>
            <w:tcW w:w="290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7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195,787</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182,647</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00" w:type="dxa"/>
            <w:vAlign w:val="bottom"/>
            <w:gridSpan w:val="3"/>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540" w:type="dxa"/>
            <w:vAlign w:val="bottom"/>
            <w:shd w:val="clear" w:color="auto" w:fill="CCECFF"/>
          </w:tcPr>
          <w:p>
            <w:pPr>
              <w:spacing w:after="0"/>
              <w:rPr>
                <w:sz w:val="11"/>
                <w:szCs w:val="11"/>
                <w:color w:val="auto"/>
              </w:rPr>
            </w:pPr>
          </w:p>
        </w:tc>
        <w:tc>
          <w:tcPr>
            <w:tcW w:w="290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28,386,681</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28,373,541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gridSpan w:val="3"/>
          </w:tcPr>
          <w:p>
            <w:pPr>
              <w:spacing w:after="0"/>
              <w:rPr>
                <w:sz w:val="20"/>
                <w:szCs w:val="20"/>
                <w:color w:val="auto"/>
              </w:rPr>
            </w:pPr>
            <w:r>
              <w:rPr>
                <w:rFonts w:ascii="Arial" w:cs="Arial" w:eastAsia="Arial" w:hAnsi="Arial"/>
                <w:sz w:val="11"/>
                <w:szCs w:val="11"/>
                <w:b w:val="1"/>
                <w:bCs w:val="1"/>
                <w:color w:val="auto"/>
              </w:rPr>
              <w:t>Total Investments and Cash Equivalents —1,157.1%</w:t>
            </w:r>
          </w:p>
        </w:tc>
        <w:tc>
          <w:tcPr>
            <w:tcW w:w="5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604,649,661</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593,156,669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CFF"/>
            </w:tcBorders>
            <w:gridSpan w:val="3"/>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 — (1057.1)%</w:t>
            </w:r>
          </w:p>
        </w:tc>
        <w:tc>
          <w:tcPr>
            <w:tcW w:w="540" w:type="dxa"/>
            <w:vAlign w:val="bottom"/>
            <w:tcBorders>
              <w:top w:val="single" w:sz="8" w:color="CCECFF"/>
            </w:tcBorders>
            <w:shd w:val="clear" w:color="auto" w:fill="CCECFF"/>
          </w:tcPr>
          <w:p>
            <w:pPr>
              <w:spacing w:after="0" w:line="20" w:lineRule="exact"/>
              <w:rPr>
                <w:sz w:val="1"/>
                <w:szCs w:val="1"/>
                <w:color w:val="auto"/>
              </w:rPr>
            </w:pPr>
          </w:p>
        </w:tc>
        <w:tc>
          <w:tcPr>
            <w:tcW w:w="2900" w:type="dxa"/>
            <w:vAlign w:val="bottom"/>
            <w:tcBorders>
              <w:top w:val="single" w:sz="8" w:color="CCECFF"/>
            </w:tcBorders>
            <w:shd w:val="clear" w:color="auto" w:fill="CCECFF"/>
          </w:tcPr>
          <w:p>
            <w:pPr>
              <w:spacing w:after="0" w:line="20" w:lineRule="exact"/>
              <w:rPr>
                <w:sz w:val="1"/>
                <w:szCs w:val="1"/>
                <w:color w:val="auto"/>
              </w:rPr>
            </w:pPr>
          </w:p>
        </w:tc>
        <w:tc>
          <w:tcPr>
            <w:tcW w:w="7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7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6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200" w:type="dxa"/>
            <w:vAlign w:val="bottom"/>
            <w:gridSpan w:val="3"/>
            <w:vMerge w:val="continue"/>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9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(541,892,538)</w:t>
            </w:r>
          </w:p>
        </w:tc>
        <w:tc>
          <w:tcPr>
            <w:tcW w:w="0" w:type="dxa"/>
            <w:vAlign w:val="bottom"/>
          </w:tcPr>
          <w:p>
            <w:pPr>
              <w:spacing w:after="0"/>
              <w:rPr>
                <w:sz w:val="1"/>
                <w:szCs w:val="1"/>
                <w:color w:val="auto"/>
              </w:rPr>
            </w:pPr>
          </w:p>
        </w:tc>
      </w:tr>
      <w:tr>
        <w:trPr>
          <w:trHeight w:val="128"/>
        </w:trPr>
        <w:tc>
          <w:tcPr>
            <w:tcW w:w="3200" w:type="dxa"/>
            <w:vAlign w:val="bottom"/>
            <w:gridSpan w:val="3"/>
          </w:tcPr>
          <w:p>
            <w:pPr>
              <w:spacing w:after="0"/>
              <w:rPr>
                <w:sz w:val="20"/>
                <w:szCs w:val="20"/>
                <w:color w:val="auto"/>
              </w:rPr>
            </w:pPr>
            <w:r>
              <w:rPr>
                <w:rFonts w:ascii="Arial" w:cs="Arial" w:eastAsia="Arial" w:hAnsi="Arial"/>
                <w:sz w:val="11"/>
                <w:szCs w:val="11"/>
                <w:b w:val="1"/>
                <w:bCs w:val="1"/>
                <w:color w:val="auto"/>
              </w:rPr>
              <w:t>Members' Equity—100.0%</w:t>
            </w:r>
          </w:p>
        </w:tc>
        <w:tc>
          <w:tcPr>
            <w:tcW w:w="5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51,264,131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212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380" w:right="60" w:hanging="372"/>
        <w:spacing w:after="0" w:line="276" w:lineRule="auto"/>
        <w:tabs>
          <w:tab w:leader="none" w:pos="380" w:val="left"/>
        </w:tabs>
        <w:numPr>
          <w:ilvl w:val="0"/>
          <w:numId w:val="61"/>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Non-income producing security.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35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September 30, 2020:</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10"/>
                <w:szCs w:val="10"/>
                <w:color w:val="auto"/>
              </w:rPr>
            </w:pPr>
          </w:p>
        </w:tc>
        <w:tc>
          <w:tcPr>
            <w:tcW w:w="1040" w:type="dxa"/>
            <w:vAlign w:val="bottom"/>
            <w:gridSpan w:val="4"/>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Maturity</w:t>
            </w:r>
          </w:p>
        </w:tc>
        <w:tc>
          <w:tcPr>
            <w:tcW w:w="2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Industry</w:t>
            </w:r>
          </w:p>
        </w:tc>
        <w:tc>
          <w:tcPr>
            <w:tcW w:w="8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Coupon</w:t>
            </w:r>
          </w:p>
        </w:tc>
        <w:tc>
          <w:tcPr>
            <w:tcW w:w="140" w:type="dxa"/>
            <w:vAlign w:val="bottom"/>
          </w:tcPr>
          <w:p>
            <w:pPr>
              <w:spacing w:after="0"/>
              <w:rPr>
                <w:sz w:val="11"/>
                <w:szCs w:val="11"/>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Par</w:t>
            </w:r>
          </w:p>
        </w:tc>
        <w:tc>
          <w:tcPr>
            <w:tcW w:w="10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4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9"/>
                <w:szCs w:val="9"/>
                <w:b w:val="1"/>
                <w:bCs w:val="1"/>
                <w:color w:val="auto"/>
                <w:w w:val="95"/>
              </w:rPr>
              <w:t>(2)</w:t>
            </w:r>
          </w:p>
        </w:tc>
      </w:tr>
      <w:tr>
        <w:trPr>
          <w:trHeight w:val="128"/>
        </w:trPr>
        <w:tc>
          <w:tcPr>
            <w:tcW w:w="304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First Lien Secured Debt—838.2%</w:t>
            </w: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07/24/2025</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L+600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4,856,155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4,795,251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4,686,189</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American Auto Auction Group,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01/02/2024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Transportation: Consumer</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L+500</w:t>
            </w:r>
          </w:p>
        </w:tc>
        <w:tc>
          <w:tcPr>
            <w:tcW w:w="560" w:type="dxa"/>
            <w:vAlign w:val="bottom"/>
          </w:tcPr>
          <w:p>
            <w:pPr>
              <w:jc w:val="right"/>
              <w:spacing w:after="0"/>
              <w:rPr>
                <w:sz w:val="20"/>
                <w:szCs w:val="20"/>
                <w:color w:val="auto"/>
              </w:rPr>
            </w:pPr>
            <w:r>
              <w:rPr>
                <w:rFonts w:ascii="Arial" w:cs="Arial" w:eastAsia="Arial" w:hAnsi="Arial"/>
                <w:sz w:val="11"/>
                <w:szCs w:val="11"/>
                <w:color w:val="auto"/>
              </w:rPr>
              <w:t>7,670,399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7,596,860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7,440,287</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By Light Professional IT Services,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05/16/2022</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L+625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10,901,843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10,774,172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10,792,825</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Cadence Aerospace,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11/14/2023</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9.50%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L+850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11,802,082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11,730,187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11,322,915</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Cardenas Markets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11/29/2023</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L+575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4,779,776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4,759,527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4,779,776</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Centauri Group Holdings,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02/12/2024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L+525</w:t>
            </w:r>
          </w:p>
        </w:tc>
        <w:tc>
          <w:tcPr>
            <w:tcW w:w="560" w:type="dxa"/>
            <w:vAlign w:val="bottom"/>
          </w:tcPr>
          <w:p>
            <w:pPr>
              <w:jc w:val="right"/>
              <w:spacing w:after="0"/>
              <w:rPr>
                <w:sz w:val="20"/>
                <w:szCs w:val="20"/>
                <w:color w:val="auto"/>
              </w:rPr>
            </w:pPr>
            <w:r>
              <w:rPr>
                <w:rFonts w:ascii="Arial" w:cs="Arial" w:eastAsia="Arial" w:hAnsi="Arial"/>
                <w:sz w:val="11"/>
                <w:szCs w:val="11"/>
                <w:color w:val="auto"/>
              </w:rPr>
              <w:t>5,330,847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5,330,847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5,304,193</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Challenger Performance Optimization,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08/31/2023</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L+575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9,663,392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9,595,826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8,986,954</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Country Fresh Holdings,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05/01/2023</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L+500</w:t>
            </w:r>
          </w:p>
        </w:tc>
        <w:tc>
          <w:tcPr>
            <w:tcW w:w="560" w:type="dxa"/>
            <w:vAlign w:val="bottom"/>
          </w:tcPr>
          <w:p>
            <w:pPr>
              <w:jc w:val="right"/>
              <w:spacing w:after="0"/>
              <w:rPr>
                <w:sz w:val="20"/>
                <w:szCs w:val="20"/>
                <w:color w:val="auto"/>
              </w:rPr>
            </w:pPr>
            <w:r>
              <w:rPr>
                <w:rFonts w:ascii="Arial" w:cs="Arial" w:eastAsia="Arial" w:hAnsi="Arial"/>
                <w:sz w:val="11"/>
                <w:szCs w:val="11"/>
                <w:color w:val="auto"/>
              </w:rPr>
              <w:t>182,403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179,976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Holdings, LLC (Revolver)</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05/01/2023</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450,110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450,111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450,110</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Douglas Products and Packaging Company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10/19/2022</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8,836,683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8,756,358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8,704,133</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10/19/2022</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L+575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7,403,183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7,370,405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7,292,135</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DRS Holdings III,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11/03/2025</w:t>
            </w:r>
          </w:p>
        </w:tc>
        <w:tc>
          <w:tcPr>
            <w:tcW w:w="220" w:type="dxa"/>
            <w:vAlign w:val="bottom"/>
          </w:tcPr>
          <w:p>
            <w:pPr>
              <w:spacing w:after="0"/>
              <w:rPr>
                <w:sz w:val="11"/>
                <w:szCs w:val="11"/>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8,022,149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7,950,609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7,875,344</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05/31/2024</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Banking, Finance, Insurance and Real Estate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5.46%</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60"/>
              <w:spacing w:after="0"/>
              <w:rPr>
                <w:sz w:val="20"/>
                <w:szCs w:val="20"/>
                <w:color w:val="auto"/>
              </w:rPr>
            </w:pPr>
            <w:r>
              <w:rPr>
                <w:rFonts w:ascii="Arial" w:cs="Arial" w:eastAsia="Arial" w:hAnsi="Arial"/>
                <w:sz w:val="11"/>
                <w:szCs w:val="11"/>
                <w:color w:val="auto"/>
              </w:rPr>
              <w:t>L+525A $</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10,000,000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7,411,600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6,809,125</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GCOM Software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11/14/2022</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L+625</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16,646,228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16,562,972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16,646,228</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Good2Grow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11/18/2024</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Beverages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L+425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9,499,183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9,429,133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9,427,938</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GSM Holdings,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06/03/2024</w:t>
            </w:r>
          </w:p>
        </w:tc>
        <w:tc>
          <w:tcPr>
            <w:tcW w:w="220" w:type="dxa"/>
            <w:vAlign w:val="bottom"/>
          </w:tcPr>
          <w:p>
            <w:pPr>
              <w:spacing w:after="0"/>
              <w:rPr>
                <w:sz w:val="11"/>
                <w:szCs w:val="11"/>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Consumer Goods: Durable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L+450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19,470,523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19,354,235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19,275,817</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IMIA Holdings,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10/26/2025</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L+450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12,143,568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12,097,717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12,022,132</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Impact Group,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06/27/2023</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8.37%</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L+737</w:t>
            </w:r>
          </w:p>
        </w:tc>
        <w:tc>
          <w:tcPr>
            <w:tcW w:w="560" w:type="dxa"/>
            <w:vAlign w:val="bottom"/>
          </w:tcPr>
          <w:p>
            <w:pPr>
              <w:jc w:val="right"/>
              <w:spacing w:after="0"/>
              <w:rPr>
                <w:sz w:val="20"/>
                <w:szCs w:val="20"/>
                <w:color w:val="auto"/>
              </w:rPr>
            </w:pPr>
            <w:r>
              <w:rPr>
                <w:rFonts w:ascii="Arial" w:cs="Arial" w:eastAsia="Arial" w:hAnsi="Arial"/>
                <w:sz w:val="11"/>
                <w:szCs w:val="11"/>
                <w:color w:val="auto"/>
              </w:rPr>
              <w:t>9,290,185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9,216,206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9,336,636</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09/29/2023</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5.75%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L+475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8,587,606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8,587,606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8,458,792</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K2 Pure Solutions NoCal, L.P.</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12/20/2023</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L+700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19,650,000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19,436,214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19,217,700</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10/31/2024</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L+750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9,975,861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9,902,990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9,188,766</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LSF9 Atlantis Holdings,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05/01/2023</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Retail</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L+600</w:t>
            </w:r>
          </w:p>
        </w:tc>
        <w:tc>
          <w:tcPr>
            <w:tcW w:w="560" w:type="dxa"/>
            <w:vAlign w:val="bottom"/>
          </w:tcPr>
          <w:p>
            <w:pPr>
              <w:jc w:val="right"/>
              <w:spacing w:after="0"/>
              <w:rPr>
                <w:sz w:val="20"/>
                <w:szCs w:val="20"/>
                <w:color w:val="auto"/>
              </w:rPr>
            </w:pPr>
            <w:r>
              <w:rPr>
                <w:rFonts w:ascii="Arial" w:cs="Arial" w:eastAsia="Arial" w:hAnsi="Arial"/>
                <w:sz w:val="11"/>
                <w:szCs w:val="11"/>
                <w:color w:val="auto"/>
              </w:rPr>
              <w:t>6,843,750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6,872,048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6,631,320</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12/08/2023</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L+600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4,313,910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4,273,019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4,197,866</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01/27/2023</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0.00%</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480" w:type="dxa"/>
            <w:vAlign w:val="bottom"/>
          </w:tcPr>
          <w:p>
            <w:pPr>
              <w:spacing w:after="0"/>
              <w:rPr>
                <w:sz w:val="11"/>
                <w:szCs w:val="11"/>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1"/>
                <w:szCs w:val="11"/>
                <w:color w:val="auto"/>
              </w:rPr>
              <w:t>— C $</w:t>
            </w:r>
          </w:p>
        </w:tc>
        <w:tc>
          <w:tcPr>
            <w:tcW w:w="560" w:type="dxa"/>
            <w:vAlign w:val="bottom"/>
          </w:tcPr>
          <w:p>
            <w:pPr>
              <w:jc w:val="right"/>
              <w:spacing w:after="0"/>
              <w:rPr>
                <w:sz w:val="20"/>
                <w:szCs w:val="20"/>
                <w:color w:val="auto"/>
              </w:rPr>
            </w:pPr>
            <w:r>
              <w:rPr>
                <w:rFonts w:ascii="Arial" w:cs="Arial" w:eastAsia="Arial" w:hAnsi="Arial"/>
                <w:sz w:val="11"/>
                <w:szCs w:val="11"/>
                <w:color w:val="auto"/>
              </w:rPr>
              <w:t>5,730,254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4,449,786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3,623,691</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05/23/2024</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Media: Advertising, Printing &amp; Publishing</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4,812,500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4,771,073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4,583,906</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Mission Critical Electronics,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09/28/2022</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L+500</w:t>
            </w:r>
          </w:p>
        </w:tc>
        <w:tc>
          <w:tcPr>
            <w:tcW w:w="560" w:type="dxa"/>
            <w:vAlign w:val="bottom"/>
          </w:tcPr>
          <w:p>
            <w:pPr>
              <w:jc w:val="right"/>
              <w:spacing w:after="0"/>
              <w:rPr>
                <w:sz w:val="20"/>
                <w:szCs w:val="20"/>
                <w:color w:val="auto"/>
              </w:rPr>
            </w:pPr>
            <w:r>
              <w:rPr>
                <w:rFonts w:ascii="Arial" w:cs="Arial" w:eastAsia="Arial" w:hAnsi="Arial"/>
                <w:sz w:val="11"/>
                <w:szCs w:val="11"/>
                <w:color w:val="auto"/>
              </w:rPr>
              <w:t>5,949,731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5,927,114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5,877,737</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New Milani Group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06/06/2024</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14,662,500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14,568,019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13,379,531</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Output Services Group,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03/27/2024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L+450</w:t>
            </w:r>
          </w:p>
        </w:tc>
        <w:tc>
          <w:tcPr>
            <w:tcW w:w="560" w:type="dxa"/>
            <w:vAlign w:val="bottom"/>
          </w:tcPr>
          <w:p>
            <w:pPr>
              <w:jc w:val="right"/>
              <w:spacing w:after="0"/>
              <w:rPr>
                <w:sz w:val="20"/>
                <w:szCs w:val="20"/>
                <w:color w:val="auto"/>
              </w:rPr>
            </w:pPr>
            <w:r>
              <w:rPr>
                <w:rFonts w:ascii="Arial" w:cs="Arial" w:eastAsia="Arial" w:hAnsi="Arial"/>
                <w:sz w:val="11"/>
                <w:szCs w:val="11"/>
                <w:color w:val="auto"/>
              </w:rPr>
              <w:t>7,803,419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7,825,029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7,101,111</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PH Beauty Holdings III,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09/29/2025</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5.19%</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9,792,594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9,717,936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9,156,076</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Plant Health Intermediate,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10/19/2022</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1,594,030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1,579,915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1,570,120</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9"/>
              </w:rPr>
              <w:t>05/8/2026</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Products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5.72%</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4,025,520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3,990,707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3,824,244</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Sargent &amp; Greenleaf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12/20/2024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L+550</w:t>
            </w:r>
          </w:p>
        </w:tc>
        <w:tc>
          <w:tcPr>
            <w:tcW w:w="560" w:type="dxa"/>
            <w:vAlign w:val="bottom"/>
          </w:tcPr>
          <w:p>
            <w:pPr>
              <w:jc w:val="right"/>
              <w:spacing w:after="0"/>
              <w:rPr>
                <w:sz w:val="20"/>
                <w:szCs w:val="20"/>
                <w:color w:val="auto"/>
              </w:rPr>
            </w:pPr>
            <w:r>
              <w:rPr>
                <w:rFonts w:ascii="Arial" w:cs="Arial" w:eastAsia="Arial" w:hAnsi="Arial"/>
                <w:sz w:val="11"/>
                <w:szCs w:val="11"/>
                <w:color w:val="auto"/>
              </w:rPr>
              <w:t>4,925,000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4,860,858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4,836,350</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07/14/2025</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L+600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11,904,617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11,904,617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11,041,532</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Smile Brands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10/14/2024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4.93%</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L+450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11,175,938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11,090,654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10,840,659</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Snak Club,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07/19/2021</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4,561,971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4,561,971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4,493,542</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Solutionreach,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01/17/2024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6,214,305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6,149,172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6,145,948</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STV Group Incorporated</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12/11/2026</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Construction and Building</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5.40%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7,762,222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7,692,023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7,684,600</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TeleGuam Holdings,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11/20/2025</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L+450</w:t>
            </w:r>
          </w:p>
        </w:tc>
        <w:tc>
          <w:tcPr>
            <w:tcW w:w="560" w:type="dxa"/>
            <w:vAlign w:val="bottom"/>
          </w:tcPr>
          <w:p>
            <w:pPr>
              <w:jc w:val="right"/>
              <w:spacing w:after="0"/>
              <w:rPr>
                <w:sz w:val="20"/>
                <w:szCs w:val="20"/>
                <w:color w:val="auto"/>
              </w:rPr>
            </w:pPr>
            <w:r>
              <w:rPr>
                <w:rFonts w:ascii="Arial" w:cs="Arial" w:eastAsia="Arial" w:hAnsi="Arial"/>
                <w:sz w:val="11"/>
                <w:szCs w:val="11"/>
                <w:color w:val="auto"/>
              </w:rPr>
              <w:t>8,309,797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8,272,104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8,060,503</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07/18/2025</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4,950,000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4,783,595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4,764,375</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The Infosoft Group,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09/16/2024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6M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L+575</w:t>
            </w:r>
          </w:p>
        </w:tc>
        <w:tc>
          <w:tcPr>
            <w:tcW w:w="560" w:type="dxa"/>
            <w:vAlign w:val="bottom"/>
          </w:tcPr>
          <w:p>
            <w:pPr>
              <w:jc w:val="right"/>
              <w:spacing w:after="0"/>
              <w:rPr>
                <w:sz w:val="20"/>
                <w:szCs w:val="20"/>
                <w:color w:val="auto"/>
              </w:rPr>
            </w:pPr>
            <w:r>
              <w:rPr>
                <w:rFonts w:ascii="Arial" w:cs="Arial" w:eastAsia="Arial" w:hAnsi="Arial"/>
                <w:sz w:val="11"/>
                <w:szCs w:val="11"/>
                <w:color w:val="auto"/>
              </w:rPr>
              <w:t>8,602,807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8,584,634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8,602,807</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TPC Canada Parent, Inc. and TPC US Parent,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11/24/2025</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8,924,066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8,837,614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8,656,344</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TVC Enterprises,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01/18/2024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L+550</w:t>
            </w:r>
          </w:p>
        </w:tc>
        <w:tc>
          <w:tcPr>
            <w:tcW w:w="560" w:type="dxa"/>
            <w:vAlign w:val="bottom"/>
          </w:tcPr>
          <w:p>
            <w:pPr>
              <w:jc w:val="right"/>
              <w:spacing w:after="0"/>
              <w:rPr>
                <w:sz w:val="20"/>
                <w:szCs w:val="20"/>
                <w:color w:val="auto"/>
              </w:rPr>
            </w:pPr>
            <w:r>
              <w:rPr>
                <w:rFonts w:ascii="Arial" w:cs="Arial" w:eastAsia="Arial" w:hAnsi="Arial"/>
                <w:sz w:val="11"/>
                <w:szCs w:val="11"/>
                <w:color w:val="auto"/>
              </w:rPr>
              <w:t>9,747,335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9,747,335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9,674,230</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06/16/2025</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L+625</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6,910,465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6,797,117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6,772,256</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UBEO,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04/03/2024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L+450</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21,930,702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21,762,065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20,614,860</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08/30/2024</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6.00%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L+500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11,463,443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11,311,325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11,119,540</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Walker Edison Furniture Company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09/26/2024</w:t>
            </w:r>
          </w:p>
        </w:tc>
        <w:tc>
          <w:tcPr>
            <w:tcW w:w="220" w:type="dxa"/>
            <w:vAlign w:val="bottom"/>
          </w:tcPr>
          <w:p>
            <w:pPr>
              <w:spacing w:after="0"/>
              <w:rPr>
                <w:sz w:val="11"/>
                <w:szCs w:val="11"/>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L+625</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10,594,047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10,440,520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10,594,047</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Whitney, Bradley &amp; Brown,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10/18/2022</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8.50%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w w:val="90"/>
              </w:rPr>
              <w:t>L+750</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254,095</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250,910</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251,557</w:t>
            </w:r>
          </w:p>
        </w:tc>
        <w:tc>
          <w:tcPr>
            <w:tcW w:w="120" w:type="dxa"/>
            <w:vAlign w:val="bottom"/>
            <w:shd w:val="clear" w:color="auto" w:fill="CCECFF"/>
          </w:tcPr>
          <w:p>
            <w:pPr>
              <w:spacing w:after="0"/>
              <w:rPr>
                <w:sz w:val="11"/>
                <w:szCs w:val="11"/>
                <w:color w:val="auto"/>
              </w:rPr>
            </w:pPr>
          </w:p>
        </w:tc>
      </w:tr>
      <w:tr>
        <w:trPr>
          <w:trHeight w:val="128"/>
        </w:trPr>
        <w:tc>
          <w:tcPr>
            <w:tcW w:w="30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392,309,962</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382,299,150</w:t>
            </w:r>
          </w:p>
        </w:tc>
        <w:tc>
          <w:tcPr>
            <w:tcW w:w="120" w:type="dxa"/>
            <w:vAlign w:val="bottom"/>
            <w:tcBorders>
              <w:bottom w:val="single" w:sz="8" w:color="CCECFF"/>
            </w:tcBorders>
          </w:tcPr>
          <w:p>
            <w:pPr>
              <w:spacing w:after="0"/>
              <w:rPr>
                <w:sz w:val="11"/>
                <w:szCs w:val="11"/>
                <w:color w:val="auto"/>
              </w:rPr>
            </w:pPr>
          </w:p>
        </w:tc>
      </w:tr>
      <w:tr>
        <w:trPr>
          <w:trHeight w:val="128"/>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Debt—19.5%</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40" w:type="dxa"/>
            <w:vAlign w:val="bottom"/>
            <w:gridSpan w:val="2"/>
          </w:tcPr>
          <w:p>
            <w:pPr>
              <w:spacing w:after="0"/>
              <w:rPr>
                <w:sz w:val="20"/>
                <w:szCs w:val="20"/>
                <w:color w:val="auto"/>
              </w:rPr>
            </w:pPr>
            <w:r>
              <w:rPr>
                <w:rFonts w:ascii="Arial" w:cs="Arial" w:eastAsia="Arial" w:hAnsi="Arial"/>
                <w:sz w:val="11"/>
                <w:szCs w:val="11"/>
                <w:color w:val="auto"/>
              </w:rPr>
              <w:t>Country Fresh Holdings,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04/29/2024</w:t>
            </w:r>
          </w:p>
        </w:tc>
        <w:tc>
          <w:tcPr>
            <w:tcW w:w="2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9.50%</w:t>
            </w:r>
          </w:p>
        </w:tc>
        <w:tc>
          <w:tcPr>
            <w:tcW w:w="140" w:type="dxa"/>
            <w:vAlign w:val="bottom"/>
          </w:tcPr>
          <w:p>
            <w:pPr>
              <w:spacing w:after="0"/>
              <w:rPr>
                <w:sz w:val="12"/>
                <w:szCs w:val="12"/>
                <w:color w:val="auto"/>
              </w:rPr>
            </w:pP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w w:val="90"/>
              </w:rPr>
              <w:t>L+850</w:t>
            </w:r>
          </w:p>
        </w:tc>
        <w:tc>
          <w:tcPr>
            <w:tcW w:w="560" w:type="dxa"/>
            <w:vAlign w:val="bottom"/>
          </w:tcPr>
          <w:p>
            <w:pPr>
              <w:jc w:val="right"/>
              <w:spacing w:after="0"/>
              <w:rPr>
                <w:sz w:val="20"/>
                <w:szCs w:val="20"/>
                <w:color w:val="auto"/>
              </w:rPr>
            </w:pPr>
            <w:r>
              <w:rPr>
                <w:rFonts w:ascii="Arial" w:cs="Arial" w:eastAsia="Arial" w:hAnsi="Arial"/>
                <w:sz w:val="11"/>
                <w:szCs w:val="11"/>
                <w:color w:val="auto"/>
              </w:rPr>
              <w:t>964,045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964,045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889,813</w:t>
            </w:r>
          </w:p>
        </w:tc>
        <w:tc>
          <w:tcPr>
            <w:tcW w:w="120" w:type="dxa"/>
            <w:vAlign w:val="bottom"/>
          </w:tcPr>
          <w:p>
            <w:pPr>
              <w:spacing w:after="0"/>
              <w:rPr>
                <w:sz w:val="12"/>
                <w:szCs w:val="12"/>
                <w:color w:val="auto"/>
              </w:rPr>
            </w:pPr>
          </w:p>
        </w:tc>
      </w:tr>
      <w:tr>
        <w:trPr>
          <w:trHeight w:val="131"/>
        </w:trPr>
        <w:tc>
          <w:tcPr>
            <w:tcW w:w="2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(PIK 9.50%)</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DBI Holding, LLC, Term Loan B</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03/26/2021</w:t>
            </w:r>
          </w:p>
        </w:tc>
        <w:tc>
          <w:tcPr>
            <w:tcW w:w="220" w:type="dxa"/>
            <w:vAlign w:val="bottom"/>
            <w:shd w:val="clear" w:color="auto" w:fill="CCECFF"/>
          </w:tcPr>
          <w:p>
            <w:pPr>
              <w:spacing w:after="0"/>
              <w:rPr>
                <w:sz w:val="11"/>
                <w:szCs w:val="11"/>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40"/>
              <w:spacing w:after="0"/>
              <w:rPr>
                <w:sz w:val="20"/>
                <w:szCs w:val="20"/>
                <w:color w:val="auto"/>
              </w:rPr>
            </w:pPr>
            <w:r>
              <w:rPr>
                <w:rFonts w:ascii="Arial" w:cs="Arial" w:eastAsia="Arial" w:hAnsi="Arial"/>
                <w:sz w:val="11"/>
                <w:szCs w:val="11"/>
                <w:color w:val="auto"/>
              </w:rPr>
              <w:t>9.00%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15,946</w:t>
            </w:r>
          </w:p>
        </w:tc>
        <w:tc>
          <w:tcPr>
            <w:tcW w:w="120" w:type="dxa"/>
            <w:vAlign w:val="bottom"/>
            <w:shd w:val="clear" w:color="auto" w:fill="CCECFF"/>
          </w:tcPr>
          <w:p>
            <w:pPr>
              <w:spacing w:after="0"/>
              <w:rPr>
                <w:sz w:val="11"/>
                <w:szCs w:val="11"/>
                <w:color w:val="auto"/>
              </w:rPr>
            </w:pPr>
          </w:p>
        </w:tc>
      </w:tr>
      <w:tr>
        <w:trPr>
          <w:trHeight w:val="135"/>
        </w:trPr>
        <w:tc>
          <w:tcPr>
            <w:tcW w:w="212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(PIK 9.00%)</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40" w:type="dxa"/>
            <w:vAlign w:val="bottom"/>
            <w:gridSpan w:val="2"/>
          </w:tcPr>
          <w:p>
            <w:pPr>
              <w:spacing w:after="0"/>
              <w:rPr>
                <w:sz w:val="20"/>
                <w:szCs w:val="20"/>
                <w:color w:val="auto"/>
              </w:rPr>
            </w:pPr>
            <w:r>
              <w:rPr>
                <w:rFonts w:ascii="Arial" w:cs="Arial" w:eastAsia="Arial" w:hAnsi="Arial"/>
                <w:sz w:val="11"/>
                <w:szCs w:val="11"/>
                <w:color w:val="auto"/>
              </w:rPr>
              <w:t>DBI Holding, LLC, Term Loan 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02/02/2026</w:t>
            </w:r>
          </w:p>
        </w:tc>
        <w:tc>
          <w:tcPr>
            <w:tcW w:w="2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9.00%</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7,977,513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7,977,513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7,977,513</w:t>
            </w:r>
          </w:p>
        </w:tc>
        <w:tc>
          <w:tcPr>
            <w:tcW w:w="120" w:type="dxa"/>
            <w:vAlign w:val="bottom"/>
          </w:tcPr>
          <w:p>
            <w:pPr>
              <w:spacing w:after="0"/>
              <w:rPr>
                <w:sz w:val="12"/>
                <w:szCs w:val="12"/>
                <w:color w:val="auto"/>
              </w:rPr>
            </w:pPr>
          </w:p>
        </w:tc>
      </w:tr>
      <w:tr>
        <w:trPr>
          <w:trHeight w:val="131"/>
        </w:trPr>
        <w:tc>
          <w:tcPr>
            <w:tcW w:w="2120" w:type="dxa"/>
            <w:vAlign w:val="bottom"/>
            <w:tcBorders>
              <w:bottom w:val="single" w:sz="8" w:color="CCECFF"/>
            </w:tcBorders>
          </w:tcPr>
          <w:p>
            <w:pPr>
              <w:spacing w:after="0"/>
              <w:rPr>
                <w:sz w:val="11"/>
                <w:szCs w:val="11"/>
                <w:color w:val="auto"/>
              </w:rPr>
            </w:pPr>
          </w:p>
        </w:tc>
        <w:tc>
          <w:tcPr>
            <w:tcW w:w="9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800" w:type="dxa"/>
            <w:vAlign w:val="bottom"/>
            <w:tcBorders>
              <w:bottom w:val="single" w:sz="8" w:color="CCECFF"/>
            </w:tcBorders>
            <w:gridSpan w:val="2"/>
          </w:tcPr>
          <w:p>
            <w:pPr>
              <w:jc w:val="right"/>
              <w:spacing w:after="0"/>
              <w:rPr>
                <w:sz w:val="20"/>
                <w:szCs w:val="20"/>
                <w:color w:val="auto"/>
              </w:rPr>
            </w:pPr>
            <w:r>
              <w:rPr>
                <w:rFonts w:ascii="Arial" w:cs="Arial" w:eastAsia="Arial" w:hAnsi="Arial"/>
                <w:sz w:val="11"/>
                <w:szCs w:val="11"/>
                <w:color w:val="auto"/>
              </w:rPr>
              <w:t>(PIK 9.00%)</w:t>
            </w:r>
          </w:p>
        </w:tc>
        <w:tc>
          <w:tcPr>
            <w:tcW w:w="14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9"/>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8,957,504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8,883,272</w:t>
            </w:r>
          </w:p>
        </w:tc>
        <w:tc>
          <w:tcPr>
            <w:tcW w:w="120" w:type="dxa"/>
            <w:vAlign w:val="bottom"/>
            <w:shd w:val="clear" w:color="auto" w:fill="CCECFF"/>
          </w:tcPr>
          <w:p>
            <w:pPr>
              <w:spacing w:after="0"/>
              <w:rPr>
                <w:sz w:val="11"/>
                <w:szCs w:val="11"/>
                <w:color w:val="auto"/>
              </w:rPr>
            </w:pPr>
          </w:p>
        </w:tc>
      </w:tr>
      <w:tr>
        <w:trPr>
          <w:trHeight w:val="128"/>
        </w:trPr>
        <w:tc>
          <w:tcPr>
            <w:tcW w:w="3040" w:type="dxa"/>
            <w:vAlign w:val="bottom"/>
            <w:gridSpan w:val="2"/>
          </w:tcPr>
          <w:p>
            <w:pPr>
              <w:spacing w:after="0"/>
              <w:rPr>
                <w:sz w:val="20"/>
                <w:szCs w:val="20"/>
                <w:color w:val="auto"/>
              </w:rPr>
            </w:pPr>
            <w:r>
              <w:rPr>
                <w:rFonts w:ascii="Arial" w:cs="Arial" w:eastAsia="Arial" w:hAnsi="Arial"/>
                <w:sz w:val="11"/>
                <w:szCs w:val="11"/>
                <w:b w:val="1"/>
                <w:bCs w:val="1"/>
                <w:color w:val="auto"/>
              </w:rPr>
              <w:t>Equity Securities—4.0%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 Company Inc.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1,713,105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DBI Holding, LLC, Series A-1</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5,034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1,803,668</w:t>
            </w: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DBI Holding, LLC, Series B</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560" w:type="dxa"/>
            <w:vAlign w:val="bottom"/>
            <w:gridSpan w:val="3"/>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1,065,021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28"/>
        </w:trPr>
        <w:tc>
          <w:tcPr>
            <w:tcW w:w="30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6,983,936</w:t>
            </w:r>
          </w:p>
        </w:tc>
        <w:tc>
          <w:tcPr>
            <w:tcW w:w="220" w:type="dxa"/>
            <w:vAlign w:val="bottom"/>
            <w:tcBorders>
              <w:bottom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1,803,668</w:t>
            </w:r>
          </w:p>
        </w:tc>
        <w:tc>
          <w:tcPr>
            <w:tcW w:w="120" w:type="dxa"/>
            <w:vAlign w:val="bottom"/>
            <w:tcBorders>
              <w:bottom w:val="single" w:sz="8" w:color="CCECFF"/>
            </w:tcBorders>
          </w:tcPr>
          <w:p>
            <w:pPr>
              <w:spacing w:after="0"/>
              <w:rPr>
                <w:sz w:val="11"/>
                <w:szCs w:val="11"/>
                <w:color w:val="auto"/>
              </w:rPr>
            </w:pPr>
          </w:p>
        </w:tc>
      </w:tr>
      <w:tr>
        <w:trPr>
          <w:trHeight w:val="129"/>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Investments—861.6%</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408,251,402</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4"/>
              </w:rPr>
              <w:t>392,986,090</w:t>
            </w:r>
          </w:p>
        </w:tc>
        <w:tc>
          <w:tcPr>
            <w:tcW w:w="120" w:type="dxa"/>
            <w:vAlign w:val="bottom"/>
            <w:shd w:val="clear" w:color="auto" w:fill="CCECFF"/>
          </w:tcPr>
          <w:p>
            <w:pPr>
              <w:spacing w:after="0"/>
              <w:rPr>
                <w:sz w:val="11"/>
                <w:szCs w:val="11"/>
                <w:color w:val="auto"/>
              </w:rPr>
            </w:pPr>
          </w:p>
        </w:tc>
      </w:tr>
      <w:tr>
        <w:trPr>
          <w:trHeight w:val="128"/>
        </w:trPr>
        <w:tc>
          <w:tcPr>
            <w:tcW w:w="3040" w:type="dxa"/>
            <w:vAlign w:val="bottom"/>
            <w:gridSpan w:val="2"/>
          </w:tcPr>
          <w:p>
            <w:pPr>
              <w:spacing w:after="0"/>
              <w:rPr>
                <w:sz w:val="20"/>
                <w:szCs w:val="20"/>
                <w:color w:val="auto"/>
              </w:rPr>
            </w:pPr>
            <w:r>
              <w:rPr>
                <w:rFonts w:ascii="Arial" w:cs="Arial" w:eastAsia="Arial" w:hAnsi="Arial"/>
                <w:sz w:val="11"/>
                <w:szCs w:val="11"/>
                <w:b w:val="1"/>
                <w:bCs w:val="1"/>
                <w:color w:val="auto"/>
              </w:rPr>
              <w:t>Cash and Cash Equivalents—24.4%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6,005,963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6,005,963</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5,109,410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5,115,516</w:t>
            </w:r>
          </w:p>
        </w:tc>
        <w:tc>
          <w:tcPr>
            <w:tcW w:w="120" w:type="dxa"/>
            <w:vAlign w:val="bottom"/>
            <w:tcBorders>
              <w:bottom w:val="single" w:sz="8" w:color="CCECFF"/>
            </w:tcBorders>
          </w:tcPr>
          <w:p>
            <w:pPr>
              <w:spacing w:after="0"/>
              <w:rPr>
                <w:sz w:val="11"/>
                <w:szCs w:val="11"/>
                <w:color w:val="auto"/>
              </w:rPr>
            </w:pPr>
          </w:p>
        </w:tc>
      </w:tr>
      <w:tr>
        <w:trPr>
          <w:trHeight w:val="128"/>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11,115,373</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11,121,479</w:t>
            </w:r>
          </w:p>
        </w:tc>
        <w:tc>
          <w:tcPr>
            <w:tcW w:w="120" w:type="dxa"/>
            <w:vAlign w:val="bottom"/>
            <w:shd w:val="clear" w:color="auto" w:fill="CCECFF"/>
          </w:tcPr>
          <w:p>
            <w:pPr>
              <w:spacing w:after="0"/>
              <w:rPr>
                <w:sz w:val="11"/>
                <w:szCs w:val="11"/>
                <w:color w:val="auto"/>
              </w:rPr>
            </w:pPr>
          </w:p>
        </w:tc>
      </w:tr>
      <w:tr>
        <w:trPr>
          <w:trHeight w:val="169"/>
        </w:trPr>
        <w:tc>
          <w:tcPr>
            <w:tcW w:w="30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Investments and Cash Equivalents—886.0%</w:t>
            </w:r>
          </w:p>
        </w:tc>
        <w:tc>
          <w:tcPr>
            <w:tcW w:w="120" w:type="dxa"/>
            <w:vAlign w:val="bottom"/>
            <w:tcBorders>
              <w:bottom w:val="single" w:sz="8" w:color="CCECFF"/>
            </w:tcBorders>
          </w:tcPr>
          <w:p>
            <w:pPr>
              <w:spacing w:after="0"/>
              <w:rPr>
                <w:sz w:val="14"/>
                <w:szCs w:val="14"/>
                <w:color w:val="auto"/>
              </w:rPr>
            </w:pPr>
          </w:p>
        </w:tc>
        <w:tc>
          <w:tcPr>
            <w:tcW w:w="54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68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68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480" w:type="dxa"/>
            <w:vAlign w:val="bottom"/>
            <w:tcBorders>
              <w:bottom w:val="single" w:sz="8" w:color="CCECFF"/>
            </w:tcBorders>
          </w:tcPr>
          <w:p>
            <w:pPr>
              <w:spacing w:after="0"/>
              <w:rPr>
                <w:sz w:val="14"/>
                <w:szCs w:val="14"/>
                <w:color w:val="auto"/>
              </w:rPr>
            </w:pPr>
          </w:p>
        </w:tc>
        <w:tc>
          <w:tcPr>
            <w:tcW w:w="32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56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419,366,775</w:t>
            </w:r>
          </w:p>
        </w:tc>
        <w:tc>
          <w:tcPr>
            <w:tcW w:w="2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404,107,569</w:t>
            </w:r>
          </w:p>
        </w:tc>
        <w:tc>
          <w:tcPr>
            <w:tcW w:w="120" w:type="dxa"/>
            <w:vAlign w:val="bottom"/>
            <w:tcBorders>
              <w:bottom w:val="single" w:sz="8" w:color="CCECFF"/>
            </w:tcBorders>
          </w:tcPr>
          <w:p>
            <w:pPr>
              <w:spacing w:after="0"/>
              <w:rPr>
                <w:sz w:val="14"/>
                <w:szCs w:val="14"/>
                <w:color w:val="auto"/>
              </w:rPr>
            </w:pPr>
          </w:p>
        </w:tc>
      </w:tr>
      <w:tr>
        <w:trPr>
          <w:trHeight w:val="115"/>
        </w:trPr>
        <w:tc>
          <w:tcPr>
            <w:tcW w:w="3040" w:type="dxa"/>
            <w:vAlign w:val="bottom"/>
            <w:gridSpan w:val="2"/>
            <w:shd w:val="clear" w:color="auto" w:fill="CCECFF"/>
          </w:tcPr>
          <w:p>
            <w:pPr>
              <w:spacing w:after="0" w:line="116" w:lineRule="exact"/>
              <w:rPr>
                <w:sz w:val="20"/>
                <w:szCs w:val="20"/>
                <w:color w:val="auto"/>
              </w:rPr>
            </w:pPr>
            <w:r>
              <w:rPr>
                <w:rFonts w:ascii="Arial" w:cs="Arial" w:eastAsia="Arial" w:hAnsi="Arial"/>
                <w:sz w:val="11"/>
                <w:szCs w:val="11"/>
                <w:b w:val="1"/>
                <w:bCs w:val="1"/>
                <w:color w:val="auto"/>
              </w:rPr>
              <w:t>Liabilities in Excess of Other Assets—(786.0)%</w:t>
            </w: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4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3"/>
              </w:rPr>
              <w:t>(358,495,484)</w:t>
            </w:r>
          </w:p>
        </w:tc>
      </w:tr>
      <w:tr>
        <w:trPr>
          <w:trHeight w:val="128"/>
        </w:trPr>
        <w:tc>
          <w:tcPr>
            <w:tcW w:w="3040" w:type="dxa"/>
            <w:vAlign w:val="bottom"/>
            <w:gridSpan w:val="2"/>
          </w:tcPr>
          <w:p>
            <w:pPr>
              <w:spacing w:after="0"/>
              <w:rPr>
                <w:sz w:val="20"/>
                <w:szCs w:val="20"/>
                <w:color w:val="auto"/>
              </w:rPr>
            </w:pPr>
            <w:r>
              <w:rPr>
                <w:rFonts w:ascii="Arial" w:cs="Arial" w:eastAsia="Arial" w:hAnsi="Arial"/>
                <w:sz w:val="11"/>
                <w:szCs w:val="11"/>
                <w:b w:val="1"/>
                <w:bCs w:val="1"/>
                <w:color w:val="auto"/>
              </w:rPr>
              <w:t>Members' Equity—100.0%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45,612,085</w:t>
            </w:r>
          </w:p>
        </w:tc>
        <w:tc>
          <w:tcPr>
            <w:tcW w:w="120" w:type="dxa"/>
            <w:vAlign w:val="bottom"/>
          </w:tcPr>
          <w:p>
            <w:pPr>
              <w:spacing w:after="0"/>
              <w:rPr>
                <w:sz w:val="11"/>
                <w:szCs w:val="11"/>
                <w:color w:val="auto"/>
              </w:rPr>
            </w:pPr>
          </w:p>
        </w:tc>
      </w:tr>
      <w:tr>
        <w:trPr>
          <w:trHeight w:val="20"/>
        </w:trPr>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 w:lineRule="exact"/>
        <w:rPr>
          <w:sz w:val="20"/>
          <w:szCs w:val="20"/>
          <w:color w:val="auto"/>
        </w:rPr>
      </w:pPr>
    </w:p>
    <w:p>
      <w:pPr>
        <w:ind w:left="380" w:right="160" w:hanging="372"/>
        <w:spacing w:after="0" w:line="252" w:lineRule="auto"/>
        <w:tabs>
          <w:tab w:leader="none" w:pos="3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EURIBOR or “E”.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Canadian Dollars (C$)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62"/>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35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the financial information for PSSL:</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5600" w:type="dxa"/>
            <w:vAlign w:val="bottom"/>
          </w:tcPr>
          <w:p>
            <w:pPr>
              <w:ind w:left="2340"/>
              <w:spacing w:after="0"/>
              <w:rPr>
                <w:sz w:val="20"/>
                <w:szCs w:val="20"/>
                <w:color w:val="auto"/>
              </w:rPr>
            </w:pPr>
            <w:r>
              <w:rPr>
                <w:rFonts w:ascii="Arial" w:cs="Arial" w:eastAsia="Arial" w:hAnsi="Arial"/>
                <w:sz w:val="14"/>
                <w:szCs w:val="14"/>
                <w:b w:val="1"/>
                <w:bCs w:val="1"/>
                <w:color w:val="auto"/>
              </w:rPr>
              <w:t>Statements of Assets and Liabilities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24"/>
                <w:szCs w:val="2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Investments at fair value (cost—$576,262,980 and $408,251,402, respectively)</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564,783,128</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392,986,090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Cash and cash equivalents (cost—$28,386,681 and $11,115,373 ,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28,373,541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11,121,479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1,413,529</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2,235,595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Receivable for investment sold</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7,323,360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1,665,633</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62,812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gridSpan w:val="2"/>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603,559,191</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406,405,976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CFF"/>
          </w:tcPr>
          <w:p>
            <w:pPr>
              <w:spacing w:after="0"/>
              <w:rPr>
                <w:sz w:val="13"/>
                <w:szCs w:val="13"/>
                <w:color w:val="auto"/>
              </w:rPr>
            </w:pPr>
          </w:p>
        </w:tc>
        <w:tc>
          <w:tcPr>
            <w:tcW w:w="14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Payable for investments purchased</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31,963,307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PSSL Credit facility payable</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112,000,000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Capital One, NA credit facility payable</w:t>
            </w:r>
          </w:p>
        </w:tc>
        <w:tc>
          <w:tcPr>
            <w:tcW w:w="140" w:type="dxa"/>
            <w:vAlign w:val="bottom"/>
          </w:tcPr>
          <w:p>
            <w:pPr>
              <w:spacing w:after="0"/>
              <w:rPr>
                <w:sz w:val="14"/>
                <w:szCs w:val="14"/>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216,969,469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2032 Asset-backed debt, net (par—$246,000,000)</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242,756,901</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Notes payable to members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161,000,000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143,290,000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payable on PSSL Credit Facility</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1,740,807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490,858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Interest payable on notes to members</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2,655,607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32,719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178,438</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10,845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gridSpan w:val="2"/>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552,295,060</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360,793,891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gridSpan w:val="2"/>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51,264,131</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45,612,085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603,559,191</w:t>
            </w:r>
          </w:p>
        </w:tc>
        <w:tc>
          <w:tcPr>
            <w:tcW w:w="2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406,405,976</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120" w:type="dxa"/>
            <w:vAlign w:val="bottom"/>
            <w:tcBorders>
              <w:bottom w:val="single" w:sz="8" w:color="auto"/>
            </w:tcBorders>
          </w:tcPr>
          <w:p>
            <w:pPr>
              <w:spacing w:after="0"/>
              <w:rPr>
                <w:sz w:val="3"/>
                <w:szCs w:val="3"/>
                <w:color w:val="auto"/>
              </w:rPr>
            </w:pPr>
          </w:p>
        </w:tc>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190" w:lineRule="auto"/>
        <w:tabs>
          <w:tab w:leader="none" w:pos="380" w:val="left"/>
        </w:tabs>
        <w:numPr>
          <w:ilvl w:val="0"/>
          <w:numId w:val="63"/>
        </w:numPr>
        <w:rPr>
          <w:rFonts w:ascii="Arial" w:cs="Arial" w:eastAsia="Arial" w:hAnsi="Arial"/>
          <w:sz w:val="20"/>
          <w:szCs w:val="20"/>
          <w:b w:val="1"/>
          <w:bCs w:val="1"/>
          <w:color w:val="auto"/>
          <w:vertAlign w:val="superscript"/>
        </w:rPr>
      </w:pPr>
      <w:r>
        <w:rPr>
          <w:rFonts w:ascii="Arial" w:cs="Arial" w:eastAsia="Arial" w:hAnsi="Arial"/>
          <w:sz w:val="12"/>
          <w:szCs w:val="12"/>
          <w:color w:val="auto"/>
        </w:rPr>
        <w:t>As of both September 30, 2021 and 2020, PSSL had $0.6 million and zero unfunded commitments to fund investments,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4400" w:type="dxa"/>
            <w:vAlign w:val="bottom"/>
          </w:tcPr>
          <w:p>
            <w:pPr>
              <w:ind w:left="2660"/>
              <w:spacing w:after="0"/>
              <w:rPr>
                <w:sz w:val="20"/>
                <w:szCs w:val="20"/>
                <w:color w:val="auto"/>
              </w:rPr>
            </w:pPr>
            <w:r>
              <w:rPr>
                <w:rFonts w:ascii="Arial" w:cs="Arial" w:eastAsia="Arial" w:hAnsi="Arial"/>
                <w:sz w:val="14"/>
                <w:szCs w:val="14"/>
                <w:b w:val="1"/>
                <w:bCs w:val="1"/>
                <w:color w:val="auto"/>
              </w:rPr>
              <w:t>Statements of Operations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Year Ended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income:</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300" w:type="dxa"/>
            <w:vAlign w:val="bottom"/>
            <w:gridSpan w:val="2"/>
            <w:shd w:val="clear" w:color="auto" w:fill="CCECFF"/>
          </w:tcPr>
          <w:p>
            <w:pPr>
              <w:jc w:val="right"/>
              <w:ind w:right="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33,364,275</w:t>
            </w:r>
          </w:p>
        </w:tc>
        <w:tc>
          <w:tcPr>
            <w:tcW w:w="160" w:type="dxa"/>
            <w:vAlign w:val="bottom"/>
            <w:shd w:val="clear" w:color="auto" w:fill="CCECFF"/>
          </w:tcPr>
          <w:p>
            <w:pPr>
              <w:spacing w:after="0"/>
              <w:rPr>
                <w:sz w:val="14"/>
                <w:szCs w:val="14"/>
                <w:color w:val="auto"/>
              </w:rPr>
            </w:pPr>
          </w:p>
        </w:tc>
        <w:tc>
          <w:tcPr>
            <w:tcW w:w="260" w:type="dxa"/>
            <w:vAlign w:val="bottom"/>
            <w:gridSpan w:val="2"/>
            <w:shd w:val="clear" w:color="auto" w:fill="CCECFF"/>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33,260,154</w:t>
            </w:r>
          </w:p>
        </w:tc>
        <w:tc>
          <w:tcPr>
            <w:tcW w:w="280" w:type="dxa"/>
            <w:vAlign w:val="bottom"/>
            <w:shd w:val="clear" w:color="auto" w:fill="CCECFF"/>
          </w:tcPr>
          <w:p>
            <w:pPr>
              <w:spacing w:after="0"/>
              <w:rPr>
                <w:sz w:val="14"/>
                <w:szCs w:val="14"/>
                <w:color w:val="auto"/>
              </w:rPr>
            </w:pPr>
          </w:p>
        </w:tc>
        <w:tc>
          <w:tcPr>
            <w:tcW w:w="140" w:type="dxa"/>
            <w:vAlign w:val="bottom"/>
            <w:gridSpan w:val="2"/>
            <w:shd w:val="clear" w:color="auto" w:fill="CCECFF"/>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39,288,981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Borders>
              <w:bottom w:val="single" w:sz="8" w:color="CCECFF"/>
            </w:tcBorders>
            <w:gridSpan w:val="2"/>
          </w:tcPr>
          <w:p>
            <w:pPr>
              <w:ind w:left="26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982,118</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138,795</w:t>
            </w:r>
          </w:p>
        </w:tc>
        <w:tc>
          <w:tcPr>
            <w:tcW w:w="2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785,111</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gridSpan w:val="2"/>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1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34,346,393</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33,398,949</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1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40,074,092</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Interest and expenses on PSSL Credit Facility and 2032 Asset-Backed Debt</w:t>
            </w: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9,648,602</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11,865,971</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16,487,783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gridSpan w:val="2"/>
          </w:tcPr>
          <w:p>
            <w:pPr>
              <w:ind w:left="260"/>
              <w:spacing w:after="0"/>
              <w:rPr>
                <w:sz w:val="20"/>
                <w:szCs w:val="20"/>
                <w:color w:val="auto"/>
              </w:rPr>
            </w:pPr>
            <w:r>
              <w:rPr>
                <w:rFonts w:ascii="Arial" w:cs="Arial" w:eastAsia="Arial" w:hAnsi="Arial"/>
                <w:sz w:val="14"/>
                <w:szCs w:val="14"/>
                <w:color w:val="auto"/>
              </w:rPr>
              <w:t>Interest expense on notes to members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12,635,490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13,531,037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14,247,817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w:t>
            </w: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1,200,000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1,200,000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Borders>
              <w:bottom w:val="single" w:sz="8" w:color="CCECFF"/>
            </w:tcBorders>
            <w:gridSpan w:val="2"/>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1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906,134</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485,660</w:t>
            </w:r>
          </w:p>
        </w:tc>
        <w:tc>
          <w:tcPr>
            <w:tcW w:w="2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454,600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gridSpan w:val="2"/>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1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1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24,390,226</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27,082,668</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1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32,340,200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2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9,956,167</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6,316,281</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7,733,892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520" w:type="dxa"/>
            <w:vAlign w:val="bottom"/>
            <w:gridSpan w:val="2"/>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Realized and unrealized (loss) gain on investments and credit facility foreign</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14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1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20" w:type="dxa"/>
            <w:vAlign w:val="bottom"/>
            <w:gridSpan w:val="2"/>
            <w:shd w:val="clear" w:color="auto" w:fill="CCECFF"/>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gridSpan w:val="2"/>
          </w:tcPr>
          <w:p>
            <w:pPr>
              <w:spacing w:after="0"/>
              <w:rPr>
                <w:sz w:val="20"/>
                <w:szCs w:val="20"/>
                <w:color w:val="auto"/>
              </w:rPr>
            </w:pPr>
            <w:r>
              <w:rPr>
                <w:rFonts w:ascii="Arial" w:cs="Arial" w:eastAsia="Arial" w:hAnsi="Arial"/>
                <w:sz w:val="14"/>
                <w:szCs w:val="14"/>
                <w:color w:val="auto"/>
              </w:rPr>
              <w:t>Net realized (loss) gain on 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(4,732,408)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(992,974)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(885,069)</w:t>
            </w:r>
          </w:p>
        </w:tc>
        <w:tc>
          <w:tcPr>
            <w:tcW w:w="0" w:type="dxa"/>
            <w:vAlign w:val="bottom"/>
          </w:tcPr>
          <w:p>
            <w:pPr>
              <w:spacing w:after="0"/>
              <w:rPr>
                <w:sz w:val="1"/>
                <w:szCs w:val="1"/>
                <w:color w:val="auto"/>
              </w:rPr>
            </w:pPr>
          </w:p>
        </w:tc>
      </w:tr>
      <w:tr>
        <w:trPr>
          <w:trHeight w:val="162"/>
        </w:trPr>
        <w:tc>
          <w:tcPr>
            <w:tcW w:w="65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gridSpan w:val="2"/>
          </w:tcPr>
          <w:p>
            <w:pPr>
              <w:ind w:left="260"/>
              <w:spacing w:after="0"/>
              <w:rPr>
                <w:sz w:val="20"/>
                <w:szCs w:val="20"/>
                <w:color w:val="auto"/>
              </w:rPr>
            </w:pPr>
            <w:r>
              <w:rPr>
                <w:rFonts w:ascii="Arial" w:cs="Arial" w:eastAsia="Arial" w:hAnsi="Arial"/>
                <w:sz w:val="14"/>
                <w:szCs w:val="14"/>
                <w:color w:val="auto"/>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3,377,322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(9,368,121)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(5,976,299)</w:t>
            </w:r>
          </w:p>
        </w:tc>
        <w:tc>
          <w:tcPr>
            <w:tcW w:w="0" w:type="dxa"/>
            <w:vAlign w:val="bottom"/>
          </w:tcPr>
          <w:p>
            <w:pPr>
              <w:spacing w:after="0"/>
              <w:rPr>
                <w:sz w:val="1"/>
                <w:szCs w:val="1"/>
                <w:color w:val="auto"/>
              </w:rPr>
            </w:pPr>
          </w:p>
        </w:tc>
      </w:tr>
      <w:tr>
        <w:trPr>
          <w:trHeight w:val="162"/>
        </w:trPr>
        <w:tc>
          <w:tcPr>
            <w:tcW w:w="65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Credit facility foreign currency translation</w:t>
            </w: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(489,034)</w:t>
            </w: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(2,210,907)</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1,887,878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20" w:type="dxa"/>
            <w:vAlign w:val="bottom"/>
            <w:gridSpan w:val="2"/>
          </w:tcPr>
          <w:p>
            <w:pPr>
              <w:ind w:left="260"/>
              <w:spacing w:after="0" w:line="133" w:lineRule="exact"/>
              <w:rPr>
                <w:sz w:val="20"/>
                <w:szCs w:val="20"/>
                <w:color w:val="auto"/>
              </w:rPr>
            </w:pPr>
            <w:r>
              <w:rPr>
                <w:rFonts w:ascii="Arial" w:cs="Arial" w:eastAsia="Arial" w:hAnsi="Arial"/>
                <w:sz w:val="14"/>
                <w:szCs w:val="14"/>
                <w:b w:val="1"/>
                <w:bCs w:val="1"/>
                <w:color w:val="auto"/>
              </w:rPr>
              <w:t>Net change in unrealized (depreciation) appreciation on investments and credit</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20" w:type="dxa"/>
            <w:vAlign w:val="bottom"/>
            <w:gridSpan w:val="2"/>
          </w:tcPr>
          <w:p>
            <w:pPr>
              <w:ind w:left="360"/>
              <w:spacing w:after="0"/>
              <w:rPr>
                <w:sz w:val="20"/>
                <w:szCs w:val="20"/>
                <w:color w:val="auto"/>
              </w:rPr>
            </w:pPr>
            <w:r>
              <w:rPr>
                <w:rFonts w:ascii="Arial" w:cs="Arial" w:eastAsia="Arial" w:hAnsi="Arial"/>
                <w:sz w:val="14"/>
                <w:szCs w:val="14"/>
                <w:b w:val="1"/>
                <w:bCs w:val="1"/>
                <w:color w:val="auto"/>
              </w:rPr>
              <w:t>facility foreign currency translations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2,888,288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(11,579,028)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(4,088,421)</w:t>
            </w:r>
          </w:p>
        </w:tc>
        <w:tc>
          <w:tcPr>
            <w:tcW w:w="0" w:type="dxa"/>
            <w:vAlign w:val="bottom"/>
          </w:tcPr>
          <w:p>
            <w:pPr>
              <w:spacing w:after="0"/>
              <w:rPr>
                <w:sz w:val="1"/>
                <w:szCs w:val="1"/>
                <w:color w:val="auto"/>
              </w:rPr>
            </w:pPr>
          </w:p>
        </w:tc>
      </w:tr>
      <w:tr>
        <w:trPr>
          <w:trHeight w:val="133"/>
        </w:trPr>
        <w:tc>
          <w:tcPr>
            <w:tcW w:w="6520" w:type="dxa"/>
            <w:vAlign w:val="bottom"/>
            <w:tcBorders>
              <w:top w:val="single" w:sz="8" w:color="CCECFF"/>
            </w:tcBorders>
            <w:gridSpan w:val="2"/>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Net realized and unrealized (loss) gain from investments and credit facility foreign</w:t>
            </w:r>
          </w:p>
        </w:tc>
        <w:tc>
          <w:tcPr>
            <w:tcW w:w="1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160" w:type="dxa"/>
            <w:vAlign w:val="bottom"/>
            <w:tcBorders>
              <w:top w:val="single" w:sz="8" w:color="auto"/>
            </w:tcBorders>
            <w:shd w:val="clear" w:color="auto" w:fill="CCECFF"/>
          </w:tcPr>
          <w:p>
            <w:pPr>
              <w:spacing w:after="0"/>
              <w:rPr>
                <w:sz w:val="11"/>
                <w:szCs w:val="11"/>
                <w:color w:val="auto"/>
              </w:rPr>
            </w:pPr>
          </w:p>
        </w:tc>
        <w:tc>
          <w:tcPr>
            <w:tcW w:w="16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114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16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20" w:type="dxa"/>
            <w:vAlign w:val="bottom"/>
            <w:gridSpan w:val="2"/>
            <w:shd w:val="clear" w:color="auto" w:fill="CCECFF"/>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(1,844,120)</w:t>
            </w: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(12,572,002)</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(4,973,490)</w:t>
            </w:r>
          </w:p>
        </w:tc>
        <w:tc>
          <w:tcPr>
            <w:tcW w:w="0" w:type="dxa"/>
            <w:vAlign w:val="bottom"/>
          </w:tcPr>
          <w:p>
            <w:pPr>
              <w:spacing w:after="0"/>
              <w:rPr>
                <w:sz w:val="1"/>
                <w:szCs w:val="1"/>
                <w:color w:val="auto"/>
              </w:rPr>
            </w:pPr>
          </w:p>
        </w:tc>
      </w:tr>
      <w:tr>
        <w:trPr>
          <w:trHeight w:val="155"/>
        </w:trPr>
        <w:tc>
          <w:tcPr>
            <w:tcW w:w="6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(decrease) in members' equity resulting from operations</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8,112,047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(6,255,721)</w:t>
            </w:r>
          </w:p>
        </w:tc>
        <w:tc>
          <w:tcPr>
            <w:tcW w:w="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2,760,402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120" w:type="dxa"/>
            <w:vAlign w:val="bottom"/>
            <w:tcBorders>
              <w:bottom w:val="single" w:sz="8" w:color="auto"/>
            </w:tcBorders>
          </w:tcPr>
          <w:p>
            <w:pPr>
              <w:spacing w:after="0"/>
              <w:rPr>
                <w:sz w:val="4"/>
                <w:szCs w:val="4"/>
                <w:color w:val="auto"/>
              </w:rPr>
            </w:pPr>
          </w:p>
        </w:tc>
        <w:tc>
          <w:tcPr>
            <w:tcW w:w="4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80" w:hanging="372"/>
        <w:spacing w:after="0" w:line="185" w:lineRule="auto"/>
        <w:tabs>
          <w:tab w:leader="none" w:pos="380" w:val="left"/>
        </w:tabs>
        <w:numPr>
          <w:ilvl w:val="0"/>
          <w:numId w:val="64"/>
        </w:numPr>
        <w:rPr>
          <w:rFonts w:ascii="Arial" w:cs="Arial" w:eastAsia="Arial" w:hAnsi="Arial"/>
          <w:sz w:val="19"/>
          <w:szCs w:val="19"/>
          <w:b w:val="1"/>
          <w:bCs w:val="1"/>
          <w:color w:val="auto"/>
          <w:vertAlign w:val="superscript"/>
        </w:rPr>
      </w:pPr>
      <w:r>
        <w:rPr>
          <w:rFonts w:ascii="Arial" w:cs="Arial" w:eastAsia="Arial" w:hAnsi="Arial"/>
          <w:sz w:val="11"/>
          <w:szCs w:val="11"/>
          <w:color w:val="auto"/>
        </w:rPr>
        <w:t>No management or incentive fees are payable by PSSL. If any fees were to be charged, they would be separately disclosed in the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380" w:right="280" w:hanging="809"/>
        <w:spacing w:after="0" w:line="290"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273"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00" w:firstLine="438"/>
        <w:spacing w:after="0" w:line="255"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94"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jc w:val="both"/>
        <w:ind w:right="60" w:firstLine="438"/>
        <w:spacing w:after="0" w:line="231" w:lineRule="auto"/>
        <w:rPr>
          <w:sz w:val="20"/>
          <w:szCs w:val="20"/>
          <w:color w:val="auto"/>
        </w:rPr>
      </w:pPr>
      <w:r>
        <w:rPr>
          <w:rFonts w:ascii="Arial" w:cs="Arial" w:eastAsia="Arial" w:hAnsi="Arial"/>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93"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2023 Notes, our 2026 Note,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jc w:val="both"/>
        <w:ind w:right="140" w:firstLine="438"/>
        <w:spacing w:after="0" w:line="251"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as a practical expedient within the fair value hierarchy.</w:t>
      </w:r>
    </w:p>
    <w:p>
      <w:pPr>
        <w:spacing w:after="0" w:line="109" w:lineRule="exact"/>
        <w:rPr>
          <w:sz w:val="20"/>
          <w:szCs w:val="20"/>
          <w:color w:val="auto"/>
        </w:rPr>
      </w:pPr>
    </w:p>
    <w:p>
      <w:pPr>
        <w:ind w:right="20" w:firstLine="438"/>
        <w:spacing w:after="0" w:line="225" w:lineRule="auto"/>
        <w:rPr>
          <w:sz w:val="20"/>
          <w:szCs w:val="20"/>
          <w:color w:val="auto"/>
        </w:rPr>
      </w:pPr>
      <w:r>
        <w:rPr>
          <w:rFonts w:ascii="Arial" w:cs="Arial" w:eastAsia="Arial" w:hAnsi="Arial"/>
          <w:sz w:val="14"/>
          <w:szCs w:val="14"/>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Fair value at</w:t>
            </w:r>
          </w:p>
        </w:tc>
        <w:tc>
          <w:tcPr>
            <w:tcW w:w="260" w:type="dxa"/>
            <w:vAlign w:val="bottom"/>
          </w:tcPr>
          <w:p>
            <w:pPr>
              <w:spacing w:after="0"/>
              <w:rPr>
                <w:sz w:val="14"/>
                <w:szCs w:val="14"/>
                <w:color w:val="auto"/>
              </w:rPr>
            </w:pPr>
          </w:p>
        </w:tc>
        <w:tc>
          <w:tcPr>
            <w:tcW w:w="1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1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3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September 30, 2021</w:t>
            </w:r>
          </w:p>
        </w:tc>
        <w:tc>
          <w:tcPr>
            <w:tcW w:w="26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xml:space="preserve">(Weighted Average)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336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ind w:right="54"/>
              <w:spacing w:after="0"/>
              <w:rPr>
                <w:sz w:val="20"/>
                <w:szCs w:val="20"/>
                <w:color w:val="auto"/>
              </w:rPr>
            </w:pPr>
            <w:r>
              <w:rPr>
                <w:rFonts w:ascii="Arial" w:cs="Arial" w:eastAsia="Arial" w:hAnsi="Arial"/>
                <w:sz w:val="5"/>
                <w:szCs w:val="5"/>
                <w:color w:val="auto"/>
                <w:w w:val="70"/>
              </w:rPr>
              <w:t>$</w:t>
            </w:r>
          </w:p>
        </w:tc>
        <w:tc>
          <w:tcPr>
            <w:tcW w:w="15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177,480,425</w:t>
            </w:r>
          </w:p>
        </w:tc>
        <w:tc>
          <w:tcPr>
            <w:tcW w:w="260" w:type="dxa"/>
            <w:vAlign w:val="bottom"/>
            <w:tcBorders>
              <w:top w:val="single" w:sz="8" w:color="CCECFF"/>
            </w:tcBorders>
            <w:shd w:val="clear" w:color="auto" w:fill="CCECFF"/>
          </w:tcPr>
          <w:p>
            <w:pPr>
              <w:spacing w:after="0"/>
              <w:rPr>
                <w:sz w:val="13"/>
                <w:szCs w:val="13"/>
                <w:color w:val="auto"/>
              </w:rPr>
            </w:pPr>
          </w:p>
        </w:tc>
        <w:tc>
          <w:tcPr>
            <w:tcW w:w="182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80" w:type="dxa"/>
            <w:vAlign w:val="bottom"/>
            <w:tcBorders>
              <w:top w:val="single" w:sz="8" w:color="CCECFF"/>
            </w:tcBorders>
            <w:shd w:val="clear" w:color="auto" w:fill="CCECFF"/>
          </w:tcPr>
          <w:p>
            <w:pPr>
              <w:spacing w:after="0"/>
              <w:rPr>
                <w:sz w:val="13"/>
                <w:szCs w:val="13"/>
                <w:color w:val="auto"/>
              </w:rPr>
            </w:pPr>
          </w:p>
        </w:tc>
        <w:tc>
          <w:tcPr>
            <w:tcW w:w="16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754,003,640</w:t>
            </w:r>
          </w:p>
        </w:tc>
        <w:tc>
          <w:tcPr>
            <w:tcW w:w="260" w:type="dxa"/>
            <w:vAlign w:val="bottom"/>
          </w:tcPr>
          <w:p>
            <w:pPr>
              <w:spacing w:after="0"/>
              <w:rPr>
                <w:sz w:val="14"/>
                <w:szCs w:val="14"/>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5.6% – 13.0% (7.5%)</w:t>
            </w: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8,084,823</w:t>
            </w:r>
          </w:p>
        </w:tc>
        <w:tc>
          <w:tcPr>
            <w:tcW w:w="260" w:type="dxa"/>
            <w:vAlign w:val="bottom"/>
            <w:shd w:val="clear" w:color="auto" w:fill="CCECFF"/>
          </w:tcPr>
          <w:p>
            <w:pPr>
              <w:spacing w:after="0"/>
              <w:rPr>
                <w:sz w:val="14"/>
                <w:szCs w:val="14"/>
                <w:color w:val="auto"/>
              </w:rPr>
            </w:pP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40"/>
              <w:spacing w:after="0"/>
              <w:rPr>
                <w:sz w:val="20"/>
                <w:szCs w:val="20"/>
                <w:color w:val="auto"/>
              </w:rPr>
            </w:pPr>
            <w:r>
              <w:rPr>
                <w:rFonts w:ascii="Arial" w:cs="Arial" w:eastAsia="Arial" w:hAnsi="Arial"/>
                <w:sz w:val="14"/>
                <w:szCs w:val="14"/>
                <w:color w:val="auto"/>
                <w:w w:val="93"/>
              </w:rPr>
              <w:t>11.0% – 14.0% (11.8%)</w:t>
            </w:r>
          </w:p>
        </w:tc>
        <w:tc>
          <w:tcPr>
            <w:tcW w:w="0" w:type="dxa"/>
            <w:vAlign w:val="bottom"/>
          </w:tcPr>
          <w:p>
            <w:pPr>
              <w:spacing w:after="0"/>
              <w:rPr>
                <w:sz w:val="1"/>
                <w:szCs w:val="1"/>
                <w:color w:val="auto"/>
              </w:rPr>
            </w:pPr>
          </w:p>
        </w:tc>
      </w:tr>
      <w:tr>
        <w:trPr>
          <w:trHeight w:val="162"/>
        </w:trPr>
        <w:tc>
          <w:tcPr>
            <w:tcW w:w="336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2,934,204</w:t>
            </w:r>
          </w:p>
        </w:tc>
        <w:tc>
          <w:tcPr>
            <w:tcW w:w="260" w:type="dxa"/>
            <w:vAlign w:val="bottom"/>
          </w:tcPr>
          <w:p>
            <w:pPr>
              <w:spacing w:after="0"/>
              <w:rPr>
                <w:sz w:val="14"/>
                <w:szCs w:val="14"/>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Enterprise Market Value</w:t>
            </w: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1.8x</w:t>
            </w: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864,289</w:t>
            </w:r>
          </w:p>
        </w:tc>
        <w:tc>
          <w:tcPr>
            <w:tcW w:w="260" w:type="dxa"/>
            <w:vAlign w:val="bottom"/>
            <w:shd w:val="clear" w:color="auto" w:fill="CCECFF"/>
          </w:tcPr>
          <w:p>
            <w:pPr>
              <w:spacing w:after="0"/>
              <w:rPr>
                <w:sz w:val="14"/>
                <w:szCs w:val="14"/>
                <w:color w:val="auto"/>
              </w:rPr>
            </w:pP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3"/>
              </w:rPr>
              <w:t>Enterprise Market Value</w:t>
            </w: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140"/>
              <w:spacing w:after="0"/>
              <w:rPr>
                <w:sz w:val="20"/>
                <w:szCs w:val="20"/>
                <w:color w:val="auto"/>
              </w:rPr>
            </w:pPr>
            <w:r>
              <w:rPr>
                <w:rFonts w:ascii="Arial" w:cs="Arial" w:eastAsia="Arial" w:hAnsi="Arial"/>
                <w:sz w:val="14"/>
                <w:szCs w:val="14"/>
                <w:color w:val="auto"/>
                <w:w w:val="98"/>
              </w:rPr>
              <w:t>5.4x</w:t>
            </w:r>
          </w:p>
        </w:tc>
        <w:tc>
          <w:tcPr>
            <w:tcW w:w="0" w:type="dxa"/>
            <w:vAlign w:val="bottom"/>
          </w:tcPr>
          <w:p>
            <w:pPr>
              <w:spacing w:after="0"/>
              <w:rPr>
                <w:sz w:val="1"/>
                <w:szCs w:val="1"/>
                <w:color w:val="auto"/>
              </w:rPr>
            </w:pPr>
          </w:p>
        </w:tc>
      </w:tr>
      <w:tr>
        <w:trPr>
          <w:trHeight w:val="162"/>
        </w:trPr>
        <w:tc>
          <w:tcPr>
            <w:tcW w:w="3360" w:type="dxa"/>
            <w:vAlign w:val="bottom"/>
            <w:gridSpan w:val="2"/>
          </w:tcPr>
          <w:p>
            <w:pPr>
              <w:spacing w:after="0"/>
              <w:rPr>
                <w:sz w:val="20"/>
                <w:szCs w:val="20"/>
                <w:color w:val="auto"/>
              </w:rPr>
            </w:pPr>
            <w:r>
              <w:rPr>
                <w:rFonts w:ascii="Arial" w:cs="Arial" w:eastAsia="Arial" w:hAnsi="Arial"/>
                <w:sz w:val="14"/>
                <w:szCs w:val="14"/>
                <w:color w:val="auto"/>
              </w:rPr>
              <w:t>Equity</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70,252,783</w:t>
            </w:r>
          </w:p>
        </w:tc>
        <w:tc>
          <w:tcPr>
            <w:tcW w:w="260" w:type="dxa"/>
            <w:vAlign w:val="bottom"/>
          </w:tcPr>
          <w:p>
            <w:pPr>
              <w:spacing w:after="0"/>
              <w:rPr>
                <w:sz w:val="14"/>
                <w:szCs w:val="14"/>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Enterprise Market Value</w:t>
            </w: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4.7x – 18.5x (11.5x)</w:t>
            </w: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7,569,161</w:t>
            </w:r>
          </w:p>
        </w:tc>
        <w:tc>
          <w:tcPr>
            <w:tcW w:w="260" w:type="dxa"/>
            <w:vAlign w:val="bottom"/>
            <w:shd w:val="clear" w:color="auto" w:fill="CCECFF"/>
          </w:tcPr>
          <w:p>
            <w:pPr>
              <w:spacing w:after="0"/>
              <w:rPr>
                <w:sz w:val="14"/>
                <w:szCs w:val="14"/>
                <w:color w:val="auto"/>
              </w:rPr>
            </w:pP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3"/>
              </w:rPr>
              <w:t>Enterprise Market Value</w:t>
            </w:r>
          </w:p>
        </w:tc>
        <w:tc>
          <w:tcPr>
            <w:tcW w:w="1980" w:type="dxa"/>
            <w:vAlign w:val="bottom"/>
            <w:gridSpan w:val="2"/>
            <w:shd w:val="clear" w:color="auto" w:fill="CCECFF"/>
          </w:tcPr>
          <w:p>
            <w:pPr>
              <w:jc w:val="center"/>
              <w:ind w:right="200"/>
              <w:spacing w:after="0"/>
              <w:rPr>
                <w:sz w:val="20"/>
                <w:szCs w:val="20"/>
                <w:color w:val="auto"/>
              </w:rPr>
            </w:pPr>
            <w:r>
              <w:rPr>
                <w:rFonts w:ascii="Arial" w:cs="Arial" w:eastAsia="Arial" w:hAnsi="Arial"/>
                <w:sz w:val="14"/>
                <w:szCs w:val="14"/>
                <w:color w:val="auto"/>
              </w:rPr>
              <w:t>DLOM</w:t>
            </w:r>
          </w:p>
        </w:tc>
        <w:tc>
          <w:tcPr>
            <w:tcW w:w="16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9.3%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6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8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1,021,189,325</w:t>
            </w:r>
          </w:p>
        </w:tc>
        <w:tc>
          <w:tcPr>
            <w:tcW w:w="260" w:type="dxa"/>
            <w:vAlign w:val="bottom"/>
            <w:tcBorders>
              <w:bottom w:val="single" w:sz="8" w:color="CCECFF"/>
            </w:tcBorders>
          </w:tcPr>
          <w:p>
            <w:pPr>
              <w:spacing w:after="0"/>
              <w:rPr>
                <w:sz w:val="17"/>
                <w:szCs w:val="17"/>
                <w:color w:val="auto"/>
              </w:rPr>
            </w:pPr>
          </w:p>
        </w:tc>
        <w:tc>
          <w:tcPr>
            <w:tcW w:w="182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80" w:type="dxa"/>
            <w:vAlign w:val="bottom"/>
            <w:tcBorders>
              <w:bottom w:val="single" w:sz="8" w:color="CCECFF"/>
            </w:tcBorders>
          </w:tcPr>
          <w:p>
            <w:pPr>
              <w:spacing w:after="0"/>
              <w:rPr>
                <w:sz w:val="17"/>
                <w:szCs w:val="17"/>
                <w:color w:val="auto"/>
              </w:rPr>
            </w:pPr>
          </w:p>
        </w:tc>
        <w:tc>
          <w:tcPr>
            <w:tcW w:w="168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36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8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ind w:right="54"/>
              <w:spacing w:after="0"/>
              <w:rPr>
                <w:sz w:val="20"/>
                <w:szCs w:val="20"/>
                <w:color w:val="auto"/>
              </w:rPr>
            </w:pPr>
            <w:r>
              <w:rPr>
                <w:rFonts w:ascii="Arial" w:cs="Arial" w:eastAsia="Arial" w:hAnsi="Arial"/>
                <w:sz w:val="5"/>
                <w:szCs w:val="5"/>
                <w:color w:val="auto"/>
                <w:w w:val="70"/>
              </w:rPr>
              <w:t>$</w:t>
            </w:r>
          </w:p>
        </w:tc>
        <w:tc>
          <w:tcPr>
            <w:tcW w:w="15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218,851,500</w:t>
            </w:r>
          </w:p>
        </w:tc>
        <w:tc>
          <w:tcPr>
            <w:tcW w:w="260" w:type="dxa"/>
            <w:vAlign w:val="bottom"/>
            <w:tcBorders>
              <w:bottom w:val="single" w:sz="8" w:color="CCECFF"/>
            </w:tcBorders>
            <w:shd w:val="clear" w:color="auto" w:fill="CCECFF"/>
          </w:tcPr>
          <w:p>
            <w:pPr>
              <w:spacing w:after="0"/>
              <w:rPr>
                <w:sz w:val="12"/>
                <w:szCs w:val="12"/>
                <w:color w:val="auto"/>
              </w:rPr>
            </w:pPr>
          </w:p>
        </w:tc>
        <w:tc>
          <w:tcPr>
            <w:tcW w:w="1980" w:type="dxa"/>
            <w:vAlign w:val="bottom"/>
            <w:tcBorders>
              <w:bottom w:val="single" w:sz="8" w:color="CCECFF"/>
            </w:tcBorders>
            <w:gridSpan w:val="2"/>
            <w:shd w:val="clear" w:color="auto" w:fill="CCECFF"/>
          </w:tcPr>
          <w:p>
            <w:pPr>
              <w:jc w:val="center"/>
              <w:ind w:right="180"/>
              <w:spacing w:after="0" w:line="143" w:lineRule="exact"/>
              <w:rPr>
                <w:sz w:val="20"/>
                <w:szCs w:val="20"/>
                <w:color w:val="auto"/>
              </w:rPr>
            </w:pPr>
            <w:r>
              <w:rPr>
                <w:rFonts w:ascii="Arial" w:cs="Arial" w:eastAsia="Arial" w:hAnsi="Arial"/>
                <w:sz w:val="14"/>
                <w:szCs w:val="14"/>
                <w:color w:val="auto"/>
                <w:w w:val="94"/>
              </w:rPr>
              <w:t>Market Comparable</w:t>
            </w:r>
          </w:p>
        </w:tc>
        <w:tc>
          <w:tcPr>
            <w:tcW w:w="1980" w:type="dxa"/>
            <w:vAlign w:val="bottom"/>
            <w:tcBorders>
              <w:bottom w:val="single" w:sz="8" w:color="CCECFF"/>
            </w:tcBorders>
            <w:gridSpan w:val="2"/>
            <w:shd w:val="clear" w:color="auto" w:fill="CCECFF"/>
          </w:tcPr>
          <w:p>
            <w:pPr>
              <w:jc w:val="center"/>
              <w:ind w:right="180"/>
              <w:spacing w:after="0" w:line="143" w:lineRule="exact"/>
              <w:rPr>
                <w:sz w:val="20"/>
                <w:szCs w:val="20"/>
                <w:color w:val="auto"/>
              </w:rPr>
            </w:pPr>
            <w:r>
              <w:rPr>
                <w:rFonts w:ascii="Arial" w:cs="Arial" w:eastAsia="Arial" w:hAnsi="Arial"/>
                <w:sz w:val="14"/>
                <w:szCs w:val="14"/>
                <w:color w:val="auto"/>
                <w:w w:val="97"/>
              </w:rPr>
              <w:t>Market Yield</w:t>
            </w:r>
          </w:p>
        </w:tc>
        <w:tc>
          <w:tcPr>
            <w:tcW w:w="168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2.1%</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Fair value at</w:t>
            </w:r>
          </w:p>
        </w:tc>
        <w:tc>
          <w:tcPr>
            <w:tcW w:w="260" w:type="dxa"/>
            <w:vAlign w:val="bottom"/>
          </w:tcPr>
          <w:p>
            <w:pPr>
              <w:spacing w:after="0"/>
              <w:rPr>
                <w:sz w:val="23"/>
                <w:szCs w:val="23"/>
                <w:color w:val="auto"/>
              </w:rPr>
            </w:pPr>
          </w:p>
        </w:tc>
        <w:tc>
          <w:tcPr>
            <w:tcW w:w="1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1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3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September 30, 2020</w:t>
            </w:r>
          </w:p>
        </w:tc>
        <w:tc>
          <w:tcPr>
            <w:tcW w:w="26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xml:space="preserve">(Weighted Average)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336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200" w:type="dxa"/>
            <w:vAlign w:val="bottom"/>
            <w:tcBorders>
              <w:top w:val="single" w:sz="8" w:color="CCECFF"/>
            </w:tcBorders>
            <w:gridSpan w:val="2"/>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ind w:right="54"/>
              <w:spacing w:after="0"/>
              <w:rPr>
                <w:sz w:val="20"/>
                <w:szCs w:val="20"/>
                <w:color w:val="auto"/>
              </w:rPr>
            </w:pPr>
            <w:r>
              <w:rPr>
                <w:rFonts w:ascii="Arial" w:cs="Arial" w:eastAsia="Arial" w:hAnsi="Arial"/>
                <w:sz w:val="5"/>
                <w:szCs w:val="5"/>
                <w:color w:val="auto"/>
                <w:w w:val="70"/>
              </w:rPr>
              <w:t>$</w:t>
            </w:r>
          </w:p>
        </w:tc>
        <w:tc>
          <w:tcPr>
            <w:tcW w:w="15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114,844,301</w:t>
            </w:r>
          </w:p>
        </w:tc>
        <w:tc>
          <w:tcPr>
            <w:tcW w:w="260" w:type="dxa"/>
            <w:vAlign w:val="bottom"/>
            <w:tcBorders>
              <w:top w:val="single" w:sz="8" w:color="CCECFF"/>
            </w:tcBorders>
            <w:shd w:val="clear" w:color="auto" w:fill="CCECFF"/>
          </w:tcPr>
          <w:p>
            <w:pPr>
              <w:spacing w:after="0"/>
              <w:rPr>
                <w:sz w:val="13"/>
                <w:szCs w:val="13"/>
                <w:color w:val="auto"/>
              </w:rPr>
            </w:pPr>
          </w:p>
        </w:tc>
        <w:tc>
          <w:tcPr>
            <w:tcW w:w="182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80" w:type="dxa"/>
            <w:vAlign w:val="bottom"/>
            <w:tcBorders>
              <w:top w:val="single" w:sz="8" w:color="CCECFF"/>
            </w:tcBorders>
            <w:shd w:val="clear" w:color="auto" w:fill="CCECFF"/>
          </w:tcPr>
          <w:p>
            <w:pPr>
              <w:spacing w:after="0"/>
              <w:rPr>
                <w:sz w:val="13"/>
                <w:szCs w:val="13"/>
                <w:color w:val="auto"/>
              </w:rPr>
            </w:pPr>
          </w:p>
        </w:tc>
        <w:tc>
          <w:tcPr>
            <w:tcW w:w="16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848,114,233</w:t>
            </w:r>
          </w:p>
        </w:tc>
        <w:tc>
          <w:tcPr>
            <w:tcW w:w="260" w:type="dxa"/>
            <w:vAlign w:val="bottom"/>
          </w:tcPr>
          <w:p>
            <w:pPr>
              <w:spacing w:after="0"/>
              <w:rPr>
                <w:sz w:val="14"/>
                <w:szCs w:val="14"/>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5.4% – 19.5% (8.4%)</w:t>
            </w: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23,017,187</w:t>
            </w:r>
          </w:p>
        </w:tc>
        <w:tc>
          <w:tcPr>
            <w:tcW w:w="260" w:type="dxa"/>
            <w:vAlign w:val="bottom"/>
            <w:shd w:val="clear" w:color="auto" w:fill="CCECFF"/>
          </w:tcPr>
          <w:p>
            <w:pPr>
              <w:spacing w:after="0"/>
              <w:rPr>
                <w:sz w:val="14"/>
                <w:szCs w:val="14"/>
                <w:color w:val="auto"/>
              </w:rPr>
            </w:pP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9.3% – 11.0% (9.5%)</w:t>
            </w:r>
          </w:p>
        </w:tc>
        <w:tc>
          <w:tcPr>
            <w:tcW w:w="0" w:type="dxa"/>
            <w:vAlign w:val="bottom"/>
          </w:tcPr>
          <w:p>
            <w:pPr>
              <w:spacing w:after="0"/>
              <w:rPr>
                <w:sz w:val="1"/>
                <w:szCs w:val="1"/>
                <w:color w:val="auto"/>
              </w:rPr>
            </w:pPr>
          </w:p>
        </w:tc>
      </w:tr>
      <w:tr>
        <w:trPr>
          <w:trHeight w:val="162"/>
        </w:trPr>
        <w:tc>
          <w:tcPr>
            <w:tcW w:w="336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5,657,214</w:t>
            </w:r>
          </w:p>
        </w:tc>
        <w:tc>
          <w:tcPr>
            <w:tcW w:w="260" w:type="dxa"/>
            <w:vAlign w:val="bottom"/>
          </w:tcPr>
          <w:p>
            <w:pPr>
              <w:spacing w:after="0"/>
              <w:rPr>
                <w:sz w:val="14"/>
                <w:szCs w:val="14"/>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Enterprise Market Value</w:t>
            </w: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0.3x</w:t>
            </w: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1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6,893,843</w:t>
            </w:r>
          </w:p>
        </w:tc>
        <w:tc>
          <w:tcPr>
            <w:tcW w:w="260" w:type="dxa"/>
            <w:vAlign w:val="bottom"/>
            <w:shd w:val="clear" w:color="auto" w:fill="CCECFF"/>
          </w:tcPr>
          <w:p>
            <w:pPr>
              <w:spacing w:after="0"/>
              <w:rPr>
                <w:sz w:val="14"/>
                <w:szCs w:val="14"/>
                <w:color w:val="auto"/>
              </w:rPr>
            </w:pP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3"/>
              </w:rPr>
              <w:t>Enterprise Market Value</w:t>
            </w: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140"/>
              <w:spacing w:after="0"/>
              <w:rPr>
                <w:sz w:val="20"/>
                <w:szCs w:val="20"/>
                <w:color w:val="auto"/>
              </w:rPr>
            </w:pPr>
            <w:r>
              <w:rPr>
                <w:rFonts w:ascii="Arial" w:cs="Arial" w:eastAsia="Arial" w:hAnsi="Arial"/>
                <w:sz w:val="14"/>
                <w:szCs w:val="14"/>
                <w:color w:val="auto"/>
                <w:w w:val="94"/>
              </w:rPr>
              <w:t>0.3x – 8.5x (2.0x)</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1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48,491,115</w:t>
            </w:r>
          </w:p>
        </w:tc>
        <w:tc>
          <w:tcPr>
            <w:tcW w:w="260" w:type="dxa"/>
            <w:vAlign w:val="bottom"/>
            <w:tcBorders>
              <w:bottom w:val="single" w:sz="8" w:color="CCECFF"/>
            </w:tcBorders>
          </w:tcPr>
          <w:p>
            <w:pPr>
              <w:spacing w:after="0"/>
              <w:rPr>
                <w:sz w:val="14"/>
                <w:szCs w:val="14"/>
                <w:color w:val="auto"/>
              </w:rPr>
            </w:pPr>
          </w:p>
        </w:tc>
        <w:tc>
          <w:tcPr>
            <w:tcW w:w="198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3"/>
              </w:rPr>
              <w:t>Enterprise Market Value</w:t>
            </w:r>
          </w:p>
        </w:tc>
        <w:tc>
          <w:tcPr>
            <w:tcW w:w="198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rPr>
              <w:t>EBITDA multiple</w:t>
            </w:r>
          </w:p>
        </w:tc>
        <w:tc>
          <w:tcPr>
            <w:tcW w:w="18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4"/>
                <w:szCs w:val="14"/>
                <w:color w:val="auto"/>
                <w:w w:val="95"/>
              </w:rPr>
              <w:t>0.3x – 15.2x (10.4x)</w:t>
            </w:r>
          </w:p>
        </w:tc>
        <w:tc>
          <w:tcPr>
            <w:tcW w:w="0" w:type="dxa"/>
            <w:vAlign w:val="bottom"/>
          </w:tcPr>
          <w:p>
            <w:pPr>
              <w:spacing w:after="0"/>
              <w:rPr>
                <w:sz w:val="1"/>
                <w:szCs w:val="1"/>
                <w:color w:val="auto"/>
              </w:rPr>
            </w:pPr>
          </w:p>
        </w:tc>
      </w:tr>
      <w:tr>
        <w:trPr>
          <w:trHeight w:val="155"/>
        </w:trPr>
        <w:tc>
          <w:tcPr>
            <w:tcW w:w="3360" w:type="dxa"/>
            <w:vAlign w:val="bottom"/>
            <w:tcBorders>
              <w:bottom w:val="single" w:sz="8" w:color="CCECFF"/>
            </w:tcBorders>
            <w:gridSpan w:val="2"/>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200" w:type="dxa"/>
            <w:vAlign w:val="bottom"/>
            <w:tcBorders>
              <w:bottom w:val="single" w:sz="8" w:color="CCECFF"/>
            </w:tcBorders>
            <w:gridSpan w:val="2"/>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ind w:right="54"/>
              <w:spacing w:after="0"/>
              <w:rPr>
                <w:sz w:val="20"/>
                <w:szCs w:val="20"/>
                <w:color w:val="auto"/>
              </w:rPr>
            </w:pPr>
            <w:r>
              <w:rPr>
                <w:rFonts w:ascii="Arial" w:cs="Arial" w:eastAsia="Arial" w:hAnsi="Arial"/>
                <w:sz w:val="5"/>
                <w:szCs w:val="5"/>
                <w:color w:val="auto"/>
                <w:w w:val="70"/>
              </w:rPr>
              <w:t>$</w:t>
            </w:r>
          </w:p>
        </w:tc>
        <w:tc>
          <w:tcPr>
            <w:tcW w:w="15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1,047,017,893</w:t>
            </w:r>
          </w:p>
        </w:tc>
        <w:tc>
          <w:tcPr>
            <w:tcW w:w="260" w:type="dxa"/>
            <w:vAlign w:val="bottom"/>
            <w:tcBorders>
              <w:bottom w:val="single" w:sz="8" w:color="CCECFF"/>
            </w:tcBorders>
            <w:shd w:val="clear" w:color="auto" w:fill="CCECFF"/>
          </w:tcPr>
          <w:p>
            <w:pPr>
              <w:spacing w:after="0"/>
              <w:rPr>
                <w:sz w:val="13"/>
                <w:szCs w:val="13"/>
                <w:color w:val="auto"/>
              </w:rPr>
            </w:pPr>
          </w:p>
        </w:tc>
        <w:tc>
          <w:tcPr>
            <w:tcW w:w="182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6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32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1680" w:type="dxa"/>
            <w:vAlign w:val="bottom"/>
            <w:vMerge w:val="restart"/>
          </w:tcPr>
          <w:p>
            <w:pPr>
              <w:jc w:val="center"/>
              <w:spacing w:after="0"/>
              <w:rPr>
                <w:sz w:val="20"/>
                <w:szCs w:val="20"/>
                <w:color w:val="auto"/>
              </w:rPr>
            </w:pPr>
            <w:r>
              <w:rPr>
                <w:rFonts w:ascii="Arial" w:cs="Arial" w:eastAsia="Arial" w:hAnsi="Arial"/>
                <w:sz w:val="14"/>
                <w:szCs w:val="14"/>
                <w:color w:val="auto"/>
                <w:w w:val="93"/>
              </w:rPr>
              <w:t>3.4%</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60" w:type="dxa"/>
            <w:vAlign w:val="bottom"/>
            <w:gridSpan w:val="2"/>
            <w:vMerge w:val="continue"/>
          </w:tcPr>
          <w:p>
            <w:pPr>
              <w:spacing w:after="0"/>
              <w:rPr>
                <w:sz w:val="12"/>
                <w:szCs w:val="12"/>
                <w:color w:val="auto"/>
              </w:rPr>
            </w:pPr>
          </w:p>
        </w:tc>
        <w:tc>
          <w:tcPr>
            <w:tcW w:w="200" w:type="dxa"/>
            <w:vAlign w:val="bottom"/>
            <w:gridSpan w:val="2"/>
          </w:tcPr>
          <w:p>
            <w:pPr>
              <w:spacing w:after="0"/>
              <w:rPr>
                <w:sz w:val="12"/>
                <w:szCs w:val="12"/>
                <w:color w:val="auto"/>
              </w:rPr>
            </w:pPr>
          </w:p>
        </w:tc>
        <w:tc>
          <w:tcPr>
            <w:tcW w:w="120" w:type="dxa"/>
            <w:vAlign w:val="bottom"/>
            <w:tcBorders>
              <w:top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15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299,047,275</w:t>
            </w:r>
          </w:p>
        </w:tc>
        <w:tc>
          <w:tcPr>
            <w:tcW w:w="26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94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80" w:hanging="372"/>
        <w:spacing w:after="0" w:line="185" w:lineRule="auto"/>
        <w:tabs>
          <w:tab w:leader="none" w:pos="380" w:val="left"/>
        </w:tabs>
        <w:numPr>
          <w:ilvl w:val="0"/>
          <w:numId w:val="65"/>
        </w:numPr>
        <w:rPr>
          <w:rFonts w:ascii="Arial" w:cs="Arial" w:eastAsia="Arial" w:hAnsi="Arial"/>
          <w:sz w:val="19"/>
          <w:szCs w:val="19"/>
          <w:b w:val="1"/>
          <w:bCs w:val="1"/>
          <w:color w:val="auto"/>
          <w:vertAlign w:val="superscript"/>
        </w:rPr>
      </w:pPr>
      <w:r>
        <w:rPr>
          <w:rFonts w:ascii="Arial" w:cs="Arial" w:eastAsia="Arial" w:hAnsi="Arial"/>
          <w:sz w:val="11"/>
          <w:szCs w:val="11"/>
          <w:color w:val="auto"/>
        </w:rPr>
        <w:t>The weighted averages disclosed in the table above were weighted by their relative fair value.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2021</w:t>
      </w:r>
    </w:p>
    <w:p>
      <w:pPr>
        <w:spacing w:after="0" w:line="313"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Our investments, cash and cash equivalents, Credit Facility or Prior Credit Facility, as applicable, 2023 Notes, 2026 Notes and 2031 Asset-Backed Debt were categorized as follows in the fair value hierarchy for ASC 820 purposes: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Fair Value at September 30, 2021</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6"/>
        </w:trPr>
        <w:tc>
          <w:tcPr>
            <w:tcW w:w="378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934,418,269</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934,418,269</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8,949,112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8,949,112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138,252,031</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77,821,944</w:t>
            </w:r>
          </w:p>
        </w:tc>
        <w:tc>
          <w:tcPr>
            <w:tcW w:w="24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60,430,087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1,081,619,412</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1,021,189,325</w:t>
            </w:r>
          </w:p>
        </w:tc>
        <w:tc>
          <w:tcPr>
            <w:tcW w:w="2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60,430,087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49,825,527</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49,825,527</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78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2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1,131,444,939</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49,825,527</w:t>
            </w:r>
          </w:p>
        </w:tc>
        <w:tc>
          <w:tcPr>
            <w:tcW w:w="24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1,021,189,325</w:t>
            </w:r>
          </w:p>
        </w:tc>
        <w:tc>
          <w:tcPr>
            <w:tcW w:w="240" w:type="dxa"/>
            <w:vAlign w:val="bottom"/>
            <w:tcBorders>
              <w:bottom w:val="single" w:sz="8" w:color="CCEC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60,430,087</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78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Credit Facility payable</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218,851,500</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40" w:type="dxa"/>
            <w:vAlign w:val="bottom"/>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218,851,500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2023 Notes payable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111,114,023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111,114,023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 xml:space="preserve">2026 Notes payable </w:t>
            </w:r>
            <w:r>
              <w:rPr>
                <w:rFonts w:ascii="Arial" w:cs="Arial" w:eastAsia="Arial" w:hAnsi="Arial"/>
                <w:sz w:val="12"/>
                <w:szCs w:val="12"/>
                <w:color w:val="auto"/>
              </w:rPr>
              <w:t>(2)</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97,170,665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97,170,665</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2031 Asset-Backed Debt</w:t>
            </w: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225,497,177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225,497,177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780" w:type="dxa"/>
            <w:vAlign w:val="bottom"/>
            <w:tcBorders>
              <w:top w:val="single" w:sz="8" w:color="CCECFF"/>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debt</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652,633,365</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111,114,023</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97,170,665</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444,348,677</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120" w:type="dxa"/>
            <w:vAlign w:val="bottom"/>
            <w:tcBorders>
              <w:bottom w:val="single" w:sz="8" w:color="auto"/>
            </w:tcBorders>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380" w:right="380" w:hanging="372"/>
        <w:spacing w:after="0" w:line="182" w:lineRule="auto"/>
        <w:tabs>
          <w:tab w:leader="none" w:pos="380" w:val="left"/>
        </w:tabs>
        <w:numPr>
          <w:ilvl w:val="0"/>
          <w:numId w:val="66"/>
        </w:numPr>
        <w:rPr>
          <w:rFonts w:ascii="Arial" w:cs="Arial" w:eastAsia="Arial" w:hAnsi="Arial"/>
          <w:sz w:val="20"/>
          <w:szCs w:val="20"/>
          <w:b w:val="1"/>
          <w:bCs w:val="1"/>
          <w:color w:val="auto"/>
          <w:vertAlign w:val="superscript"/>
        </w:rPr>
      </w:pPr>
      <w:r>
        <w:rPr>
          <w:rFonts w:ascii="Arial" w:cs="Arial" w:eastAsia="Arial" w:hAnsi="Arial"/>
          <w:sz w:val="12"/>
          <w:szCs w:val="12"/>
          <w:color w:val="auto"/>
        </w:rPr>
        <w:t>In accordance with ASC Subtopic 820-10, Fair Value Measurements and Disclosures, or ASC 820-10, our equity investment in PSSL and PTSF are measured using the net asset value per share (or its equivalent) as a practical expedient for fair value, and thus have not been classified in the fair value hierarchy.</w:t>
      </w:r>
    </w:p>
    <w:p>
      <w:pPr>
        <w:ind w:left="380" w:right="140" w:hanging="372"/>
        <w:spacing w:after="0" w:line="190" w:lineRule="auto"/>
        <w:tabs>
          <w:tab w:leader="none" w:pos="380" w:val="left"/>
        </w:tabs>
        <w:numPr>
          <w:ilvl w:val="0"/>
          <w:numId w:val="66"/>
        </w:numPr>
        <w:rPr>
          <w:rFonts w:ascii="Arial" w:cs="Arial" w:eastAsia="Arial" w:hAnsi="Arial"/>
          <w:sz w:val="19"/>
          <w:szCs w:val="19"/>
          <w:b w:val="1"/>
          <w:bCs w:val="1"/>
          <w:color w:val="auto"/>
          <w:vertAlign w:val="superscript"/>
        </w:rPr>
      </w:pPr>
      <w:r>
        <w:rPr>
          <w:rFonts w:ascii="Arial" w:cs="Arial" w:eastAsia="Arial" w:hAnsi="Arial"/>
          <w:sz w:val="11"/>
          <w:szCs w:val="11"/>
          <w:color w:val="auto"/>
        </w:rPr>
        <w:t>We elected not to apply the fair value option allowed by ASC 825-10 to the 2026 Notes and the 2031 Asset-Backed Debt and thus the balance reported in the Consolidated Statement of Assets and Liabilities represents the carrying value, which approximates the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Fair Value at September 30, 2020</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6"/>
        </w:trPr>
        <w:tc>
          <w:tcPr>
            <w:tcW w:w="378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968,615,748</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968,615,748</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29,911,030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29,911,030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88,401,689</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48,491,115</w:t>
            </w:r>
          </w:p>
        </w:tc>
        <w:tc>
          <w:tcPr>
            <w:tcW w:w="24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39,910,574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1,086,928,467</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1,047,017,893</w:t>
            </w:r>
          </w:p>
        </w:tc>
        <w:tc>
          <w:tcPr>
            <w:tcW w:w="2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39,910,574</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57,511,928</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57,511,928</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78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2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1,144,440,395</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57,511,928</w:t>
            </w:r>
          </w:p>
        </w:tc>
        <w:tc>
          <w:tcPr>
            <w:tcW w:w="24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1,047,017,893</w:t>
            </w:r>
          </w:p>
        </w:tc>
        <w:tc>
          <w:tcPr>
            <w:tcW w:w="240" w:type="dxa"/>
            <w:vAlign w:val="bottom"/>
            <w:tcBorders>
              <w:bottom w:val="single" w:sz="8" w:color="CCEC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39,910,574</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78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299,047,275</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40" w:type="dxa"/>
            <w:vAlign w:val="bottom"/>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ind w:left="84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299,047,275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2023 Notes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129,295,008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129,295,008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2031 Asset-Backed Debt</w:t>
            </w:r>
            <w:r>
              <w:rPr>
                <w:rFonts w:ascii="Arial" w:cs="Arial" w:eastAsia="Arial" w:hAnsi="Arial"/>
                <w:sz w:val="12"/>
                <w:szCs w:val="12"/>
                <w:color w:val="auto"/>
              </w:rPr>
              <w:t>(2)</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224,866,334</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224,866,334</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78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Total debt</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653,208,617</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129,295,008</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523,913,609</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1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380" w:right="100" w:hanging="372"/>
        <w:spacing w:after="0" w:line="182" w:lineRule="auto"/>
        <w:tabs>
          <w:tab w:leader="none" w:pos="380" w:val="left"/>
        </w:tabs>
        <w:numPr>
          <w:ilvl w:val="0"/>
          <w:numId w:val="67"/>
        </w:numPr>
        <w:rPr>
          <w:rFonts w:ascii="Arial" w:cs="Arial" w:eastAsia="Arial" w:hAnsi="Arial"/>
          <w:sz w:val="20"/>
          <w:szCs w:val="20"/>
          <w:b w:val="1"/>
          <w:bCs w:val="1"/>
          <w:color w:val="auto"/>
          <w:vertAlign w:val="superscript"/>
        </w:rPr>
      </w:pPr>
      <w:r>
        <w:rPr>
          <w:rFonts w:ascii="Arial" w:cs="Arial" w:eastAsia="Arial" w:hAnsi="Arial"/>
          <w:sz w:val="12"/>
          <w:szCs w:val="12"/>
          <w:color w:val="auto"/>
        </w:rPr>
        <w:t>In accordance with ASC Subtopic 820-10, Fair Value Measurements and Disclosures, or ASC 820-10, our equity investment in PSSL is measured using the net asset value per share (or its equivalent) as a practical expedient for fair value, and thus has not been classified in the fair value hierarchy.</w:t>
      </w:r>
    </w:p>
    <w:p>
      <w:pPr>
        <w:ind w:left="380" w:right="440" w:hanging="372"/>
        <w:spacing w:after="0" w:line="190" w:lineRule="auto"/>
        <w:tabs>
          <w:tab w:leader="none" w:pos="380" w:val="left"/>
        </w:tabs>
        <w:numPr>
          <w:ilvl w:val="0"/>
          <w:numId w:val="67"/>
        </w:numPr>
        <w:rPr>
          <w:rFonts w:ascii="Arial" w:cs="Arial" w:eastAsia="Arial" w:hAnsi="Arial"/>
          <w:sz w:val="19"/>
          <w:szCs w:val="19"/>
          <w:b w:val="1"/>
          <w:bCs w:val="1"/>
          <w:color w:val="auto"/>
          <w:vertAlign w:val="superscript"/>
        </w:rPr>
      </w:pPr>
      <w:r>
        <w:rPr>
          <w:rFonts w:ascii="Arial" w:cs="Arial" w:eastAsia="Arial" w:hAnsi="Arial"/>
          <w:sz w:val="11"/>
          <w:szCs w:val="11"/>
          <w:color w:val="auto"/>
        </w:rPr>
        <w:t>We elected not to apply the fair value option allowed by ASC 825-10 to the 2031 Asset-Backed Debt and thus the balance reported in the Consolidated Statement of Assets and Liabilities represents the carrying value, which approximates the fair value.</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center"/>
              <w:ind w:left="768"/>
              <w:spacing w:after="0"/>
              <w:rPr>
                <w:sz w:val="20"/>
                <w:szCs w:val="20"/>
                <w:color w:val="auto"/>
              </w:rPr>
            </w:pPr>
            <w:r>
              <w:rPr>
                <w:rFonts w:ascii="Arial" w:cs="Arial" w:eastAsia="Arial" w:hAnsi="Arial"/>
                <w:sz w:val="14"/>
                <w:szCs w:val="14"/>
                <w:b w:val="1"/>
                <w:bCs w:val="1"/>
                <w:color w:val="auto"/>
                <w:w w:val="92"/>
              </w:rPr>
              <w:t>Year Ended September 30, 2021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subordinated</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280" w:type="dxa"/>
            <w:vAlign w:val="bottom"/>
          </w:tcPr>
          <w:p>
            <w:pPr>
              <w:spacing w:after="0"/>
              <w:rPr>
                <w:sz w:val="12"/>
                <w:szCs w:val="12"/>
                <w:color w:val="auto"/>
              </w:rPr>
            </w:pPr>
          </w:p>
        </w:tc>
        <w:tc>
          <w:tcPr>
            <w:tcW w:w="11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investments</w:t>
            </w: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36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968,615,748</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78,402,145</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1,047,017,893</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500"/>
              <w:spacing w:after="0"/>
              <w:rPr>
                <w:sz w:val="20"/>
                <w:szCs w:val="20"/>
                <w:color w:val="auto"/>
              </w:rPr>
            </w:pPr>
            <w:r>
              <w:rPr>
                <w:rFonts w:ascii="Arial" w:cs="Arial" w:eastAsia="Arial" w:hAnsi="Arial"/>
                <w:sz w:val="14"/>
                <w:szCs w:val="14"/>
                <w:color w:val="auto"/>
              </w:rPr>
              <w:t>Net realized losses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(3,731,128)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(8,220,309)</w:t>
            </w:r>
          </w:p>
        </w:tc>
        <w:tc>
          <w:tcPr>
            <w:tcW w:w="2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(11,951,437)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w:t>
            </w:r>
          </w:p>
        </w:tc>
        <w:tc>
          <w:tcPr>
            <w:tcW w:w="13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16,325,961</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26,123,844</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42,449,805</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630,323,712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15,476,863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645,800,575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3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(677,116,024)</w:t>
            </w: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(25,011,487)</w:t>
            </w:r>
          </w:p>
        </w:tc>
        <w:tc>
          <w:tcPr>
            <w:tcW w:w="28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(702,127,511)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360" w:type="dxa"/>
            <w:vAlign w:val="bottom"/>
            <w:tcBorders>
              <w:top w:val="single" w:sz="8" w:color="CCECFF"/>
              <w:bottom w:val="single" w:sz="8" w:color="CCECFF"/>
            </w:tcBorders>
            <w:shd w:val="clear" w:color="auto" w:fill="CCECFF"/>
          </w:tcPr>
          <w:p>
            <w:pPr>
              <w:spacing w:after="0"/>
              <w:rPr>
                <w:sz w:val="13"/>
                <w:szCs w:val="13"/>
                <w:color w:val="auto"/>
              </w:rPr>
            </w:pP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934,418,269</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86,771,056</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1,021,189,325</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w:t>
            </w: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16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60" w:type="dxa"/>
            <w:vAlign w:val="bottom"/>
          </w:tcPr>
          <w:p>
            <w:pPr>
              <w:ind w:left="120"/>
              <w:spacing w:after="0" w:line="149" w:lineRule="exact"/>
              <w:rPr>
                <w:sz w:val="20"/>
                <w:szCs w:val="20"/>
                <w:color w:val="auto"/>
              </w:rPr>
            </w:pPr>
            <w:r>
              <w:rPr>
                <w:rFonts w:ascii="Arial" w:cs="Arial" w:eastAsia="Arial" w:hAnsi="Arial"/>
                <w:sz w:val="14"/>
                <w:szCs w:val="14"/>
                <w:color w:val="auto"/>
              </w:rPr>
              <w:t>depreciation on investments in our Consolidated Statements of Operations</w:t>
            </w: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16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172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10,312,641</w:t>
            </w:r>
          </w:p>
        </w:tc>
        <w:tc>
          <w:tcPr>
            <w:tcW w:w="14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30,024,524</w:t>
            </w:r>
          </w:p>
        </w:tc>
        <w:tc>
          <w:tcPr>
            <w:tcW w:w="24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40,337,165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60" w:type="dxa"/>
            <w:vAlign w:val="bottom"/>
            <w:vMerge w:val="restart"/>
          </w:tcPr>
          <w:p>
            <w:pPr>
              <w:jc w:val="right"/>
              <w:ind w:right="748"/>
              <w:spacing w:after="0"/>
              <w:rPr>
                <w:sz w:val="20"/>
                <w:szCs w:val="20"/>
                <w:color w:val="auto"/>
              </w:rPr>
            </w:pPr>
            <w:r>
              <w:rPr>
                <w:rFonts w:ascii="Arial" w:cs="Arial" w:eastAsia="Arial" w:hAnsi="Arial"/>
                <w:sz w:val="14"/>
                <w:szCs w:val="14"/>
                <w:color w:val="auto"/>
              </w:rPr>
              <w:t>84</w:t>
            </w: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1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1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6" w:name="page87"/>
    <w:bookmarkEnd w:id="8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center"/>
              <w:ind w:left="768"/>
              <w:spacing w:after="0"/>
              <w:rPr>
                <w:sz w:val="20"/>
                <w:szCs w:val="20"/>
                <w:color w:val="auto"/>
              </w:rPr>
            </w:pPr>
            <w:r>
              <w:rPr>
                <w:rFonts w:ascii="Arial" w:cs="Arial" w:eastAsia="Arial" w:hAnsi="Arial"/>
                <w:sz w:val="14"/>
                <w:szCs w:val="14"/>
                <w:b w:val="1"/>
                <w:bCs w:val="1"/>
                <w:color w:val="auto"/>
                <w:w w:val="92"/>
              </w:rPr>
              <w:t>Year Ended September 30, 2020</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280" w:type="dxa"/>
            <w:vAlign w:val="bottom"/>
          </w:tcPr>
          <w:p>
            <w:pPr>
              <w:spacing w:after="0"/>
              <w:rPr>
                <w:sz w:val="12"/>
                <w:szCs w:val="12"/>
                <w:color w:val="auto"/>
              </w:rPr>
            </w:pPr>
          </w:p>
        </w:tc>
        <w:tc>
          <w:tcPr>
            <w:tcW w:w="11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944,900,800</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86,836,779</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1,031,737,579</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losses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(11,024,231)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(1,192,236)</w:t>
            </w:r>
          </w:p>
        </w:tc>
        <w:tc>
          <w:tcPr>
            <w:tcW w:w="2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(12,216,467)</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(7,074,283)</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(8,059,490)</w:t>
            </w:r>
          </w:p>
        </w:tc>
        <w:tc>
          <w:tcPr>
            <w:tcW w:w="28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(15,133,773)</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431,515,177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7,980,884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439,496,061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(389,701,715)</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(7,163,792)</w:t>
            </w:r>
          </w:p>
        </w:tc>
        <w:tc>
          <w:tcPr>
            <w:tcW w:w="28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(396,865,507)</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968,615,748</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78,402,145</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1,047,017,893</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appreciation reported within the net change in unrealized</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Arial" w:cs="Arial" w:eastAsia="Arial" w:hAnsi="Arial"/>
                <w:sz w:val="14"/>
                <w:szCs w:val="14"/>
                <w:color w:val="auto"/>
              </w:rPr>
              <w:t>(depreciation) appreciation on investments in our Consolidated Statements of Operations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(15,116,028)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(6,860,646)</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(21,976,674)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table below shows a reconciliation of the beginning and ending balances for liabilities recognized at fair value and measured using significant unobservable inputs (Level 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60" w:type="dxa"/>
            <w:vAlign w:val="bottom"/>
          </w:tcPr>
          <w:p>
            <w:pPr>
              <w:spacing w:after="0"/>
              <w:rPr>
                <w:sz w:val="14"/>
                <w:szCs w:val="14"/>
                <w:color w:val="auto"/>
              </w:rPr>
            </w:pPr>
          </w:p>
        </w:tc>
        <w:tc>
          <w:tcPr>
            <w:tcW w:w="31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$308,598,500 and $265,307,500,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299,047,275</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263,988,583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(depreciation) appreciation included in earnings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9,002,725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(8,232,308)</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Borrowings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346,500,000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265,000,000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Repayments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(435,698,500)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(221,709,000)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$219,400,000 and $308,598,500, respectively)</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218,851,500</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299,047,275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 of September 30, 2021, we had no outstanding non-U.S. dollar borrowings on our Credit Facility.</w:t>
      </w:r>
    </w:p>
    <w:p>
      <w:pPr>
        <w:spacing w:after="0" w:line="136" w:lineRule="exact"/>
        <w:rPr>
          <w:sz w:val="20"/>
          <w:szCs w:val="20"/>
          <w:color w:val="auto"/>
        </w:rPr>
      </w:pPr>
    </w:p>
    <w:p>
      <w:pPr>
        <w:ind w:right="600" w:firstLine="438"/>
        <w:spacing w:after="0" w:line="253" w:lineRule="auto"/>
        <w:rPr>
          <w:sz w:val="20"/>
          <w:szCs w:val="20"/>
          <w:color w:val="auto"/>
        </w:rPr>
      </w:pPr>
      <w:r>
        <w:rPr>
          <w:rFonts w:ascii="Arial" w:cs="Arial" w:eastAsia="Arial" w:hAnsi="Arial"/>
          <w:sz w:val="14"/>
          <w:szCs w:val="14"/>
          <w:color w:val="auto"/>
        </w:rPr>
        <w:t>As of September 30, 2020, we had outstanding non-U.S. dollar borrowings on our Prior Credit Facility. Net change in fair value from foreign currency translation on outstanding borrowings is listed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Borrowing Cost</w:t>
            </w:r>
          </w:p>
        </w:tc>
        <w:tc>
          <w:tcPr>
            <w:tcW w:w="15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Current Value</w:t>
            </w:r>
          </w:p>
        </w:tc>
        <w:tc>
          <w:tcPr>
            <w:tcW w:w="15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Reset Date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Change in Fair</w:t>
            </w:r>
          </w:p>
        </w:tc>
        <w:tc>
          <w:tcPr>
            <w:tcW w:w="0" w:type="dxa"/>
            <w:vAlign w:val="bottom"/>
          </w:tcPr>
          <w:p>
            <w:pPr>
              <w:spacing w:after="0"/>
              <w:rPr>
                <w:sz w:val="1"/>
                <w:szCs w:val="1"/>
                <w:color w:val="auto"/>
              </w:rPr>
            </w:pPr>
          </w:p>
        </w:tc>
      </w:tr>
      <w:tr>
        <w:trPr>
          <w:trHeight w:val="171"/>
        </w:trPr>
        <w:tc>
          <w:tcPr>
            <w:tcW w:w="3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Borrowed</w:t>
            </w: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37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140" w:type="dxa"/>
            <w:vAlign w:val="bottom"/>
            <w:tcBorders>
              <w:top w:val="single" w:sz="8" w:color="CCECFF"/>
            </w:tcBorders>
            <w:shd w:val="clear" w:color="auto" w:fill="CCECFF"/>
          </w:tcPr>
          <w:p>
            <w:pPr>
              <w:ind w:left="20"/>
              <w:spacing w:after="0" w:line="155" w:lineRule="exact"/>
              <w:rPr>
                <w:sz w:val="20"/>
                <w:szCs w:val="20"/>
                <w:color w:val="auto"/>
              </w:rPr>
            </w:pPr>
            <w:r>
              <w:rPr>
                <w:rFonts w:ascii="Arial" w:cs="Arial" w:eastAsia="Arial" w:hAnsi="Arial"/>
                <w:sz w:val="14"/>
                <w:szCs w:val="14"/>
                <w:color w:val="auto"/>
                <w:w w:val="98"/>
              </w:rPr>
              <w:t>C</w:t>
            </w: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16,500,000</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11,698,500</w:t>
            </w:r>
          </w:p>
        </w:tc>
        <w:tc>
          <w:tcPr>
            <w:tcW w:w="240" w:type="dxa"/>
            <w:vAlign w:val="bottom"/>
            <w:tcBorders>
              <w:top w:val="single" w:sz="8" w:color="CCECFF"/>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12,352,610</w:t>
            </w:r>
          </w:p>
        </w:tc>
        <w:tc>
          <w:tcPr>
            <w:tcW w:w="260" w:type="dxa"/>
            <w:vAlign w:val="bottom"/>
            <w:tcBorders>
              <w:top w:val="single" w:sz="8" w:color="CCECFF"/>
            </w:tcBorders>
            <w:shd w:val="clear" w:color="auto" w:fill="CCECFF"/>
          </w:tcPr>
          <w:p>
            <w:pPr>
              <w:spacing w:after="0"/>
              <w:rPr>
                <w:sz w:val="13"/>
                <w:szCs w:val="13"/>
                <w:color w:val="auto"/>
              </w:rPr>
            </w:pPr>
          </w:p>
        </w:tc>
        <w:tc>
          <w:tcPr>
            <w:tcW w:w="136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October 1, 2020</w:t>
            </w:r>
          </w:p>
        </w:tc>
        <w:tc>
          <w:tcPr>
            <w:tcW w:w="140" w:type="dxa"/>
            <w:vAlign w:val="bottom"/>
            <w:tcBorders>
              <w:top w:val="single" w:sz="8" w:color="CCECFF"/>
            </w:tcBorders>
            <w:shd w:val="clear" w:color="auto" w:fill="CCECFF"/>
          </w:tcPr>
          <w:p>
            <w:pPr>
              <w:spacing w:after="0"/>
              <w:rPr>
                <w:sz w:val="13"/>
                <w:szCs w:val="13"/>
                <w:color w:val="auto"/>
              </w:rPr>
            </w:pPr>
          </w:p>
        </w:tc>
        <w:tc>
          <w:tcPr>
            <w:tcW w:w="1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654,110</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firstLine="438"/>
        <w:spacing w:after="0" w:line="226" w:lineRule="auto"/>
        <w:rPr>
          <w:sz w:val="20"/>
          <w:szCs w:val="20"/>
          <w:color w:val="auto"/>
        </w:rPr>
      </w:pPr>
      <w:r>
        <w:rPr>
          <w:rFonts w:ascii="Arial" w:cs="Arial" w:eastAsia="Arial" w:hAnsi="Arial"/>
          <w:sz w:val="14"/>
          <w:szCs w:val="14"/>
          <w:color w:val="auto"/>
        </w:rPr>
        <w:t>Generally, the carrying value of our consolidated financial liabilities approximates fair value. We have adopted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incurred expenses of $2.9 million, zero and $4.5 million relating to amendment costs on the Credit Facility and debt issuance costs on the 2023 Notes during the years ended September 30, 2021, 2020 and 2019,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2026 Notes and 2031 Asset-Backed Debt.</w:t>
      </w:r>
    </w:p>
    <w:p>
      <w:pPr>
        <w:spacing w:after="0" w:line="121"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For the years ended September 30, 2021, 2020 and 2019, our Credit Facility or our Prior Credit Facility, as applicable, the 2023 Notes had a net change in unrealized (appreciation) depreciation of $(11.6) million, $14.2 million and less than $(0.1) million, respectively. As of September 30, 2021, 2020 and 2019, the net unrealized depreciation on our Credit Facility or our Prior Credit Facility, as applicable, the 2023 Notes totaled $7.2 million, $18.8 million and $4.7 million, respectively. We use a nationally recognized independent valuation service to measure the fair value of our Credit Facility in a manner consistent with the valuation process that the board of directors uses to value our investments. Our 2023 Notes trade on the TASE and we use the closing price on the exchange to determine the fair value.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2021</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27" w:lineRule="exact"/>
        <w:rPr>
          <w:sz w:val="20"/>
          <w:szCs w:val="20"/>
          <w:color w:val="auto"/>
        </w:rPr>
      </w:pPr>
    </w:p>
    <w:p>
      <w:pPr>
        <w:jc w:val="both"/>
        <w:ind w:right="38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generally when we own more than 25% of its voting securities. Transactions related to our funded investments with both controlled and non-controlled affiliates for the year ended September 30, 2021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6"/>
              </w:rPr>
              <w:t>Fair Value at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Sale of/</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Net Change in</w:t>
            </w:r>
          </w:p>
        </w:tc>
        <w:tc>
          <w:tcPr>
            <w:tcW w:w="80" w:type="dxa"/>
            <w:vAlign w:val="bottom"/>
          </w:tcPr>
          <w:p>
            <w:pPr>
              <w:spacing w:after="0"/>
              <w:rPr>
                <w:sz w:val="14"/>
                <w:szCs w:val="14"/>
                <w:color w:val="auto"/>
              </w:rPr>
            </w:pPr>
          </w:p>
        </w:tc>
        <w:tc>
          <w:tcPr>
            <w:tcW w:w="9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Fair Value at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2"/>
                <w:szCs w:val="12"/>
                <w:color w:val="auto"/>
              </w:rPr>
            </w:pPr>
          </w:p>
        </w:tc>
        <w:tc>
          <w:tcPr>
            <w:tcW w:w="11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Dividend/Other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w w:val="91"/>
              </w:rPr>
              <w:t>Net Realized</w:t>
            </w:r>
          </w:p>
        </w:tc>
        <w:tc>
          <w:tcPr>
            <w:tcW w:w="0" w:type="dxa"/>
            <w:vAlign w:val="bottom"/>
          </w:tcPr>
          <w:p>
            <w:pPr>
              <w:spacing w:after="0"/>
              <w:rPr>
                <w:sz w:val="1"/>
                <w:szCs w:val="1"/>
                <w:color w:val="auto"/>
              </w:rPr>
            </w:pPr>
          </w:p>
        </w:tc>
      </w:tr>
      <w:tr>
        <w:trPr>
          <w:trHeight w:val="148"/>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6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Additions</w:t>
            </w: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from Affiliates</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(Depreciation)</w:t>
            </w:r>
          </w:p>
        </w:tc>
        <w:tc>
          <w:tcPr>
            <w:tcW w:w="8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4"/>
                <w:szCs w:val="14"/>
                <w:color w:val="auto"/>
              </w:rPr>
            </w:pPr>
          </w:p>
        </w:tc>
        <w:tc>
          <w:tcPr>
            <w:tcW w:w="104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w w:val="87"/>
              </w:rPr>
              <w:t>Gains (Losses)</w:t>
            </w:r>
          </w:p>
        </w:tc>
        <w:tc>
          <w:tcPr>
            <w:tcW w:w="0" w:type="dxa"/>
            <w:vAlign w:val="bottom"/>
          </w:tcPr>
          <w:p>
            <w:pPr>
              <w:spacing w:after="0"/>
              <w:rPr>
                <w:sz w:val="1"/>
                <w:szCs w:val="1"/>
                <w:color w:val="auto"/>
              </w:rPr>
            </w:pPr>
          </w:p>
        </w:tc>
      </w:tr>
      <w:tr>
        <w:trPr>
          <w:trHeight w:val="155"/>
        </w:trPr>
        <w:tc>
          <w:tcPr>
            <w:tcW w:w="23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Non-Controlled Affiliates</w:t>
            </w:r>
          </w:p>
        </w:tc>
        <w:tc>
          <w:tcPr>
            <w:tcW w:w="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auto"/>
              </w:rPr>
              <w:t>DBI Holding, LLC</w:t>
            </w:r>
          </w:p>
        </w:tc>
        <w:tc>
          <w:tcPr>
            <w:tcW w:w="20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13,701,991</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3,853,277</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(24,256)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(10,098,116)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7,432,896</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1,141,207</w:t>
            </w:r>
          </w:p>
        </w:tc>
        <w:tc>
          <w:tcPr>
            <w:tcW w:w="320" w:type="dxa"/>
            <w:vAlign w:val="bottom"/>
            <w:gridSpan w:val="2"/>
          </w:tcPr>
          <w:p>
            <w:pPr>
              <w:jc w:val="right"/>
              <w:ind w:right="3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9"/>
              <w:spacing w:after="0"/>
              <w:rPr>
                <w:sz w:val="20"/>
                <w:szCs w:val="20"/>
                <w:color w:val="auto"/>
              </w:rPr>
            </w:pPr>
            <w:r>
              <w:rPr>
                <w:rFonts w:ascii="Arial" w:cs="Arial" w:eastAsia="Arial" w:hAnsi="Arial"/>
                <w:sz w:val="14"/>
                <w:szCs w:val="14"/>
                <w:color w:val="auto"/>
              </w:rPr>
              <w:t>(14,947,196)</w:t>
            </w:r>
          </w:p>
        </w:tc>
        <w:tc>
          <w:tcPr>
            <w:tcW w:w="0" w:type="dxa"/>
            <w:vAlign w:val="bottom"/>
          </w:tcPr>
          <w:p>
            <w:pPr>
              <w:spacing w:after="0"/>
              <w:rPr>
                <w:sz w:val="1"/>
                <w:szCs w:val="1"/>
                <w:color w:val="auto"/>
              </w:rPr>
            </w:pPr>
          </w:p>
        </w:tc>
      </w:tr>
      <w:tr>
        <w:trPr>
          <w:trHeight w:val="143"/>
        </w:trPr>
        <w:tc>
          <w:tcPr>
            <w:tcW w:w="230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Country Fresh Holding</w:t>
            </w:r>
          </w:p>
        </w:tc>
        <w:tc>
          <w:tcPr>
            <w:tcW w:w="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shd w:val="clear" w:color="auto" w:fill="CCECFF"/>
          </w:tcPr>
          <w:p>
            <w:pPr>
              <w:ind w:left="120"/>
              <w:spacing w:after="0"/>
              <w:rPr>
                <w:sz w:val="20"/>
                <w:szCs w:val="20"/>
                <w:color w:val="auto"/>
              </w:rPr>
            </w:pPr>
            <w:r>
              <w:rPr>
                <w:rFonts w:ascii="Arial" w:cs="Arial" w:eastAsia="Arial" w:hAnsi="Arial"/>
                <w:sz w:val="14"/>
                <w:szCs w:val="14"/>
                <w:color w:val="auto"/>
              </w:rPr>
              <w:t>Company Inc.</w:t>
            </w:r>
          </w:p>
        </w:tc>
        <w:tc>
          <w:tcPr>
            <w:tcW w:w="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11,086,834</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4,191,843</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(26,156,024)</w:t>
            </w:r>
          </w:p>
        </w:tc>
        <w:tc>
          <w:tcPr>
            <w:tcW w:w="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10,877,347</w:t>
            </w: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167,794</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122,570</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980" w:type="dxa"/>
            <w:vAlign w:val="bottom"/>
            <w:gridSpan w:val="2"/>
            <w:shd w:val="clear" w:color="auto" w:fill="CCECFF"/>
          </w:tcPr>
          <w:p>
            <w:pPr>
              <w:jc w:val="right"/>
              <w:ind w:right="19"/>
              <w:spacing w:after="0"/>
              <w:rPr>
                <w:sz w:val="20"/>
                <w:szCs w:val="20"/>
                <w:color w:val="auto"/>
              </w:rPr>
            </w:pPr>
            <w:r>
              <w:rPr>
                <w:rFonts w:ascii="Arial" w:cs="Arial" w:eastAsia="Arial" w:hAnsi="Arial"/>
                <w:sz w:val="14"/>
                <w:szCs w:val="14"/>
                <w:color w:val="auto"/>
              </w:rPr>
              <w:t>(20,461,619)</w:t>
            </w:r>
          </w:p>
        </w:tc>
        <w:tc>
          <w:tcPr>
            <w:tcW w:w="0" w:type="dxa"/>
            <w:vAlign w:val="bottom"/>
          </w:tcPr>
          <w:p>
            <w:pPr>
              <w:spacing w:after="0"/>
              <w:rPr>
                <w:sz w:val="1"/>
                <w:szCs w:val="1"/>
                <w:color w:val="auto"/>
              </w:rPr>
            </w:pPr>
          </w:p>
        </w:tc>
      </w:tr>
      <w:tr>
        <w:trPr>
          <w:trHeight w:val="137"/>
        </w:trPr>
        <w:tc>
          <w:tcPr>
            <w:tcW w:w="2300" w:type="dxa"/>
            <w:vAlign w:val="bottom"/>
          </w:tcPr>
          <w:p>
            <w:pPr>
              <w:spacing w:after="0" w:line="137" w:lineRule="exact"/>
              <w:rPr>
                <w:sz w:val="20"/>
                <w:szCs w:val="20"/>
                <w:color w:val="auto"/>
              </w:rPr>
            </w:pPr>
            <w:r>
              <w:rPr>
                <w:rFonts w:ascii="Arial" w:cs="Arial" w:eastAsia="Arial" w:hAnsi="Arial"/>
                <w:sz w:val="14"/>
                <w:szCs w:val="14"/>
                <w:color w:val="auto"/>
              </w:rPr>
              <w:t>Total Non-Controlled</w:t>
            </w: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300" w:type="dxa"/>
            <w:vAlign w:val="bottom"/>
          </w:tcPr>
          <w:p>
            <w:pPr>
              <w:ind w:left="120"/>
              <w:spacing w:after="0"/>
              <w:rPr>
                <w:sz w:val="20"/>
                <w:szCs w:val="20"/>
                <w:color w:val="auto"/>
              </w:rPr>
            </w:pPr>
            <w:r>
              <w:rPr>
                <w:rFonts w:ascii="Arial" w:cs="Arial" w:eastAsia="Arial" w:hAnsi="Arial"/>
                <w:sz w:val="14"/>
                <w:szCs w:val="14"/>
                <w:color w:val="auto"/>
              </w:rPr>
              <w:t>Affiliates</w:t>
            </w:r>
          </w:p>
        </w:tc>
        <w:tc>
          <w:tcPr>
            <w:tcW w:w="20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24,788,825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8,045,120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(26,180,280)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779,231</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7,432,896</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1,309,001</w:t>
            </w:r>
          </w:p>
        </w:tc>
        <w:tc>
          <w:tcPr>
            <w:tcW w:w="320" w:type="dxa"/>
            <w:vAlign w:val="bottom"/>
            <w:gridSpan w:val="2"/>
          </w:tcPr>
          <w:p>
            <w:pPr>
              <w:jc w:val="right"/>
              <w:ind w:right="3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122,570</w:t>
            </w:r>
          </w:p>
        </w:tc>
        <w:tc>
          <w:tcPr>
            <w:tcW w:w="16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9"/>
              <w:spacing w:after="0"/>
              <w:rPr>
                <w:sz w:val="20"/>
                <w:szCs w:val="20"/>
                <w:color w:val="auto"/>
              </w:rPr>
            </w:pPr>
            <w:r>
              <w:rPr>
                <w:rFonts w:ascii="Arial" w:cs="Arial" w:eastAsia="Arial" w:hAnsi="Arial"/>
                <w:sz w:val="14"/>
                <w:szCs w:val="14"/>
                <w:color w:val="auto"/>
              </w:rPr>
              <w:t>(35,408,815)</w:t>
            </w:r>
          </w:p>
        </w:tc>
        <w:tc>
          <w:tcPr>
            <w:tcW w:w="0" w:type="dxa"/>
            <w:vAlign w:val="bottom"/>
          </w:tcPr>
          <w:p>
            <w:pPr>
              <w:spacing w:after="0"/>
              <w:rPr>
                <w:sz w:val="1"/>
                <w:szCs w:val="1"/>
                <w:color w:val="auto"/>
              </w:rPr>
            </w:pPr>
          </w:p>
        </w:tc>
      </w:tr>
      <w:tr>
        <w:trPr>
          <w:trHeight w:val="143"/>
        </w:trPr>
        <w:tc>
          <w:tcPr>
            <w:tcW w:w="2300" w:type="dxa"/>
            <w:vAlign w:val="bottom"/>
            <w:tcBorders>
              <w:top w:val="single" w:sz="8" w:color="CCECFF"/>
            </w:tcBorders>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Controlled Affiliates</w:t>
            </w:r>
          </w:p>
        </w:tc>
        <w:tc>
          <w:tcPr>
            <w:tcW w:w="6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6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88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spacing w:after="0"/>
              <w:rPr>
                <w:sz w:val="12"/>
                <w:szCs w:val="12"/>
                <w:color w:val="auto"/>
              </w:rPr>
            </w:pPr>
          </w:p>
        </w:tc>
        <w:tc>
          <w:tcPr>
            <w:tcW w:w="84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20" w:type="dxa"/>
            <w:vAlign w:val="bottom"/>
            <w:tcBorders>
              <w:top w:val="single" w:sz="8" w:color="CCECFF"/>
            </w:tcBorders>
            <w:shd w:val="clear" w:color="auto" w:fill="CCECFF"/>
          </w:tcPr>
          <w:p>
            <w:pPr>
              <w:spacing w:after="0"/>
              <w:rPr>
                <w:sz w:val="12"/>
                <w:szCs w:val="12"/>
                <w:color w:val="auto"/>
              </w:rPr>
            </w:pPr>
          </w:p>
        </w:tc>
        <w:tc>
          <w:tcPr>
            <w:tcW w:w="60" w:type="dxa"/>
            <w:vAlign w:val="bottom"/>
            <w:tcBorders>
              <w:top w:val="single" w:sz="8" w:color="auto"/>
            </w:tcBorders>
            <w:shd w:val="clear" w:color="auto" w:fill="CCECFF"/>
          </w:tcPr>
          <w:p>
            <w:pPr>
              <w:spacing w:after="0"/>
              <w:rPr>
                <w:sz w:val="12"/>
                <w:szCs w:val="12"/>
                <w:color w:val="auto"/>
              </w:rPr>
            </w:pPr>
          </w:p>
        </w:tc>
        <w:tc>
          <w:tcPr>
            <w:tcW w:w="8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auto"/>
              </w:rPr>
              <w:t>Marketplace Events, LLC</w:t>
            </w:r>
          </w:p>
        </w:tc>
        <w:tc>
          <w:tcPr>
            <w:tcW w:w="20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16,155,762</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5,215,248</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(1,052,048)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11,330,002</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31,648,964</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184,773</w:t>
            </w:r>
          </w:p>
        </w:tc>
        <w:tc>
          <w:tcPr>
            <w:tcW w:w="320" w:type="dxa"/>
            <w:vAlign w:val="bottom"/>
            <w:gridSpan w:val="2"/>
          </w:tcPr>
          <w:p>
            <w:pPr>
              <w:jc w:val="right"/>
              <w:ind w:right="3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195,630</w:t>
            </w:r>
          </w:p>
        </w:tc>
        <w:tc>
          <w:tcPr>
            <w:tcW w:w="16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9"/>
              <w:spacing w:after="0"/>
              <w:rPr>
                <w:sz w:val="20"/>
                <w:szCs w:val="20"/>
                <w:color w:val="auto"/>
              </w:rPr>
            </w:pPr>
            <w:r>
              <w:rPr>
                <w:rFonts w:ascii="Arial" w:cs="Arial" w:eastAsia="Arial" w:hAnsi="Arial"/>
                <w:sz w:val="14"/>
                <w:szCs w:val="14"/>
                <w:color w:val="auto"/>
              </w:rPr>
              <w:t>(2,000,250)</w:t>
            </w:r>
          </w:p>
        </w:tc>
        <w:tc>
          <w:tcPr>
            <w:tcW w:w="0" w:type="dxa"/>
            <w:vAlign w:val="bottom"/>
          </w:tcPr>
          <w:p>
            <w:pPr>
              <w:spacing w:after="0"/>
              <w:rPr>
                <w:sz w:val="1"/>
                <w:szCs w:val="1"/>
                <w:color w:val="auto"/>
              </w:rPr>
            </w:pPr>
          </w:p>
        </w:tc>
      </w:tr>
      <w:tr>
        <w:trPr>
          <w:trHeight w:val="162"/>
        </w:trPr>
        <w:tc>
          <w:tcPr>
            <w:tcW w:w="2300" w:type="dxa"/>
            <w:vAlign w:val="bottom"/>
            <w:shd w:val="clear" w:color="auto" w:fill="CCECFF"/>
          </w:tcPr>
          <w:p>
            <w:pPr>
              <w:spacing w:after="0"/>
              <w:rPr>
                <w:sz w:val="20"/>
                <w:szCs w:val="20"/>
                <w:color w:val="auto"/>
              </w:rPr>
            </w:pPr>
            <w:r>
              <w:rPr>
                <w:rFonts w:ascii="Arial" w:cs="Arial" w:eastAsia="Arial" w:hAnsi="Arial"/>
                <w:sz w:val="14"/>
                <w:szCs w:val="14"/>
                <w:color w:val="auto"/>
              </w:rPr>
              <w:t>PennantPark Senior Secured</w:t>
            </w:r>
          </w:p>
        </w:tc>
        <w:tc>
          <w:tcPr>
            <w:tcW w:w="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CFF"/>
          </w:tcPr>
          <w:p>
            <w:pPr>
              <w:ind w:left="140"/>
              <w:spacing w:after="0"/>
              <w:rPr>
                <w:sz w:val="20"/>
                <w:szCs w:val="20"/>
                <w:color w:val="auto"/>
              </w:rPr>
            </w:pPr>
            <w:r>
              <w:rPr>
                <w:rFonts w:ascii="Arial" w:cs="Arial" w:eastAsia="Arial" w:hAnsi="Arial"/>
                <w:sz w:val="14"/>
                <w:szCs w:val="14"/>
                <w:color w:val="auto"/>
              </w:rPr>
              <w:t>Loan Fund I LLC *</w:t>
            </w:r>
          </w:p>
        </w:tc>
        <w:tc>
          <w:tcPr>
            <w:tcW w:w="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7"/>
              </w:rPr>
              <w:t>165,289,324</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22,137,500</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(1,695,709)</w:t>
            </w:r>
          </w:p>
        </w:tc>
        <w:tc>
          <w:tcPr>
            <w:tcW w:w="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185,731,115</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11,055,802</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8,793,750</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980" w:type="dxa"/>
            <w:vAlign w:val="bottom"/>
            <w:gridSpan w:val="2"/>
            <w:shd w:val="clear" w:color="auto" w:fill="CCECFF"/>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300" w:type="dxa"/>
            <w:vAlign w:val="bottom"/>
          </w:tcPr>
          <w:p>
            <w:pPr>
              <w:spacing w:after="0" w:line="155" w:lineRule="exact"/>
              <w:rPr>
                <w:sz w:val="20"/>
                <w:szCs w:val="20"/>
                <w:color w:val="auto"/>
              </w:rPr>
            </w:pPr>
            <w:r>
              <w:rPr>
                <w:rFonts w:ascii="Arial" w:cs="Arial" w:eastAsia="Arial" w:hAnsi="Arial"/>
                <w:sz w:val="14"/>
                <w:szCs w:val="14"/>
                <w:color w:val="auto"/>
              </w:rPr>
              <w:t>Total Controlled Affiliates</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181,445,086</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27,352,748</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(1,052,048)</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9,634,293</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217,380,079</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11,240,574</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8,989,380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(2,000,250</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160" w:lineRule="exact"/>
              <w:rPr>
                <w:sz w:val="20"/>
                <w:szCs w:val="20"/>
                <w:color w:val="auto"/>
              </w:rPr>
            </w:pPr>
            <w:r>
              <w:rPr>
                <w:rFonts w:ascii="Arial" w:cs="Arial" w:eastAsia="Arial" w:hAnsi="Arial"/>
                <w:sz w:val="14"/>
                <w:szCs w:val="14"/>
                <w:b w:val="1"/>
                <w:bCs w:val="1"/>
                <w:color w:val="auto"/>
              </w:rPr>
              <w:t>Total Controlled and</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120"/>
              <w:spacing w:after="0"/>
              <w:rPr>
                <w:sz w:val="20"/>
                <w:szCs w:val="20"/>
                <w:color w:val="auto"/>
              </w:rPr>
            </w:pPr>
            <w:r>
              <w:rPr>
                <w:rFonts w:ascii="Arial" w:cs="Arial" w:eastAsia="Arial" w:hAnsi="Arial"/>
                <w:sz w:val="14"/>
                <w:szCs w:val="14"/>
                <w:b w:val="1"/>
                <w:bCs w:val="1"/>
                <w:color w:val="auto"/>
              </w:rPr>
              <w:t>Non-Controlled Affiliates</w:t>
            </w:r>
          </w:p>
        </w:tc>
        <w:tc>
          <w:tcPr>
            <w:tcW w:w="20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w w:val="97"/>
              </w:rPr>
              <w:t>206,233,911</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35,397,868</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(27,232,328)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10,413,524</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224,812,975</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12,549,576</w:t>
            </w:r>
          </w:p>
        </w:tc>
        <w:tc>
          <w:tcPr>
            <w:tcW w:w="320" w:type="dxa"/>
            <w:vAlign w:val="bottom"/>
            <w:gridSpan w:val="2"/>
          </w:tcPr>
          <w:p>
            <w:pPr>
              <w:jc w:val="right"/>
              <w:ind w:right="3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9,111,950</w:t>
            </w:r>
          </w:p>
        </w:tc>
        <w:tc>
          <w:tcPr>
            <w:tcW w:w="16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9"/>
              <w:spacing w:after="0"/>
              <w:rPr>
                <w:sz w:val="20"/>
                <w:szCs w:val="20"/>
                <w:color w:val="auto"/>
              </w:rPr>
            </w:pPr>
            <w:r>
              <w:rPr>
                <w:rFonts w:ascii="Arial" w:cs="Arial" w:eastAsia="Arial" w:hAnsi="Arial"/>
                <w:sz w:val="14"/>
                <w:szCs w:val="14"/>
                <w:color w:val="auto"/>
              </w:rPr>
              <w:t>(37,409,065)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3455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63" w:lineRule="exact"/>
        <w:rPr>
          <w:sz w:val="20"/>
          <w:szCs w:val="20"/>
          <w:color w:val="auto"/>
        </w:rPr>
      </w:pPr>
    </w:p>
    <w:p>
      <w:pPr>
        <w:ind w:left="380" w:right="20" w:hanging="372"/>
        <w:spacing w:after="0" w:line="276" w:lineRule="auto"/>
        <w:tabs>
          <w:tab w:leader="none" w:pos="380" w:val="left"/>
        </w:tabs>
        <w:numPr>
          <w:ilvl w:val="0"/>
          <w:numId w:val="68"/>
        </w:numPr>
        <w:rPr>
          <w:rFonts w:ascii="Arial" w:cs="Arial" w:eastAsia="Arial" w:hAnsi="Arial"/>
          <w:sz w:val="11"/>
          <w:szCs w:val="11"/>
          <w:b w:val="1"/>
          <w:bCs w:val="1"/>
          <w:color w:val="auto"/>
        </w:rPr>
      </w:pPr>
      <w:r>
        <w:rPr>
          <w:rFonts w:ascii="Arial" w:cs="Arial" w:eastAsia="Arial" w:hAnsi="Arial"/>
          <w:sz w:val="11"/>
          <w:szCs w:val="11"/>
          <w:color w:val="auto"/>
        </w:rPr>
        <w:t>We and Kemper are the members of PSSL, a joint venture formed as a Delaware limited liability company that is not consolidated by us for financial reporting purposes. The members of PSSL make investments in the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(decrease) increase in net assets resulting from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Years Ended September 30,</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680" w:type="dxa"/>
            <w:vAlign w:val="bottom"/>
            <w:tcBorders>
              <w:bottom w:val="single" w:sz="8" w:color="CCECFF"/>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0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C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0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r>
      <w:tr>
        <w:trPr>
          <w:trHeight w:val="156"/>
        </w:trPr>
        <w:tc>
          <w:tcPr>
            <w:tcW w:w="5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in net assets resulting from operations</w:t>
            </w:r>
          </w:p>
        </w:tc>
        <w:tc>
          <w:tcPr>
            <w:tcW w:w="960" w:type="dxa"/>
            <w:vAlign w:val="bottom"/>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w w:val="88"/>
              </w:rPr>
              <w:t>56,516,043</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18,413,044</w:t>
            </w: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11,416,106</w:t>
            </w:r>
          </w:p>
        </w:tc>
        <w:tc>
          <w:tcPr>
            <w:tcW w:w="120" w:type="dxa"/>
            <w:vAlign w:val="bottom"/>
            <w:shd w:val="clear" w:color="auto" w:fill="CCECFF"/>
          </w:tcPr>
          <w:p>
            <w:pPr>
              <w:spacing w:after="0"/>
              <w:rPr>
                <w:sz w:val="13"/>
                <w:szCs w:val="13"/>
                <w:color w:val="auto"/>
              </w:rPr>
            </w:pPr>
          </w:p>
        </w:tc>
      </w:tr>
      <w:tr>
        <w:trPr>
          <w:trHeight w:val="162"/>
        </w:trPr>
        <w:tc>
          <w:tcPr>
            <w:tcW w:w="568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8"/>
              </w:rPr>
              <w:t>38,776,831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38,772,074</w:t>
            </w:r>
          </w:p>
        </w:tc>
        <w:tc>
          <w:tcPr>
            <w:tcW w:w="120" w:type="dxa"/>
            <w:vAlign w:val="bottom"/>
          </w:tcPr>
          <w:p>
            <w:pPr>
              <w:spacing w:after="0"/>
              <w:rPr>
                <w:sz w:val="14"/>
                <w:szCs w:val="14"/>
                <w:color w:val="auto"/>
              </w:rPr>
            </w:pPr>
          </w:p>
        </w:tc>
      </w:tr>
      <w:tr>
        <w:trPr>
          <w:trHeight w:val="162"/>
        </w:trPr>
        <w:tc>
          <w:tcPr>
            <w:tcW w:w="568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960" w:type="dxa"/>
            <w:vAlign w:val="bottom"/>
            <w:shd w:val="clear" w:color="auto" w:fill="CCECFF"/>
          </w:tcPr>
          <w:p>
            <w:pPr>
              <w:jc w:val="right"/>
              <w:ind w:right="80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1.46</w:t>
            </w:r>
          </w:p>
        </w:tc>
        <w:tc>
          <w:tcPr>
            <w:tcW w:w="640" w:type="dxa"/>
            <w:vAlign w:val="bottom"/>
            <w:gridSpan w:val="2"/>
            <w:shd w:val="clear" w:color="auto" w:fill="CCEC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0.47</w:t>
            </w:r>
          </w:p>
        </w:tc>
        <w:tc>
          <w:tcPr>
            <w:tcW w:w="280" w:type="dxa"/>
            <w:vAlign w:val="bottom"/>
            <w:shd w:val="clear" w:color="auto" w:fill="CCECFF"/>
          </w:tcPr>
          <w:p>
            <w:pPr>
              <w:spacing w:after="0"/>
              <w:rPr>
                <w:sz w:val="14"/>
                <w:szCs w:val="14"/>
                <w:color w:val="auto"/>
              </w:rPr>
            </w:pPr>
          </w:p>
        </w:tc>
        <w:tc>
          <w:tcPr>
            <w:tcW w:w="380" w:type="dxa"/>
            <w:vAlign w:val="bottom"/>
            <w:shd w:val="clear" w:color="auto" w:fill="CCEC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0.29</w:t>
            </w:r>
          </w:p>
        </w:tc>
        <w:tc>
          <w:tcPr>
            <w:tcW w:w="12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TAXES AND DISTRIBUTIONS</w:t>
      </w:r>
    </w:p>
    <w:p>
      <w:pPr>
        <w:spacing w:after="0" w:line="140"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As of September 30, 2021 and 2020, the cost of investments for federal income tax purposes approximates amortized cost reported in the Consolidated Schedule of Investments.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amounts were reclassified for tax purposes: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6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r>
      <w:tr>
        <w:trPr>
          <w:trHeight w:val="155"/>
        </w:trPr>
        <w:tc>
          <w:tcPr>
            <w:tcW w:w="66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Decrease in paid-in capital</w:t>
            </w: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(368,826)</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(481,300)</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(829,509)</w:t>
            </w:r>
          </w:p>
        </w:tc>
        <w:tc>
          <w:tcPr>
            <w:tcW w:w="100" w:type="dxa"/>
            <w:vAlign w:val="bottom"/>
            <w:shd w:val="clear" w:color="auto" w:fill="CCECFF"/>
          </w:tcPr>
          <w:p>
            <w:pPr>
              <w:spacing w:after="0"/>
              <w:rPr>
                <w:sz w:val="13"/>
                <w:szCs w:val="13"/>
                <w:color w:val="auto"/>
              </w:rPr>
            </w:pPr>
          </w:p>
        </w:tc>
      </w:tr>
      <w:tr>
        <w:trPr>
          <w:trHeight w:val="162"/>
        </w:trPr>
        <w:tc>
          <w:tcPr>
            <w:tcW w:w="6660" w:type="dxa"/>
            <w:vAlign w:val="bottom"/>
          </w:tcPr>
          <w:p>
            <w:pPr>
              <w:spacing w:after="0"/>
              <w:rPr>
                <w:sz w:val="20"/>
                <w:szCs w:val="20"/>
                <w:color w:val="auto"/>
              </w:rPr>
            </w:pPr>
            <w:r>
              <w:rPr>
                <w:rFonts w:ascii="Arial" w:cs="Arial" w:eastAsia="Arial" w:hAnsi="Arial"/>
                <w:sz w:val="14"/>
                <w:szCs w:val="14"/>
                <w:color w:val="auto"/>
              </w:rPr>
              <w:t>Decrease in accumulated net realized loss</w:t>
            </w: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(292,434)</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(263,428)</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(240,568)</w:t>
            </w:r>
          </w:p>
        </w:tc>
      </w:tr>
      <w:tr>
        <w:trPr>
          <w:trHeight w:val="162"/>
        </w:trPr>
        <w:tc>
          <w:tcPr>
            <w:tcW w:w="6660" w:type="dxa"/>
            <w:vAlign w:val="bottom"/>
            <w:shd w:val="clear" w:color="auto" w:fill="CCECFF"/>
          </w:tcPr>
          <w:p>
            <w:pPr>
              <w:spacing w:after="0"/>
              <w:rPr>
                <w:sz w:val="20"/>
                <w:szCs w:val="20"/>
                <w:color w:val="auto"/>
              </w:rPr>
            </w:pPr>
            <w:r>
              <w:rPr>
                <w:rFonts w:ascii="Arial" w:cs="Arial" w:eastAsia="Arial" w:hAnsi="Arial"/>
                <w:sz w:val="14"/>
                <w:szCs w:val="14"/>
                <w:color w:val="auto"/>
              </w:rPr>
              <w:t>Increase in undistributed net investment income</w:t>
            </w: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661,260</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744,728</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1,070,077</w:t>
            </w:r>
          </w:p>
        </w:tc>
        <w:tc>
          <w:tcPr>
            <w:tcW w:w="100" w:type="dxa"/>
            <w:vAlign w:val="bottom"/>
            <w:shd w:val="clear" w:color="auto" w:fill="CCECFF"/>
          </w:tcPr>
          <w:p>
            <w:pPr>
              <w:spacing w:after="0"/>
              <w:rPr>
                <w:sz w:val="14"/>
                <w:szCs w:val="14"/>
                <w:color w:val="auto"/>
              </w:rPr>
            </w:pPr>
          </w:p>
        </w:tc>
      </w:tr>
      <w:tr>
        <w:trPr>
          <w:trHeight w:val="312"/>
        </w:trPr>
        <w:tc>
          <w:tcPr>
            <w:tcW w:w="6660" w:type="dxa"/>
            <w:vAlign w:val="bottom"/>
          </w:tcPr>
          <w:p>
            <w:pPr>
              <w:ind w:left="440"/>
              <w:spacing w:after="0"/>
              <w:rPr>
                <w:sz w:val="20"/>
                <w:szCs w:val="20"/>
                <w:color w:val="auto"/>
              </w:rPr>
            </w:pPr>
            <w:r>
              <w:rPr>
                <w:rFonts w:ascii="Arial" w:cs="Arial" w:eastAsia="Arial" w:hAnsi="Arial"/>
                <w:sz w:val="14"/>
                <w:szCs w:val="14"/>
                <w:color w:val="auto"/>
              </w:rPr>
              <w:t>The following reconciles net increase in net assets resulting from operations to taxable income: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Years Ended September 30,</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CECFF"/>
            </w:tcBorders>
          </w:tcPr>
          <w:p>
            <w:pPr>
              <w:spacing w:after="0"/>
              <w:rPr>
                <w:sz w:val="13"/>
                <w:szCs w:val="13"/>
                <w:color w:val="auto"/>
              </w:rPr>
            </w:pPr>
          </w:p>
        </w:tc>
        <w:tc>
          <w:tcPr>
            <w:tcW w:w="104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Net increase in net assets resulting from operations</w:t>
            </w:r>
          </w:p>
        </w:tc>
        <w:tc>
          <w:tcPr>
            <w:tcW w:w="104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56,516,043</w:t>
            </w: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18,413,044</w:t>
            </w: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11,416,106</w:t>
            </w:r>
          </w:p>
        </w:tc>
        <w:tc>
          <w:tcPr>
            <w:tcW w:w="12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Net realized loss on investments</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12,796,507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12,682,031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31,423,869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depreciation (appreciation) on investments and debt</w:t>
            </w:r>
          </w:p>
        </w:tc>
        <w:tc>
          <w:tcPr>
            <w:tcW w:w="10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(29,686,179)</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12,289,924</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2,621,833</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Other book-to-tax differences</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3,152,781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(2,424,049)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(3,080,010)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CFF"/>
          </w:tcPr>
          <w:p>
            <w:pPr>
              <w:spacing w:after="0"/>
              <w:rPr>
                <w:sz w:val="20"/>
                <w:szCs w:val="20"/>
                <w:color w:val="auto"/>
              </w:rPr>
            </w:pPr>
            <w:r>
              <w:rPr>
                <w:rFonts w:ascii="Arial" w:cs="Arial" w:eastAsia="Arial" w:hAnsi="Arial"/>
                <w:sz w:val="14"/>
                <w:szCs w:val="14"/>
                <w:color w:val="auto"/>
              </w:rPr>
              <w:t>Other non-deductible expenses</w:t>
            </w:r>
          </w:p>
        </w:tc>
        <w:tc>
          <w:tcPr>
            <w:tcW w:w="104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845,938</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756,751</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271,170</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line="155" w:lineRule="exact"/>
              <w:rPr>
                <w:sz w:val="20"/>
                <w:szCs w:val="20"/>
                <w:color w:val="auto"/>
              </w:rPr>
            </w:pPr>
            <w:r>
              <w:rPr>
                <w:rFonts w:ascii="Arial" w:cs="Arial" w:eastAsia="Arial" w:hAnsi="Arial"/>
                <w:sz w:val="14"/>
                <w:szCs w:val="14"/>
                <w:color w:val="auto"/>
              </w:rPr>
              <w:t>Taxable income before dividends paid deduction</w:t>
            </w:r>
          </w:p>
        </w:tc>
        <w:tc>
          <w:tcPr>
            <w:tcW w:w="104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43,625,090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41,717,701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42,652,968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40" w:type="dxa"/>
            <w:vAlign w:val="bottom"/>
            <w:vMerge w:val="restart"/>
          </w:tcPr>
          <w:p>
            <w:pPr>
              <w:jc w:val="right"/>
              <w:ind w:right="268"/>
              <w:spacing w:after="0"/>
              <w:rPr>
                <w:sz w:val="20"/>
                <w:szCs w:val="20"/>
                <w:color w:val="auto"/>
              </w:rPr>
            </w:pPr>
            <w:r>
              <w:rPr>
                <w:rFonts w:ascii="Arial" w:cs="Arial" w:eastAsia="Arial" w:hAnsi="Arial"/>
                <w:sz w:val="14"/>
                <w:szCs w:val="14"/>
                <w:color w:val="auto"/>
              </w:rPr>
              <w:t>86</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50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0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8" w:name="page89"/>
    <w:bookmarkEnd w:id="8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20" w:type="dxa"/>
            <w:vAlign w:val="bottom"/>
            <w:gridSpan w:val="7"/>
          </w:tcPr>
          <w:p>
            <w:pPr>
              <w:ind w:left="440"/>
              <w:spacing w:after="0"/>
              <w:rPr>
                <w:sz w:val="20"/>
                <w:szCs w:val="20"/>
                <w:color w:val="auto"/>
              </w:rPr>
            </w:pPr>
            <w:r>
              <w:rPr>
                <w:rFonts w:ascii="Arial" w:cs="Arial" w:eastAsia="Arial" w:hAnsi="Arial"/>
                <w:sz w:val="14"/>
                <w:szCs w:val="14"/>
                <w:color w:val="auto"/>
                <w:w w:val="95"/>
              </w:rPr>
              <w:t>The components of undistributed taxable income on a tax basis and reconciliation to accumulated surplus on a book basis are as follows:</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5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3"/>
              </w:rPr>
              <w:t>As of September 30,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360" w:type="dxa"/>
            <w:vAlign w:val="bottom"/>
            <w:tcBorders>
              <w:bottom w:val="single" w:sz="8" w:color="CCECFF"/>
            </w:tcBorders>
          </w:tcPr>
          <w:p>
            <w:pPr>
              <w:spacing w:after="0"/>
              <w:rPr>
                <w:sz w:val="13"/>
                <w:szCs w:val="13"/>
                <w:color w:val="auto"/>
              </w:rPr>
            </w:pPr>
          </w:p>
        </w:tc>
        <w:tc>
          <w:tcPr>
            <w:tcW w:w="13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Undistributed ordinary income – tax basis</w:t>
            </w:r>
          </w:p>
        </w:tc>
        <w:tc>
          <w:tcPr>
            <w:tcW w:w="130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8,414,584</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8,474,081</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12,118,162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20"/>
                <w:szCs w:val="20"/>
                <w:color w:val="auto"/>
              </w:rPr>
            </w:pPr>
            <w:r>
              <w:rPr>
                <w:rFonts w:ascii="Arial" w:cs="Arial" w:eastAsia="Arial" w:hAnsi="Arial"/>
                <w:sz w:val="14"/>
                <w:szCs w:val="14"/>
                <w:color w:val="auto"/>
              </w:rPr>
              <w:t>Short-term realized loss carried forward</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(6,451,882)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(8,273,684)</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360" w:type="dxa"/>
            <w:vAlign w:val="bottom"/>
            <w:shd w:val="clear" w:color="auto" w:fill="CCECFF"/>
          </w:tcPr>
          <w:p>
            <w:pPr>
              <w:spacing w:after="0"/>
              <w:rPr>
                <w:sz w:val="20"/>
                <w:szCs w:val="20"/>
                <w:color w:val="auto"/>
              </w:rPr>
            </w:pPr>
            <w:r>
              <w:rPr>
                <w:rFonts w:ascii="Arial" w:cs="Arial" w:eastAsia="Arial" w:hAnsi="Arial"/>
                <w:sz w:val="14"/>
                <w:szCs w:val="14"/>
                <w:color w:val="auto"/>
              </w:rPr>
              <w:t>Long-term realized loss carried forward</w:t>
            </w:r>
          </w:p>
        </w:tc>
        <w:tc>
          <w:tcPr>
            <w:tcW w:w="13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(59,135,874)</w:t>
            </w:r>
          </w:p>
        </w:tc>
        <w:tc>
          <w:tcPr>
            <w:tcW w:w="1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(40,146,961)</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(34,695,983)</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20"/>
                <w:szCs w:val="20"/>
                <w:color w:val="auto"/>
              </w:rPr>
            </w:pPr>
            <w:r>
              <w:rPr>
                <w:rFonts w:ascii="Arial" w:cs="Arial" w:eastAsia="Arial" w:hAnsi="Arial"/>
                <w:sz w:val="14"/>
                <w:szCs w:val="14"/>
                <w:color w:val="auto"/>
              </w:rPr>
              <w:t>Distributions payable and other book to tax differences</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(9,668,562)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(9,886,725)</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(14,239,573)</w:t>
            </w:r>
          </w:p>
        </w:tc>
        <w:tc>
          <w:tcPr>
            <w:tcW w:w="0" w:type="dxa"/>
            <w:vAlign w:val="bottom"/>
          </w:tcPr>
          <w:p>
            <w:pPr>
              <w:spacing w:after="0"/>
              <w:rPr>
                <w:sz w:val="1"/>
                <w:szCs w:val="1"/>
                <w:color w:val="auto"/>
              </w:rPr>
            </w:pPr>
          </w:p>
        </w:tc>
      </w:tr>
      <w:tr>
        <w:trPr>
          <w:trHeight w:val="162"/>
        </w:trPr>
        <w:tc>
          <w:tcPr>
            <w:tcW w:w="5360" w:type="dxa"/>
            <w:vAlign w:val="bottom"/>
            <w:shd w:val="clear" w:color="auto" w:fill="CCECFF"/>
          </w:tcPr>
          <w:p>
            <w:pPr>
              <w:spacing w:after="0"/>
              <w:rPr>
                <w:sz w:val="20"/>
                <w:szCs w:val="20"/>
                <w:color w:val="auto"/>
              </w:rPr>
            </w:pPr>
            <w:r>
              <w:rPr>
                <w:rFonts w:ascii="Arial" w:cs="Arial" w:eastAsia="Arial" w:hAnsi="Arial"/>
                <w:sz w:val="14"/>
                <w:szCs w:val="14"/>
                <w:color w:val="auto"/>
              </w:rPr>
              <w:t>Net unrealized appreciation (depreciation) of investments and debt</w:t>
            </w:r>
          </w:p>
        </w:tc>
        <w:tc>
          <w:tcPr>
            <w:tcW w:w="13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18,599,560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(11,086,619)</w:t>
            </w: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1,203,305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line="155" w:lineRule="exact"/>
              <w:rPr>
                <w:sz w:val="20"/>
                <w:szCs w:val="20"/>
                <w:color w:val="auto"/>
              </w:rPr>
            </w:pPr>
            <w:r>
              <w:rPr>
                <w:rFonts w:ascii="Arial" w:cs="Arial" w:eastAsia="Arial" w:hAnsi="Arial"/>
                <w:sz w:val="14"/>
                <w:szCs w:val="14"/>
                <w:color w:val="auto"/>
              </w:rPr>
              <w:t>Total accumulated deficit – book basis</w:t>
            </w:r>
          </w:p>
        </w:tc>
        <w:tc>
          <w:tcPr>
            <w:tcW w:w="13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(48,242,174)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(60,919,908)</w:t>
            </w:r>
          </w:p>
        </w:tc>
        <w:tc>
          <w:tcPr>
            <w:tcW w:w="2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(35,614,089)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440"/>
              <w:spacing w:after="0"/>
              <w:rPr>
                <w:sz w:val="20"/>
                <w:szCs w:val="20"/>
                <w:color w:val="auto"/>
              </w:rPr>
            </w:pPr>
            <w:r>
              <w:rPr>
                <w:rFonts w:ascii="Arial" w:cs="Arial" w:eastAsia="Arial" w:hAnsi="Arial"/>
                <w:sz w:val="14"/>
                <w:szCs w:val="14"/>
                <w:color w:val="auto"/>
              </w:rPr>
              <w:t>The tax characteristics of distributions declared are as follows:</w:t>
            </w: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3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7"/>
              </w:rPr>
              <w:t>Years Ended September 30,</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Ordinary income (including short-term gains, if any)</w:t>
            </w: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44,207,138</w:t>
            </w:r>
          </w:p>
        </w:tc>
        <w:tc>
          <w:tcPr>
            <w:tcW w:w="40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44,200,163</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44,200,163</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tcPr>
          <w:p>
            <w:pPr>
              <w:spacing w:after="0"/>
              <w:rPr>
                <w:sz w:val="20"/>
                <w:szCs w:val="20"/>
                <w:color w:val="auto"/>
              </w:rPr>
            </w:pPr>
            <w:r>
              <w:rPr>
                <w:rFonts w:ascii="Arial" w:cs="Arial" w:eastAsia="Arial" w:hAnsi="Arial"/>
                <w:sz w:val="14"/>
                <w:szCs w:val="14"/>
                <w:color w:val="auto"/>
              </w:rPr>
              <w:t>Long-term capital gain</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distributions</w:t>
            </w: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44,207,138</w:t>
            </w:r>
          </w:p>
        </w:tc>
        <w:tc>
          <w:tcPr>
            <w:tcW w:w="40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44,200,163</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44,200,163</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4"/>
                <w:szCs w:val="14"/>
                <w:color w:val="auto"/>
              </w:rPr>
              <w:t>Total distributions per share based on weighted average shares</w:t>
            </w: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40" w:type="dxa"/>
            <w:vAlign w:val="bottom"/>
            <w:vMerge w:val="continue"/>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1.14</w:t>
            </w:r>
          </w:p>
        </w:tc>
        <w:tc>
          <w:tcPr>
            <w:tcW w:w="4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1.14</w:t>
            </w:r>
          </w:p>
        </w:tc>
        <w:tc>
          <w:tcPr>
            <w:tcW w:w="2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CASH AND CASH EQUIVALENTS</w:t>
      </w:r>
    </w:p>
    <w:p>
      <w:pPr>
        <w:spacing w:after="0" w:line="140" w:lineRule="exact"/>
        <w:rPr>
          <w:sz w:val="20"/>
          <w:szCs w:val="20"/>
          <w:color w:val="auto"/>
        </w:rPr>
      </w:pPr>
    </w:p>
    <w:p>
      <w:pPr>
        <w:ind w:right="8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2021 and 2020, cash and cash equivalents consisted of money market funds in the amounts of $49.8 million and $57.5 million at fair value,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FINANCIAL HIGHLIGHTS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are the financial highlights for the years ended September 30: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20"/>
                <w:szCs w:val="20"/>
                <w:color w:val="auto"/>
              </w:rPr>
            </w:pPr>
            <w:r>
              <w:rPr>
                <w:rFonts w:ascii="Arial" w:cs="Arial" w:eastAsia="Arial" w:hAnsi="Arial"/>
                <w:sz w:val="14"/>
                <w:szCs w:val="14"/>
                <w:color w:val="auto"/>
              </w:rPr>
              <w:t>Net asset value, beginning of year</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12.31</w:t>
            </w:r>
          </w:p>
        </w:tc>
        <w:tc>
          <w:tcPr>
            <w:tcW w:w="26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12.97</w:t>
            </w:r>
          </w:p>
        </w:tc>
        <w:tc>
          <w:tcPr>
            <w:tcW w:w="3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13.82</w:t>
            </w:r>
          </w:p>
        </w:tc>
        <w:tc>
          <w:tcPr>
            <w:tcW w:w="3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14.10</w:t>
            </w:r>
          </w:p>
        </w:tc>
        <w:tc>
          <w:tcPr>
            <w:tcW w:w="32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1.12</w:t>
            </w:r>
          </w:p>
        </w:tc>
        <w:tc>
          <w:tcPr>
            <w:tcW w:w="3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1.17</w:t>
            </w:r>
          </w:p>
        </w:tc>
        <w:tc>
          <w:tcPr>
            <w:tcW w:w="3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0.81</w:t>
            </w:r>
          </w:p>
        </w:tc>
        <w:tc>
          <w:tcPr>
            <w:tcW w:w="3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20"/>
                <w:szCs w:val="20"/>
                <w:color w:val="auto"/>
              </w:rPr>
            </w:pPr>
            <w:r>
              <w:rPr>
                <w:rFonts w:ascii="Arial" w:cs="Arial" w:eastAsia="Arial" w:hAnsi="Arial"/>
                <w:sz w:val="14"/>
                <w:szCs w:val="14"/>
                <w:color w:val="auto"/>
              </w:rPr>
              <w:t xml:space="preserve">Net change in realized and unrealized (loss) gain </w:t>
            </w:r>
            <w:r>
              <w:rPr>
                <w:rFonts w:ascii="Arial" w:cs="Arial" w:eastAsia="Arial" w:hAnsi="Arial"/>
                <w:sz w:val="12"/>
                <w:szCs w:val="12"/>
                <w:color w:val="auto"/>
              </w:rPr>
              <w:t>(1)</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0.44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(0.65)</w:t>
            </w:r>
          </w:p>
        </w:tc>
        <w:tc>
          <w:tcPr>
            <w:tcW w:w="24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(0.88)</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0.06</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1.46</w:t>
            </w:r>
          </w:p>
        </w:tc>
        <w:tc>
          <w:tcPr>
            <w:tcW w:w="2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0.47</w:t>
            </w:r>
          </w:p>
        </w:tc>
        <w:tc>
          <w:tcPr>
            <w:tcW w:w="3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0.29</w:t>
            </w:r>
          </w:p>
        </w:tc>
        <w:tc>
          <w:tcPr>
            <w:tcW w:w="3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0.87</w:t>
            </w:r>
          </w:p>
        </w:tc>
        <w:tc>
          <w:tcPr>
            <w:tcW w:w="3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shd w:val="clear" w:color="auto" w:fill="CCECFF"/>
          </w:tcPr>
          <w:p>
            <w:pPr>
              <w:ind w:left="80"/>
              <w:spacing w:after="0"/>
              <w:rPr>
                <w:sz w:val="20"/>
                <w:szCs w:val="20"/>
                <w:color w:val="auto"/>
              </w:rPr>
            </w:pPr>
            <w:r>
              <w:rPr>
                <w:rFonts w:ascii="Arial" w:cs="Arial" w:eastAsia="Arial" w:hAnsi="Arial"/>
                <w:sz w:val="14"/>
                <w:szCs w:val="14"/>
                <w:color w:val="auto"/>
              </w:rPr>
              <w:t>Distribution of net investment income</w:t>
            </w:r>
          </w:p>
        </w:tc>
        <w:tc>
          <w:tcPr>
            <w:tcW w:w="2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(1.14)</w:t>
            </w:r>
          </w:p>
        </w:tc>
        <w:tc>
          <w:tcPr>
            <w:tcW w:w="26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(1.14)</w:t>
            </w:r>
          </w:p>
        </w:tc>
        <w:tc>
          <w:tcPr>
            <w:tcW w:w="24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(1.14)</w:t>
            </w:r>
          </w:p>
        </w:tc>
        <w:tc>
          <w:tcPr>
            <w:tcW w:w="24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(1.03)</w:t>
            </w: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2"/>
        </w:trPr>
        <w:tc>
          <w:tcPr>
            <w:tcW w:w="4060" w:type="dxa"/>
            <w:vAlign w:val="bottom"/>
          </w:tcPr>
          <w:p>
            <w:pPr>
              <w:ind w:left="80"/>
              <w:spacing w:after="0"/>
              <w:rPr>
                <w:sz w:val="20"/>
                <w:szCs w:val="20"/>
                <w:color w:val="auto"/>
              </w:rPr>
            </w:pPr>
            <w:r>
              <w:rPr>
                <w:rFonts w:ascii="Arial" w:cs="Arial" w:eastAsia="Arial" w:hAnsi="Arial"/>
                <w:sz w:val="14"/>
                <w:szCs w:val="14"/>
                <w:color w:val="auto"/>
              </w:rPr>
              <w:t>Distribution of realized gains</w:t>
            </w:r>
          </w:p>
        </w:tc>
        <w:tc>
          <w:tcPr>
            <w:tcW w:w="24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(0.11)</w:t>
            </w:r>
          </w:p>
        </w:tc>
        <w:tc>
          <w:tcPr>
            <w:tcW w:w="2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0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distributions to stockholders</w:t>
            </w: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w:t>
            </w:r>
          </w:p>
        </w:tc>
        <w:tc>
          <w:tcPr>
            <w:tcW w:w="2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w:t>
            </w:r>
          </w:p>
        </w:tc>
        <w:tc>
          <w:tcPr>
            <w:tcW w:w="3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w:t>
            </w:r>
          </w:p>
        </w:tc>
        <w:tc>
          <w:tcPr>
            <w:tcW w:w="3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w:t>
            </w:r>
          </w:p>
        </w:tc>
        <w:tc>
          <w:tcPr>
            <w:tcW w:w="3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60" w:type="dxa"/>
            <w:vAlign w:val="bottom"/>
          </w:tcPr>
          <w:p>
            <w:pPr>
              <w:spacing w:after="0" w:line="157" w:lineRule="exact"/>
              <w:rPr>
                <w:sz w:val="20"/>
                <w:szCs w:val="20"/>
                <w:color w:val="auto"/>
              </w:rPr>
            </w:pPr>
            <w:r>
              <w:rPr>
                <w:rFonts w:ascii="Arial" w:cs="Arial" w:eastAsia="Arial" w:hAnsi="Arial"/>
                <w:sz w:val="14"/>
                <w:szCs w:val="14"/>
                <w:color w:val="auto"/>
              </w:rPr>
              <w:t>(Dilutive) effect of common stock issuance</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4"/>
                <w:szCs w:val="14"/>
                <w:color w:val="auto"/>
              </w:rPr>
              <w:t xml:space="preserve">and acquisition of MCG </w:t>
            </w:r>
            <w:r>
              <w:rPr>
                <w:rFonts w:ascii="Arial" w:cs="Arial" w:eastAsia="Arial" w:hAnsi="Arial"/>
                <w:sz w:val="12"/>
                <w:szCs w:val="12"/>
                <w:color w:val="auto"/>
              </w:rPr>
              <w:t>(1)</w:t>
            </w:r>
          </w:p>
        </w:tc>
        <w:tc>
          <w:tcPr>
            <w:tcW w:w="24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(0.01)</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55"/>
        </w:trPr>
        <w:tc>
          <w:tcPr>
            <w:tcW w:w="40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Net asset value, end of year</w:t>
            </w: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12.62</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12.31</w:t>
            </w:r>
          </w:p>
        </w:tc>
        <w:tc>
          <w:tcPr>
            <w:tcW w:w="3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12.97</w:t>
            </w:r>
          </w:p>
        </w:tc>
        <w:tc>
          <w:tcPr>
            <w:tcW w:w="32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13.82</w:t>
            </w:r>
          </w:p>
        </w:tc>
        <w:tc>
          <w:tcPr>
            <w:tcW w:w="32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14.10</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4"/>
                <w:szCs w:val="14"/>
                <w:color w:val="auto"/>
              </w:rPr>
              <w:t>Per share market value, end of year</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tcBorders>
              <w:bottom w:val="single" w:sz="8" w:color="CCECFF"/>
            </w:tcBorders>
            <w:vMerge w:val="continue"/>
          </w:tcPr>
          <w:p>
            <w:pPr>
              <w:spacing w:after="0"/>
              <w:rPr>
                <w:sz w:val="15"/>
                <w:szCs w:val="15"/>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12.79</w:t>
            </w:r>
          </w:p>
        </w:tc>
        <w:tc>
          <w:tcPr>
            <w:tcW w:w="260" w:type="dxa"/>
            <w:vAlign w:val="bottom"/>
            <w:tcBorders>
              <w:bottom w:val="single" w:sz="8" w:color="CCECFF"/>
            </w:tcBorders>
          </w:tcPr>
          <w:p>
            <w:pPr>
              <w:spacing w:after="0"/>
              <w:rPr>
                <w:sz w:val="15"/>
                <w:szCs w:val="15"/>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8.44</w:t>
            </w:r>
          </w:p>
        </w:tc>
        <w:tc>
          <w:tcPr>
            <w:tcW w:w="340" w:type="dxa"/>
            <w:vAlign w:val="bottom"/>
            <w:tcBorders>
              <w:bottom w:val="single" w:sz="8" w:color="CCECFF"/>
            </w:tcBorders>
          </w:tcPr>
          <w:p>
            <w:pPr>
              <w:spacing w:after="0"/>
              <w:rPr>
                <w:sz w:val="15"/>
                <w:szCs w:val="15"/>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11.60</w:t>
            </w:r>
          </w:p>
        </w:tc>
        <w:tc>
          <w:tcPr>
            <w:tcW w:w="320" w:type="dxa"/>
            <w:vAlign w:val="bottom"/>
            <w:tcBorders>
              <w:bottom w:val="single" w:sz="8" w:color="CCECFF"/>
            </w:tcBorders>
          </w:tcPr>
          <w:p>
            <w:pPr>
              <w:spacing w:after="0"/>
              <w:rPr>
                <w:sz w:val="15"/>
                <w:szCs w:val="15"/>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13.15</w:t>
            </w:r>
          </w:p>
        </w:tc>
        <w:tc>
          <w:tcPr>
            <w:tcW w:w="320" w:type="dxa"/>
            <w:vAlign w:val="bottom"/>
            <w:tcBorders>
              <w:bottom w:val="single" w:sz="8" w:color="CCECFF"/>
            </w:tcBorders>
          </w:tcPr>
          <w:p>
            <w:pPr>
              <w:spacing w:after="0"/>
              <w:rPr>
                <w:sz w:val="15"/>
                <w:szCs w:val="15"/>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14.48</w:t>
            </w:r>
          </w:p>
        </w:tc>
        <w:tc>
          <w:tcPr>
            <w:tcW w:w="14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06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240" w:type="dxa"/>
            <w:vAlign w:val="bottom"/>
            <w:shd w:val="clear" w:color="auto" w:fill="CCECFF"/>
          </w:tcPr>
          <w:p>
            <w:pPr>
              <w:spacing w:after="0"/>
              <w:rPr>
                <w:sz w:val="12"/>
                <w:szCs w:val="12"/>
                <w:color w:val="auto"/>
              </w:rPr>
            </w:pPr>
          </w:p>
        </w:tc>
        <w:tc>
          <w:tcPr>
            <w:tcW w:w="1180" w:type="dxa"/>
            <w:vAlign w:val="bottom"/>
            <w:gridSpan w:val="2"/>
            <w:shd w:val="clear" w:color="auto" w:fill="CCECFF"/>
          </w:tcPr>
          <w:p>
            <w:pPr>
              <w:jc w:val="right"/>
              <w:ind w:right="140"/>
              <w:spacing w:after="0" w:line="143" w:lineRule="exact"/>
              <w:rPr>
                <w:sz w:val="20"/>
                <w:szCs w:val="20"/>
                <w:color w:val="auto"/>
              </w:rPr>
            </w:pPr>
            <w:r>
              <w:rPr>
                <w:rFonts w:ascii="Arial" w:cs="Arial" w:eastAsia="Arial" w:hAnsi="Arial"/>
                <w:sz w:val="14"/>
                <w:szCs w:val="14"/>
                <w:color w:val="auto"/>
              </w:rPr>
              <w:t>66.47%</w:t>
            </w:r>
          </w:p>
        </w:tc>
        <w:tc>
          <w:tcPr>
            <w:tcW w:w="260" w:type="dxa"/>
            <w:vAlign w:val="bottom"/>
            <w:shd w:val="clear" w:color="auto" w:fill="CCECFF"/>
          </w:tcPr>
          <w:p>
            <w:pPr>
              <w:spacing w:after="0"/>
              <w:rPr>
                <w:sz w:val="12"/>
                <w:szCs w:val="12"/>
                <w:color w:val="auto"/>
              </w:rPr>
            </w:pPr>
          </w:p>
        </w:tc>
        <w:tc>
          <w:tcPr>
            <w:tcW w:w="1240" w:type="dxa"/>
            <w:vAlign w:val="bottom"/>
            <w:gridSpan w:val="2"/>
            <w:shd w:val="clear" w:color="auto" w:fill="CCECFF"/>
          </w:tcPr>
          <w:p>
            <w:pPr>
              <w:jc w:val="right"/>
              <w:ind w:right="160"/>
              <w:spacing w:after="0" w:line="143" w:lineRule="exact"/>
              <w:rPr>
                <w:sz w:val="20"/>
                <w:szCs w:val="20"/>
                <w:color w:val="auto"/>
              </w:rPr>
            </w:pPr>
            <w:r>
              <w:rPr>
                <w:rFonts w:ascii="Arial" w:cs="Arial" w:eastAsia="Arial" w:hAnsi="Arial"/>
                <w:sz w:val="14"/>
                <w:szCs w:val="14"/>
                <w:color w:val="auto"/>
              </w:rPr>
              <w:t>(17.15)%</w:t>
            </w:r>
          </w:p>
        </w:tc>
        <w:tc>
          <w:tcPr>
            <w:tcW w:w="240" w:type="dxa"/>
            <w:vAlign w:val="bottom"/>
            <w:shd w:val="clear" w:color="auto" w:fill="CCECFF"/>
          </w:tcPr>
          <w:p>
            <w:pPr>
              <w:spacing w:after="0"/>
              <w:rPr>
                <w:sz w:val="12"/>
                <w:szCs w:val="12"/>
                <w:color w:val="auto"/>
              </w:rPr>
            </w:pPr>
          </w:p>
        </w:tc>
        <w:tc>
          <w:tcPr>
            <w:tcW w:w="1240" w:type="dxa"/>
            <w:vAlign w:val="bottom"/>
            <w:gridSpan w:val="2"/>
            <w:shd w:val="clear" w:color="auto" w:fill="CCECFF"/>
          </w:tcPr>
          <w:p>
            <w:pPr>
              <w:jc w:val="right"/>
              <w:ind w:right="160"/>
              <w:spacing w:after="0" w:line="143" w:lineRule="exact"/>
              <w:rPr>
                <w:sz w:val="20"/>
                <w:szCs w:val="20"/>
                <w:color w:val="auto"/>
              </w:rPr>
            </w:pPr>
            <w:r>
              <w:rPr>
                <w:rFonts w:ascii="Arial" w:cs="Arial" w:eastAsia="Arial" w:hAnsi="Arial"/>
                <w:sz w:val="14"/>
                <w:szCs w:val="14"/>
                <w:color w:val="auto"/>
              </w:rPr>
              <w:t>(3.20)%</w:t>
            </w:r>
          </w:p>
        </w:tc>
        <w:tc>
          <w:tcPr>
            <w:tcW w:w="240" w:type="dxa"/>
            <w:vAlign w:val="bottom"/>
            <w:shd w:val="clear" w:color="auto" w:fill="CCECFF"/>
          </w:tcPr>
          <w:p>
            <w:pPr>
              <w:spacing w:after="0"/>
              <w:rPr>
                <w:sz w:val="12"/>
                <w:szCs w:val="12"/>
                <w:color w:val="auto"/>
              </w:rPr>
            </w:pPr>
          </w:p>
        </w:tc>
        <w:tc>
          <w:tcPr>
            <w:tcW w:w="1240" w:type="dxa"/>
            <w:vAlign w:val="bottom"/>
            <w:gridSpan w:val="2"/>
            <w:shd w:val="clear" w:color="auto" w:fill="CCECFF"/>
          </w:tcPr>
          <w:p>
            <w:pPr>
              <w:jc w:val="right"/>
              <w:ind w:right="160"/>
              <w:spacing w:after="0" w:line="143" w:lineRule="exact"/>
              <w:rPr>
                <w:sz w:val="20"/>
                <w:szCs w:val="20"/>
                <w:color w:val="auto"/>
              </w:rPr>
            </w:pPr>
            <w:r>
              <w:rPr>
                <w:rFonts w:ascii="Arial" w:cs="Arial" w:eastAsia="Arial" w:hAnsi="Arial"/>
                <w:sz w:val="14"/>
                <w:szCs w:val="14"/>
                <w:color w:val="auto"/>
              </w:rPr>
              <w:t>(1.29)%</w:t>
            </w:r>
          </w:p>
        </w:tc>
        <w:tc>
          <w:tcPr>
            <w:tcW w:w="26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0"/>
              <w:spacing w:after="0" w:line="143" w:lineRule="exact"/>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162"/>
        </w:trPr>
        <w:tc>
          <w:tcPr>
            <w:tcW w:w="40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Shares outstanding at end of year</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38,880,728</w:t>
            </w:r>
          </w:p>
        </w:tc>
        <w:tc>
          <w:tcPr>
            <w:tcW w:w="26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38,772,074</w:t>
            </w:r>
          </w:p>
        </w:tc>
        <w:tc>
          <w:tcPr>
            <w:tcW w:w="3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38,772,074</w:t>
            </w:r>
          </w:p>
        </w:tc>
        <w:tc>
          <w:tcPr>
            <w:tcW w:w="3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38,772,074</w:t>
            </w:r>
          </w:p>
        </w:tc>
        <w:tc>
          <w:tcPr>
            <w:tcW w:w="3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32,480,074</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Ratios / Supplemental Data:</w:t>
            </w: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24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3.77%</w:t>
            </w:r>
          </w:p>
        </w:tc>
        <w:tc>
          <w:tcPr>
            <w:tcW w:w="26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5.19%</w:t>
            </w:r>
          </w:p>
        </w:tc>
        <w:tc>
          <w:tcPr>
            <w:tcW w:w="24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3.94%</w:t>
            </w:r>
          </w:p>
        </w:tc>
        <w:tc>
          <w:tcPr>
            <w:tcW w:w="24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3.01%</w:t>
            </w:r>
          </w:p>
        </w:tc>
        <w:tc>
          <w:tcPr>
            <w:tcW w:w="26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62"/>
        </w:trPr>
        <w:tc>
          <w:tcPr>
            <w:tcW w:w="40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debt related expenses to average net assets </w:t>
            </w:r>
            <w:r>
              <w:rPr>
                <w:rFonts w:ascii="Arial" w:cs="Arial" w:eastAsia="Arial" w:hAnsi="Arial"/>
                <w:sz w:val="12"/>
                <w:szCs w:val="12"/>
                <w:color w:val="auto"/>
              </w:rPr>
              <w:t>(5)</w:t>
            </w:r>
          </w:p>
        </w:tc>
        <w:tc>
          <w:tcPr>
            <w:tcW w:w="2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5.00%</w:t>
            </w:r>
          </w:p>
        </w:tc>
        <w:tc>
          <w:tcPr>
            <w:tcW w:w="26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5.63%</w:t>
            </w:r>
          </w:p>
        </w:tc>
        <w:tc>
          <w:tcPr>
            <w:tcW w:w="24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5.21%</w:t>
            </w:r>
          </w:p>
        </w:tc>
        <w:tc>
          <w:tcPr>
            <w:tcW w:w="24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4.73%</w:t>
            </w: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8.77%</w:t>
            </w:r>
          </w:p>
        </w:tc>
        <w:tc>
          <w:tcPr>
            <w:tcW w:w="260" w:type="dxa"/>
            <w:vAlign w:val="bottom"/>
          </w:tcPr>
          <w:p>
            <w:pPr>
              <w:spacing w:after="0"/>
              <w:rPr>
                <w:sz w:val="13"/>
                <w:szCs w:val="13"/>
                <w:color w:val="auto"/>
              </w:rPr>
            </w:pPr>
          </w:p>
        </w:tc>
        <w:tc>
          <w:tcPr>
            <w:tcW w:w="12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10.82%</w:t>
            </w:r>
          </w:p>
        </w:tc>
        <w:tc>
          <w:tcPr>
            <w:tcW w:w="240" w:type="dxa"/>
            <w:vAlign w:val="bottom"/>
          </w:tcPr>
          <w:p>
            <w:pPr>
              <w:spacing w:after="0"/>
              <w:rPr>
                <w:sz w:val="13"/>
                <w:szCs w:val="13"/>
                <w:color w:val="auto"/>
              </w:rPr>
            </w:pPr>
          </w:p>
        </w:tc>
        <w:tc>
          <w:tcPr>
            <w:tcW w:w="12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9.15%</w:t>
            </w:r>
          </w:p>
        </w:tc>
        <w:tc>
          <w:tcPr>
            <w:tcW w:w="240" w:type="dxa"/>
            <w:vAlign w:val="bottom"/>
          </w:tcPr>
          <w:p>
            <w:pPr>
              <w:spacing w:after="0"/>
              <w:rPr>
                <w:sz w:val="13"/>
                <w:szCs w:val="13"/>
                <w:color w:val="auto"/>
              </w:rPr>
            </w:pPr>
          </w:p>
        </w:tc>
        <w:tc>
          <w:tcPr>
            <w:tcW w:w="12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7.74%</w:t>
            </w:r>
          </w:p>
        </w:tc>
        <w:tc>
          <w:tcPr>
            <w:tcW w:w="260" w:type="dxa"/>
            <w:vAlign w:val="bottom"/>
          </w:tcPr>
          <w:p>
            <w:pPr>
              <w:spacing w:after="0"/>
              <w:rPr>
                <w:sz w:val="13"/>
                <w:szCs w:val="13"/>
                <w:color w:val="auto"/>
              </w:rPr>
            </w:pPr>
          </w:p>
        </w:tc>
        <w:tc>
          <w:tcPr>
            <w:tcW w:w="10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62"/>
        </w:trPr>
        <w:tc>
          <w:tcPr>
            <w:tcW w:w="40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2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8.07%</w:t>
            </w:r>
          </w:p>
        </w:tc>
        <w:tc>
          <w:tcPr>
            <w:tcW w:w="26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9.00%</w:t>
            </w:r>
          </w:p>
        </w:tc>
        <w:tc>
          <w:tcPr>
            <w:tcW w:w="24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8.76%</w:t>
            </w:r>
          </w:p>
        </w:tc>
        <w:tc>
          <w:tcPr>
            <w:tcW w:w="24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5.81%</w:t>
            </w: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62"/>
        </w:trPr>
        <w:tc>
          <w:tcPr>
            <w:tcW w:w="40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Net assets at end of year</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490,611,256</w:t>
            </w:r>
          </w:p>
        </w:tc>
        <w:tc>
          <w:tcPr>
            <w:tcW w:w="26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477,270,392</w:t>
            </w:r>
          </w:p>
        </w:tc>
        <w:tc>
          <w:tcPr>
            <w:tcW w:w="3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503,057,511</w:t>
            </w:r>
          </w:p>
        </w:tc>
        <w:tc>
          <w:tcPr>
            <w:tcW w:w="3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535,841,568</w:t>
            </w:r>
          </w:p>
        </w:tc>
        <w:tc>
          <w:tcPr>
            <w:tcW w:w="3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457,906,274</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Weighted average debt outstanding</w:t>
            </w: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622,738,912</w:t>
            </w:r>
          </w:p>
        </w:tc>
        <w:tc>
          <w:tcPr>
            <w:tcW w:w="26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737,208,720</w:t>
            </w:r>
          </w:p>
        </w:tc>
        <w:tc>
          <w:tcPr>
            <w:tcW w:w="3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512,134,647</w:t>
            </w:r>
          </w:p>
        </w:tc>
        <w:tc>
          <w:tcPr>
            <w:tcW w:w="3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354,321,752</w:t>
            </w:r>
          </w:p>
        </w:tc>
        <w:tc>
          <w:tcPr>
            <w:tcW w:w="32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269,319,832</w:t>
            </w: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16.06</w:t>
            </w:r>
          </w:p>
        </w:tc>
        <w:tc>
          <w:tcPr>
            <w:tcW w:w="26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19.01</w:t>
            </w:r>
          </w:p>
        </w:tc>
        <w:tc>
          <w:tcPr>
            <w:tcW w:w="340" w:type="dxa"/>
            <w:vAlign w:val="bottom"/>
          </w:tcPr>
          <w:p>
            <w:pPr>
              <w:spacing w:after="0"/>
              <w:rPr>
                <w:sz w:val="13"/>
                <w:szCs w:val="1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13.21</w:t>
            </w:r>
          </w:p>
        </w:tc>
        <w:tc>
          <w:tcPr>
            <w:tcW w:w="320" w:type="dxa"/>
            <w:vAlign w:val="bottom"/>
          </w:tcPr>
          <w:p>
            <w:pPr>
              <w:spacing w:after="0"/>
              <w:rPr>
                <w:sz w:val="13"/>
                <w:szCs w:val="13"/>
                <w:color w:val="auto"/>
              </w:rPr>
            </w:pP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9.25</w:t>
            </w:r>
          </w:p>
        </w:tc>
        <w:tc>
          <w:tcPr>
            <w:tcW w:w="32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8.90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1,746</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1,677</w:t>
            </w:r>
          </w:p>
        </w:tc>
        <w:tc>
          <w:tcPr>
            <w:tcW w:w="34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1,786</w:t>
            </w:r>
          </w:p>
        </w:tc>
        <w:tc>
          <w:tcPr>
            <w:tcW w:w="32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2,122</w:t>
            </w:r>
          </w:p>
        </w:tc>
        <w:tc>
          <w:tcPr>
            <w:tcW w:w="32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2,780</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2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62.58%</w:t>
            </w:r>
          </w:p>
        </w:tc>
        <w:tc>
          <w:tcPr>
            <w:tcW w:w="26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35.08%</w:t>
            </w:r>
          </w:p>
        </w:tc>
        <w:tc>
          <w:tcPr>
            <w:tcW w:w="24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52.64%</w:t>
            </w:r>
          </w:p>
        </w:tc>
        <w:tc>
          <w:tcPr>
            <w:tcW w:w="24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47.15%</w:t>
            </w:r>
          </w:p>
        </w:tc>
        <w:tc>
          <w:tcPr>
            <w:tcW w:w="2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59.70%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13455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380" w:hanging="372"/>
        <w:spacing w:after="0"/>
        <w:tabs>
          <w:tab w:leader="none" w:pos="380" w:val="left"/>
        </w:tabs>
        <w:numPr>
          <w:ilvl w:val="0"/>
          <w:numId w:val="69"/>
        </w:numPr>
        <w:rPr>
          <w:rFonts w:ascii="Arial" w:cs="Arial" w:eastAsia="Arial" w:hAnsi="Arial"/>
          <w:sz w:val="20"/>
          <w:szCs w:val="20"/>
          <w:b w:val="1"/>
          <w:bCs w:val="1"/>
          <w:color w:val="auto"/>
          <w:vertAlign w:val="superscript"/>
        </w:rPr>
      </w:pPr>
      <w:r>
        <w:rPr>
          <w:rFonts w:ascii="Arial" w:cs="Arial" w:eastAsia="Arial" w:hAnsi="Arial"/>
          <w:sz w:val="12"/>
          <w:szCs w:val="12"/>
          <w:color w:val="auto"/>
        </w:rPr>
        <w:t>Based on the weighted average shares outstanding for the respective periods.</w:t>
      </w:r>
    </w:p>
    <w:p>
      <w:pPr>
        <w:spacing w:after="0" w:line="10" w:lineRule="exact"/>
        <w:rPr>
          <w:rFonts w:ascii="Arial" w:cs="Arial" w:eastAsia="Arial" w:hAnsi="Arial"/>
          <w:sz w:val="20"/>
          <w:szCs w:val="20"/>
          <w:b w:val="1"/>
          <w:bCs w:val="1"/>
          <w:color w:val="auto"/>
          <w:vertAlign w:val="superscript"/>
        </w:rPr>
      </w:pPr>
    </w:p>
    <w:p>
      <w:pPr>
        <w:ind w:left="380" w:hanging="372"/>
        <w:spacing w:after="0" w:line="187" w:lineRule="auto"/>
        <w:tabs>
          <w:tab w:leader="none" w:pos="380" w:val="left"/>
        </w:tabs>
        <w:numPr>
          <w:ilvl w:val="0"/>
          <w:numId w:val="69"/>
        </w:numPr>
        <w:rPr>
          <w:rFonts w:ascii="Arial" w:cs="Arial" w:eastAsia="Arial" w:hAnsi="Arial"/>
          <w:sz w:val="15"/>
          <w:szCs w:val="15"/>
          <w:b w:val="1"/>
          <w:bCs w:val="1"/>
          <w:color w:val="auto"/>
          <w:vertAlign w:val="superscript"/>
        </w:rPr>
      </w:pPr>
      <w:r>
        <w:rPr>
          <w:rFonts w:ascii="Arial" w:cs="Arial" w:eastAsia="Arial" w:hAnsi="Arial"/>
          <w:sz w:val="9"/>
          <w:szCs w:val="9"/>
          <w:color w:val="auto"/>
        </w:rPr>
        <w:t>The tax status of distributions is calculated in accordance with income tax regulations, which may differ from amounts determined under GAAP, and reported on Form 1099-DIV each calendar year.</w:t>
      </w:r>
    </w:p>
    <w:p>
      <w:pPr>
        <w:ind w:left="380" w:hanging="372"/>
        <w:spacing w:after="0" w:line="187" w:lineRule="auto"/>
        <w:tabs>
          <w:tab w:leader="none" w:pos="380" w:val="left"/>
        </w:tabs>
        <w:numPr>
          <w:ilvl w:val="0"/>
          <w:numId w:val="69"/>
        </w:numPr>
        <w:rPr>
          <w:rFonts w:ascii="Arial" w:cs="Arial" w:eastAsia="Arial" w:hAnsi="Arial"/>
          <w:sz w:val="15"/>
          <w:szCs w:val="15"/>
          <w:b w:val="1"/>
          <w:bCs w:val="1"/>
          <w:color w:val="auto"/>
          <w:vertAlign w:val="superscript"/>
        </w:rPr>
      </w:pPr>
      <w:r>
        <w:rPr>
          <w:rFonts w:ascii="Arial" w:cs="Arial" w:eastAsia="Arial" w:hAnsi="Arial"/>
          <w:sz w:val="9"/>
          <w:szCs w:val="9"/>
          <w:color w:val="auto"/>
        </w:rPr>
        <w:t>Based on the change in market price per share during the periods and assumes distributions, if any, are reinvested.</w:t>
      </w:r>
    </w:p>
    <w:p>
      <w:pPr>
        <w:ind w:left="380" w:hanging="372"/>
        <w:spacing w:after="0" w:line="187" w:lineRule="auto"/>
        <w:tabs>
          <w:tab w:leader="none" w:pos="380" w:val="left"/>
        </w:tabs>
        <w:numPr>
          <w:ilvl w:val="0"/>
          <w:numId w:val="69"/>
        </w:numPr>
        <w:rPr>
          <w:rFonts w:ascii="Arial" w:cs="Arial" w:eastAsia="Arial" w:hAnsi="Arial"/>
          <w:sz w:val="15"/>
          <w:szCs w:val="15"/>
          <w:b w:val="1"/>
          <w:bCs w:val="1"/>
          <w:color w:val="auto"/>
          <w:vertAlign w:val="superscript"/>
        </w:rPr>
      </w:pPr>
      <w:r>
        <w:rPr>
          <w:rFonts w:ascii="Arial" w:cs="Arial" w:eastAsia="Arial" w:hAnsi="Arial"/>
          <w:sz w:val="9"/>
          <w:szCs w:val="9"/>
          <w:color w:val="auto"/>
        </w:rPr>
        <w:t>Excludes debt related costs.</w:t>
      </w:r>
    </w:p>
    <w:p>
      <w:pPr>
        <w:ind w:left="380" w:hanging="372"/>
        <w:spacing w:after="0" w:line="187" w:lineRule="auto"/>
        <w:tabs>
          <w:tab w:leader="none" w:pos="380" w:val="left"/>
        </w:tabs>
        <w:numPr>
          <w:ilvl w:val="0"/>
          <w:numId w:val="69"/>
        </w:numPr>
        <w:rPr>
          <w:rFonts w:ascii="Arial" w:cs="Arial" w:eastAsia="Arial" w:hAnsi="Arial"/>
          <w:sz w:val="15"/>
          <w:szCs w:val="15"/>
          <w:b w:val="1"/>
          <w:bCs w:val="1"/>
          <w:color w:val="auto"/>
          <w:vertAlign w:val="superscript"/>
        </w:rPr>
      </w:pPr>
      <w:r>
        <w:rPr>
          <w:rFonts w:ascii="Arial" w:cs="Arial" w:eastAsia="Arial" w:hAnsi="Arial"/>
          <w:sz w:val="9"/>
          <w:szCs w:val="9"/>
          <w:color w:val="auto"/>
        </w:rPr>
        <w:t>Includes interest and expenses on debt (annualized) as well as Credit Facility amendment and debt issuance costs, if any (not annualized).</w:t>
      </w:r>
    </w:p>
    <w:p>
      <w:pPr>
        <w:ind w:left="380" w:right="120" w:hanging="372"/>
        <w:spacing w:after="0" w:line="190" w:lineRule="auto"/>
        <w:tabs>
          <w:tab w:leader="none" w:pos="380" w:val="left"/>
        </w:tabs>
        <w:numPr>
          <w:ilvl w:val="0"/>
          <w:numId w:val="69"/>
        </w:numPr>
        <w:rPr>
          <w:rFonts w:ascii="Arial" w:cs="Arial" w:eastAsia="Arial" w:hAnsi="Arial"/>
          <w:sz w:val="19"/>
          <w:szCs w:val="19"/>
          <w:b w:val="1"/>
          <w:bCs w:val="1"/>
          <w:color w:val="auto"/>
          <w:vertAlign w:val="superscript"/>
        </w:rPr>
      </w:pPr>
      <w:r>
        <w:rPr>
          <w:rFonts w:ascii="Arial" w:cs="Arial" w:eastAsia="Arial" w:hAnsi="Arial"/>
          <w:sz w:val="11"/>
          <w:szCs w:val="11"/>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DEBT</w:t>
      </w:r>
    </w:p>
    <w:p>
      <w:pPr>
        <w:spacing w:after="0" w:line="140" w:lineRule="exact"/>
        <w:rPr>
          <w:sz w:val="20"/>
          <w:szCs w:val="20"/>
          <w:color w:val="auto"/>
        </w:rPr>
      </w:pPr>
    </w:p>
    <w:p>
      <w:pPr>
        <w:jc w:val="both"/>
        <w:ind w:right="80" w:firstLine="438"/>
        <w:spacing w:after="0" w:line="264" w:lineRule="auto"/>
        <w:rPr>
          <w:sz w:val="20"/>
          <w:szCs w:val="20"/>
          <w:color w:val="auto"/>
        </w:rPr>
      </w:pPr>
      <w:r>
        <w:rPr>
          <w:rFonts w:ascii="Arial" w:cs="Arial" w:eastAsia="Arial" w:hAnsi="Arial"/>
          <w:sz w:val="13"/>
          <w:szCs w:val="13"/>
          <w:color w:val="auto"/>
        </w:rPr>
        <w:t>The annualized weighted average cost of debt for the years ended September 30, 2021, 2020 and 2019, inclusive of the fee on the undrawn commitment on the Credit Facility or the Prior Credit Facility, as applicable, amendment costs and debt issuance costs, was 3.9%, 3.7% and 5.3%, respectively. As of September 30, 2021, in accordance with the 1940 Act, with certain limited exceptions, we are only allowed to borrow amounts such that we are in compliance with a 150% asset coverage ratio requirement after such borrowing.</w:t>
      </w:r>
    </w:p>
    <w:p>
      <w:pPr>
        <w:spacing w:after="0" w:line="101"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September 30, 2021 and 2020, our asset coverage ratio, as computed in accordance with the 1940 Act, was 175% and 168%,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Funding I’s multi-currency Credit Facility with the Lenders was $300 million as of September 30, 2021, subject to satisfaction of certain conditions and the regulatory restrictions that the 1940 Act imposes on us as a BDC, has an interest rate spread above LIBOR (or an alternative risk-free floating interest rate index) of 225 basis points, a maturity date of August 2026 and a revolving period that ends in August 2024. As of September 30, 2021 and 2020, Funding I had $219.4 million and $308.6 million of outstanding borrowings under the Credit Facility, respectively. The Credit Facility had a weighted average interest rate of 2.3% and 2.2%, exclusive of the fee on undrawn commitments as of September 30, 2021 and 2020, respectively. As of September 30, 2021 and 2020, we had $80.6 million and $211.4 million of unused borrowing capacity under the Credit Facility, respectively, subject to leverage and borrowing base restrictions.</w:t>
      </w:r>
    </w:p>
    <w:p>
      <w:pPr>
        <w:spacing w:after="0" w:line="109"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During the revolving period, the Credit Facility bears interest at LIBOR (or an alternative risk-free floating interest rate index) plus 225 basis points and, after the revolving period, the rate will reset to Base Rate (or an alternative risk-free floating interest rate index) plus 250 basis points for the remaining two years, maturing in August 2026. The Credit Facility is secured by all of the assets of Funding I. Both we and Funding I have made customary representations and warranties and are required to comply with various covenants, reporting requirements and other customary requirements for similar credit facilities.</w:t>
      </w:r>
    </w:p>
    <w:p>
      <w:pPr>
        <w:spacing w:after="0" w:line="104"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September 30, 2021, we were in compliance with the covenants relating to our Credit Facility.</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Notes</w:t>
      </w:r>
    </w:p>
    <w:p>
      <w:pPr>
        <w:spacing w:after="0" w:line="136"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In November 2017, we issued $138.6 million of our 2023 Notes of which $117.8 million and $138.6 million were outstanding as at September 30, 2021 and 2020, respectively. The 2023 Notes were issued pursuant to a deed of trust between the Company and Mishmeret Trust Company, Ltd. as trustee.</w:t>
      </w:r>
    </w:p>
    <w:p>
      <w:pPr>
        <w:spacing w:after="0" w:line="106" w:lineRule="exact"/>
        <w:rPr>
          <w:sz w:val="20"/>
          <w:szCs w:val="20"/>
          <w:color w:val="auto"/>
        </w:rPr>
      </w:pPr>
    </w:p>
    <w:p>
      <w:pPr>
        <w:ind w:right="200" w:firstLine="438"/>
        <w:spacing w:after="0" w:line="233" w:lineRule="auto"/>
        <w:rPr>
          <w:sz w:val="20"/>
          <w:szCs w:val="20"/>
          <w:color w:val="auto"/>
        </w:rPr>
      </w:pPr>
      <w:r>
        <w:rPr>
          <w:rFonts w:ascii="Arial" w:cs="Arial" w:eastAsia="Arial" w:hAnsi="Arial"/>
          <w:sz w:val="14"/>
          <w:szCs w:val="14"/>
          <w:color w:val="auto"/>
        </w:rPr>
        <w:t>The 2023 Notes pay interest at a rate of 4.3% per year. As a result of the downgrade of the 2023 Notes from “ilA+” to “ilA-” in March 2020, the interest rate of the 2023 Notes was increased to 4.3% from 3.8%.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17"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2026 Notes</w:t>
      </w:r>
    </w:p>
    <w:p>
      <w:pPr>
        <w:spacing w:after="0" w:line="150" w:lineRule="exact"/>
        <w:rPr>
          <w:sz w:val="20"/>
          <w:szCs w:val="20"/>
          <w:color w:val="auto"/>
        </w:rPr>
      </w:pPr>
    </w:p>
    <w:p>
      <w:pPr>
        <w:ind w:right="200" w:firstLine="483"/>
        <w:spacing w:after="0" w:line="248" w:lineRule="auto"/>
        <w:rPr>
          <w:sz w:val="20"/>
          <w:szCs w:val="20"/>
          <w:color w:val="auto"/>
        </w:rPr>
      </w:pPr>
      <w:r>
        <w:rPr>
          <w:rFonts w:ascii="Arial" w:cs="Arial" w:eastAsia="Arial" w:hAnsi="Arial"/>
          <w:sz w:val="13"/>
          <w:szCs w:val="13"/>
          <w:color w:val="auto"/>
        </w:rPr>
        <w:t>In March 2021, we issued $100.0 million in aggregate principal amount of 2026 Notes at a public offering price per note of 99.4%. Interest on the 2026 Notes is paid semi-annually on April 1 and October 1 of each year, at a rate of 4.25% per year, commencing October 1, 2021. The 2026 Notes mature on April 1, 2026 and may be redeemed in whole or in part at our</w:t>
      </w:r>
    </w:p>
    <w:p>
      <w:pPr>
        <w:ind w:right="40"/>
        <w:spacing w:after="0" w:line="229" w:lineRule="auto"/>
        <w:rPr>
          <w:sz w:val="20"/>
          <w:szCs w:val="20"/>
          <w:color w:val="auto"/>
        </w:rPr>
      </w:pPr>
      <w:r>
        <w:rPr>
          <w:rFonts w:ascii="Arial" w:cs="Arial" w:eastAsia="Arial" w:hAnsi="Arial"/>
          <w:sz w:val="14"/>
          <w:szCs w:val="14"/>
          <w:color w:val="auto"/>
        </w:rPr>
        <w:t>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2021</w:t>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2031 Asset-Backed Debt</w:t>
      </w:r>
    </w:p>
    <w:p>
      <w:pPr>
        <w:spacing w:after="0" w:line="136" w:lineRule="exact"/>
        <w:rPr>
          <w:sz w:val="20"/>
          <w:szCs w:val="20"/>
          <w:color w:val="auto"/>
        </w:rPr>
      </w:pPr>
    </w:p>
    <w:p>
      <w:pPr>
        <w:ind w:right="60" w:firstLine="438"/>
        <w:spacing w:after="0" w:line="152" w:lineRule="exact"/>
        <w:rPr>
          <w:sz w:val="20"/>
          <w:szCs w:val="20"/>
          <w:color w:val="auto"/>
        </w:rPr>
      </w:pPr>
      <w:r>
        <w:rPr>
          <w:rFonts w:ascii="Arial" w:cs="Arial" w:eastAsia="Arial" w:hAnsi="Arial"/>
          <w:sz w:val="13"/>
          <w:szCs w:val="13"/>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Loans maturing 2031, which bear interest at the three-month LIBOR plus 1.8%, (ii) $15.0 million Class A-2 Senior Secured Fixed Rate Notes due 2031, which bear interest at 3.7%, (iii) $14.0 million Class B-1 Senior Secured Floating Rate Notes due 2031, which bear interest at the three-month LIBOR plus 2.9%, (iv) $16.0 million Class B-2 Senior Secured Fixed Rate Notes due 2031, which bear interest at 4.3%, (v) $19.0 million Class C</w:t>
      </w:r>
      <w:r>
        <w:rPr>
          <w:rFonts w:ascii="MS PGothic" w:cs="MS PGothic" w:eastAsia="MS PGothic" w:hAnsi="MS PGothic"/>
          <w:sz w:val="13"/>
          <w:szCs w:val="13"/>
          <w:color w:val="auto"/>
        </w:rPr>
        <w:t>‑</w:t>
      </w:r>
      <w:r>
        <w:rPr>
          <w:rFonts w:ascii="Arial" w:cs="Arial" w:eastAsia="Arial" w:hAnsi="Arial"/>
          <w:sz w:val="13"/>
          <w:szCs w:val="13"/>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 three-month LIBOR plus 4.8% and (B) the borrowing of $77.5 million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Notes due 2031, which bear interest at the three-month LIBOR plus 1.8%,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p>
    <w:p>
      <w:pPr>
        <w:spacing w:after="0" w:line="26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252"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2031 Asset-Backed Debt is included in the Consolidated Statement of Assets and Liabilities as debt of the Company and the Class D Secured Deferrable Floating Rate Notes and the Preferred Shares of the Securitization Issuer were eliminated in consolidation. As of both September 30, 2021 and 2020, the Company had $228.0 million 2031 Asset-Backed Debt outstanding with a weighted average interest rate of 2.6% and 2.7%, respectively. As of September 30, 2021 and 2020, the unamortized fees on the 2031 Asset-Backed Debt were $2.5 million and $3.1 million, respectively.</w:t>
      </w:r>
    </w:p>
    <w:p>
      <w:pPr>
        <w:spacing w:after="0" w:line="117"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140" w:lineRule="exact"/>
        <w:rPr>
          <w:sz w:val="20"/>
          <w:szCs w:val="20"/>
          <w:color w:val="auto"/>
        </w:rPr>
      </w:pPr>
    </w:p>
    <w:p>
      <w:pPr>
        <w:ind w:right="200" w:firstLine="438"/>
        <w:spacing w:after="0" w:line="229"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September 30, 2021 and 2020, we had $166.9 million and $73.3 million, respectively, in commitments to fund investments. Additionally, as described in Note 4, the Company had unfunded commitments of up to $42.0 million and $22.1 million to PSSL as of September 30, 2021 and 2020, respectively, that may be contributed primarily for the purpose of funding new investments approved by the PSSL board of directors or investment committee.</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13. UNCONSOLIDATED SIGNIFICANT SUBSIDIARIES</w:t>
      </w:r>
    </w:p>
    <w:p>
      <w:pPr>
        <w:spacing w:after="0" w:line="127" w:lineRule="exact"/>
        <w:rPr>
          <w:sz w:val="20"/>
          <w:szCs w:val="20"/>
          <w:color w:val="auto"/>
        </w:rPr>
      </w:pPr>
    </w:p>
    <w:p>
      <w:pPr>
        <w:ind w:right="280" w:firstLine="438"/>
        <w:spacing w:after="0" w:line="296" w:lineRule="auto"/>
        <w:rPr>
          <w:sz w:val="20"/>
          <w:szCs w:val="20"/>
          <w:color w:val="auto"/>
        </w:rPr>
      </w:pPr>
      <w:r>
        <w:rPr>
          <w:rFonts w:ascii="Arial" w:cs="Arial" w:eastAsia="Arial" w:hAnsi="Arial"/>
          <w:sz w:val="12"/>
          <w:szCs w:val="12"/>
          <w:color w:val="auto"/>
        </w:rPr>
        <w:t>We must determine which, if any, of our unconsolidated controlled portfolio companies is a "significant subsidiary" within the meaning of Regulation S-X. We have determined that, as of September 30, 2021, PennantPark Senior Secured Loan Fund I LLC triggered at least one of the significance tests. As a result and in accordance with Rule 3-09 of Regulation S-X, separate audited financial statements of PennantPark Senior Secured Loan Fund I LLC for the years ended September 30, 2021, 2020 and 2019 are being filed herewith as Exhibit 99.3 and Exhibit 99.4.</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SUBSEQUENT EVENTS</w:t>
      </w:r>
    </w:p>
    <w:p>
      <w:pPr>
        <w:spacing w:after="0" w:line="140" w:lineRule="exact"/>
        <w:rPr>
          <w:sz w:val="20"/>
          <w:szCs w:val="20"/>
          <w:color w:val="auto"/>
        </w:rPr>
      </w:pPr>
    </w:p>
    <w:p>
      <w:pPr>
        <w:ind w:right="120" w:firstLine="438"/>
        <w:spacing w:after="0" w:line="251" w:lineRule="auto"/>
        <w:rPr>
          <w:sz w:val="20"/>
          <w:szCs w:val="20"/>
          <w:color w:val="auto"/>
        </w:rPr>
      </w:pPr>
      <w:r>
        <w:rPr>
          <w:rFonts w:ascii="Arial" w:cs="Arial" w:eastAsia="Arial" w:hAnsi="Arial"/>
          <w:sz w:val="13"/>
          <w:szCs w:val="13"/>
          <w:color w:val="auto"/>
        </w:rPr>
        <w:t>On October 6, 2021, we issued an additional $85 million aggregate principal amount of our 4.25% Notes due 2026 (the “Add-On Notes”) in an add-on offering (the “Add-On Offering”) pursuant to the Base Indenture, dated March 23, 2021 (the “Base Indenture”), between the Company and American Stock Transfer &amp; Trust Company, LLC (the “Trustee”), as supplemented by the First Supplemental Indenture, dated March 23, 2021, between the Company and the Trustee (together with the Base Indenture, the “Indenture”). In connection with the Add-On Offering, the Company entered into an underwriting agreement (the “Underwriting Agreement”), by and among the Company, PennantPark Investment Advisers, LLC (the “Investment Adviser”) and Goldman Sachs &amp; Co. LLC, Keefe, Bruyette &amp; Woods, Inc. and Truist Securities, Inc., as representatives of the several underwriters named on Schedule A to the Underwriting Agreement.</w:t>
      </w:r>
    </w:p>
    <w:p>
      <w:pPr>
        <w:spacing w:after="0" w:line="109"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The Add-On Notes constitute a further issuance of the $100 million aggregate principal amount of the 2026 Notes issued by the Company on March 23, 2021 (the “Existing Notes”) under the Indenture.</w:t>
      </w:r>
    </w:p>
    <w:p>
      <w:pPr>
        <w:spacing w:after="0" w:line="93"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The Add-On Notes are treated as a single series with the Existing Notes and have the same terms as the Existing Notes, other than the issue date and the offering price. The Add-On Notes have the same CUSIP number and are fungible and rank equally with the Existing Notes. Upon issuance of the Add-On Notes, the outstanding aggregate principal amount of the Company’s 4.25% notes due 2026 is $185 million.</w:t>
      </w:r>
    </w:p>
    <w:p>
      <w:pPr>
        <w:spacing w:after="0" w:line="115"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Subsequent to quarter end, PFLT had new funded investments of $82.3 million, net of sales and repayments. PSSL had new funded investments of $23.3 million, net of sales and repayments.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jc w:val="center"/>
        <w:ind w:right="-59"/>
        <w:spacing w:after="0"/>
        <w:rPr>
          <w:sz w:val="20"/>
          <w:szCs w:val="20"/>
          <w:color w:val="auto"/>
        </w:rPr>
      </w:pPr>
      <w:r>
        <w:rPr>
          <w:rFonts w:ascii="Arial" w:cs="Arial" w:eastAsia="Arial" w:hAnsi="Arial"/>
          <w:sz w:val="14"/>
          <w:szCs w:val="14"/>
          <w:b w:val="1"/>
          <w:bCs w:val="1"/>
          <w:color w:val="auto"/>
        </w:rPr>
        <w:t>Supplementary Data</w:t>
      </w:r>
    </w:p>
    <w:p>
      <w:pPr>
        <w:jc w:val="center"/>
        <w:ind w:right="-59"/>
        <w:spacing w:after="0" w:line="226" w:lineRule="auto"/>
        <w:rPr>
          <w:sz w:val="20"/>
          <w:szCs w:val="20"/>
          <w:color w:val="auto"/>
        </w:rPr>
      </w:pPr>
      <w:r>
        <w:rPr>
          <w:rFonts w:ascii="Arial" w:cs="Arial" w:eastAsia="Arial" w:hAnsi="Arial"/>
          <w:sz w:val="14"/>
          <w:szCs w:val="14"/>
          <w:b w:val="1"/>
          <w:bCs w:val="1"/>
          <w:color w:val="auto"/>
        </w:rPr>
        <w:t>Selected Quarterly Data (Unaudited)</w:t>
      </w:r>
    </w:p>
    <w:p>
      <w:pPr>
        <w:jc w:val="center"/>
        <w:ind w:right="-59"/>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12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Evaluation of Disclosure Controls and Procedures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As of September 30, 2021,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Management’s Report on Internal Control Over Financial Reporting</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Management’s Report on Internal Control Over Financial Reporting, which appears on page 53 of this Report, is incorporated by reference herein.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Changes in Internal Controls Over Financial Reporting</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95" w:right="399" w:bottom="1440" w:gutter="0" w:footer="0" w:header="0"/>
        </w:sectPr>
      </w:pPr>
    </w:p>
    <w:bookmarkStart w:id="92" w:name="page93"/>
    <w:bookmarkEnd w:id="92"/>
    <w:p>
      <w:pPr>
        <w:jc w:val="center"/>
        <w:ind w:right="-119"/>
        <w:spacing w:after="0"/>
        <w:rPr>
          <w:sz w:val="20"/>
          <w:szCs w:val="20"/>
          <w:color w:val="auto"/>
        </w:rPr>
      </w:pPr>
      <w:r>
        <w:rPr>
          <w:rFonts w:ascii="Arial" w:cs="Arial" w:eastAsia="Arial" w:hAnsi="Arial"/>
          <w:sz w:val="14"/>
          <w:szCs w:val="14"/>
          <w:b w:val="1"/>
          <w:bCs w:val="1"/>
          <w:color w:val="auto"/>
        </w:rPr>
        <w:t>PART III</w:t>
      </w:r>
    </w:p>
    <w:p>
      <w:pPr>
        <w:spacing w:after="0" w:line="275"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will file a definitive Proxy Statement for our 2022 Annual Meeting of Stockholders with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11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10 is hereby incorporated by reference from our definitive Proxy Statement relating to our 2022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11 is hereby incorporated by reference from our definitive Proxy Statement relating to our 2022 Annual Meeting of Stockholders, to be filed with the SEC within 120 days following the end of our fiscal year.</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12 is hereby incorporated by reference from our definitive Proxy Statement relating to our 2022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13 is hereby incorporated by reference from our definitive Proxy Statement relating to our 2022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Accountant Fees and Services</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14 is hereby incorporated by reference from our definitive Proxy Statement relating to our 2022 Annual Meeting of Stockholders, to be filed with the SEC within 120 days following the end of our fiscal year.</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265" w:right="45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4"/>
          <w:szCs w:val="14"/>
          <w:b w:val="1"/>
          <w:bCs w:val="1"/>
          <w:color w:val="auto"/>
        </w:rPr>
        <w:t>PART IV</w:t>
      </w:r>
    </w:p>
    <w:p>
      <w:pPr>
        <w:spacing w:after="0" w:line="2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documents are filed as part of this Annual Report:</w:t>
      </w:r>
    </w:p>
    <w:p>
      <w:pPr>
        <w:spacing w:after="0" w:line="123" w:lineRule="exact"/>
        <w:rPr>
          <w:sz w:val="20"/>
          <w:szCs w:val="20"/>
          <w:color w:val="auto"/>
        </w:rPr>
      </w:pPr>
    </w:p>
    <w:p>
      <w:pPr>
        <w:ind w:left="920" w:hanging="359"/>
        <w:spacing w:after="0"/>
        <w:tabs>
          <w:tab w:leader="none" w:pos="9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Index to Financial Statements — Refer to Item 8 starting on page 52.</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Financial Statement Schedules — None.</w:t>
      </w:r>
    </w:p>
    <w:p>
      <w:pPr>
        <w:spacing w:after="0" w:line="203" w:lineRule="exact"/>
        <w:rPr>
          <w:rFonts w:ascii="Arial" w:cs="Arial" w:eastAsia="Arial" w:hAnsi="Arial"/>
          <w:sz w:val="14"/>
          <w:szCs w:val="14"/>
          <w:color w:val="auto"/>
        </w:rPr>
      </w:pPr>
    </w:p>
    <w:p>
      <w:pPr>
        <w:ind w:left="920" w:hanging="359"/>
        <w:spacing w:after="0"/>
        <w:tabs>
          <w:tab w:leader="none" w:pos="9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right"/>
              <w:ind w:right="708"/>
              <w:spacing w:after="0"/>
              <w:rPr>
                <w:sz w:val="20"/>
                <w:szCs w:val="20"/>
                <w:color w:val="auto"/>
              </w:rPr>
            </w:pPr>
            <w:r>
              <w:rPr>
                <w:rFonts w:ascii="Arial" w:cs="Arial" w:eastAsia="Arial" w:hAnsi="Arial"/>
                <w:sz w:val="14"/>
                <w:szCs w:val="14"/>
                <w:color w:val="auto"/>
              </w:rPr>
              <w:t>3.1</w:t>
            </w:r>
          </w:p>
        </w:tc>
        <w:tc>
          <w:tcPr>
            <w:tcW w:w="10260" w:type="dxa"/>
            <w:vAlign w:val="bottom"/>
            <w:gridSpan w:val="40"/>
          </w:tcPr>
          <w:p>
            <w:pPr>
              <w:spacing w:after="0"/>
              <w:rPr>
                <w:rFonts w:ascii="Arial" w:cs="Arial" w:eastAsia="Arial" w:hAnsi="Arial"/>
                <w:sz w:val="14"/>
                <w:szCs w:val="14"/>
                <w:color w:val="0000EE"/>
                <w:w w:val="94"/>
              </w:rPr>
            </w:pPr>
            <w:hyperlink r:id="rId126">
              <w:r>
                <w:rPr>
                  <w:rFonts w:ascii="Arial" w:cs="Arial" w:eastAsia="Arial" w:hAnsi="Arial"/>
                  <w:sz w:val="14"/>
                  <w:szCs w:val="14"/>
                  <w:color w:val="0000EE"/>
                  <w:w w:val="94"/>
                </w:rPr>
                <w:t>Articles of Amendment and Restatement of the Registrant (Incorporated by reference to the Registrant’s Pre-Effective Amendment No. 3 to the Registration Statement on Form</w:t>
              </w:r>
            </w:hyperlink>
          </w:p>
        </w:tc>
      </w:tr>
      <w:tr>
        <w:trPr>
          <w:trHeight w:val="129"/>
        </w:trPr>
        <w:tc>
          <w:tcPr>
            <w:tcW w:w="1040" w:type="dxa"/>
            <w:vAlign w:val="bottom"/>
          </w:tcPr>
          <w:p>
            <w:pPr>
              <w:spacing w:after="0"/>
              <w:rPr>
                <w:sz w:val="11"/>
                <w:szCs w:val="11"/>
                <w:color w:val="auto"/>
              </w:rPr>
            </w:pPr>
          </w:p>
        </w:tc>
        <w:tc>
          <w:tcPr>
            <w:tcW w:w="3120" w:type="dxa"/>
            <w:vAlign w:val="bottom"/>
            <w:tcBorders>
              <w:top w:val="single" w:sz="8" w:color="0000EE"/>
              <w:bottom w:val="single" w:sz="8" w:color="0000EE"/>
            </w:tcBorders>
            <w:gridSpan w:val="6"/>
          </w:tcPr>
          <w:p>
            <w:pPr>
              <w:spacing w:after="0" w:line="129" w:lineRule="exact"/>
              <w:rPr>
                <w:rFonts w:ascii="Arial" w:cs="Arial" w:eastAsia="Arial" w:hAnsi="Arial"/>
                <w:sz w:val="14"/>
                <w:szCs w:val="14"/>
                <w:color w:val="0000EE"/>
                <w:w w:val="95"/>
              </w:rPr>
            </w:pPr>
            <w:hyperlink r:id="rId126">
              <w:r>
                <w:rPr>
                  <w:rFonts w:ascii="Arial" w:cs="Arial" w:eastAsia="Arial" w:hAnsi="Arial"/>
                  <w:sz w:val="14"/>
                  <w:szCs w:val="14"/>
                  <w:color w:val="0000EE"/>
                  <w:w w:val="95"/>
                </w:rPr>
                <w:t>N-2 (File No. 333-170243), filed on March 29, 2011).</w:t>
              </w:r>
            </w:hyperlink>
          </w:p>
        </w:tc>
        <w:tc>
          <w:tcPr>
            <w:tcW w:w="7080" w:type="dxa"/>
            <w:vAlign w:val="bottom"/>
            <w:tcBorders>
              <w:top w:val="single" w:sz="8" w:color="0000EE"/>
            </w:tcBorders>
            <w:gridSpan w:val="3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rPr>
              <w:t>3.2</w:t>
            </w:r>
          </w:p>
        </w:tc>
        <w:tc>
          <w:tcPr>
            <w:tcW w:w="10260" w:type="dxa"/>
            <w:vAlign w:val="bottom"/>
            <w:gridSpan w:val="40"/>
          </w:tcPr>
          <w:p>
            <w:pPr>
              <w:spacing w:after="0"/>
              <w:rPr>
                <w:rFonts w:ascii="Arial" w:cs="Arial" w:eastAsia="Arial" w:hAnsi="Arial"/>
                <w:sz w:val="14"/>
                <w:szCs w:val="14"/>
                <w:color w:val="0000EE"/>
                <w:w w:val="94"/>
              </w:rPr>
            </w:pPr>
            <w:hyperlink r:id="rId127">
              <w:r>
                <w:rPr>
                  <w:rFonts w:ascii="Arial" w:cs="Arial" w:eastAsia="Arial" w:hAnsi="Arial"/>
                  <w:sz w:val="14"/>
                  <w:szCs w:val="14"/>
                  <w:color w:val="0000EE"/>
                  <w:w w:val="94"/>
                </w:rPr>
                <w:t>Second Amended and Restated Bylaws of the Registrant (Incorporated by reference to Exhibit 3.2 to the Registrant's Quarterly Report on Form 10-Q (File No. 814-00891), filed</w:t>
              </w:r>
            </w:hyperlink>
          </w:p>
        </w:tc>
      </w:tr>
      <w:tr>
        <w:trPr>
          <w:trHeight w:val="128"/>
        </w:trPr>
        <w:tc>
          <w:tcPr>
            <w:tcW w:w="1040" w:type="dxa"/>
            <w:vAlign w:val="bottom"/>
          </w:tcPr>
          <w:p>
            <w:pPr>
              <w:spacing w:after="0"/>
              <w:rPr>
                <w:sz w:val="11"/>
                <w:szCs w:val="11"/>
                <w:color w:val="auto"/>
              </w:rPr>
            </w:pPr>
          </w:p>
        </w:tc>
        <w:tc>
          <w:tcPr>
            <w:tcW w:w="10220" w:type="dxa"/>
            <w:vAlign w:val="bottom"/>
            <w:tcBorders>
              <w:top w:val="single" w:sz="8" w:color="0000EE"/>
            </w:tcBorders>
            <w:gridSpan w:val="38"/>
          </w:tcPr>
          <w:p>
            <w:pPr>
              <w:spacing w:after="0" w:line="129" w:lineRule="exact"/>
              <w:rPr>
                <w:rFonts w:ascii="Arial" w:cs="Arial" w:eastAsia="Arial" w:hAnsi="Arial"/>
                <w:sz w:val="14"/>
                <w:szCs w:val="14"/>
                <w:color w:val="0000EE"/>
              </w:rPr>
            </w:pPr>
            <w:hyperlink r:id="rId127">
              <w:r>
                <w:rPr>
                  <w:rFonts w:ascii="Arial" w:cs="Arial" w:eastAsia="Arial" w:hAnsi="Arial"/>
                  <w:sz w:val="14"/>
                  <w:szCs w:val="14"/>
                  <w:color w:val="0000EE"/>
                </w:rPr>
                <w:t>on May 11, 2020).</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rPr>
              <w:t>4.1</w:t>
            </w:r>
          </w:p>
        </w:tc>
        <w:tc>
          <w:tcPr>
            <w:tcW w:w="10260" w:type="dxa"/>
            <w:vAlign w:val="bottom"/>
            <w:gridSpan w:val="40"/>
          </w:tcPr>
          <w:p>
            <w:pPr>
              <w:spacing w:after="0"/>
              <w:rPr>
                <w:rFonts w:ascii="Arial" w:cs="Arial" w:eastAsia="Arial" w:hAnsi="Arial"/>
                <w:sz w:val="14"/>
                <w:szCs w:val="14"/>
                <w:color w:val="0000EE"/>
                <w:w w:val="94"/>
              </w:rPr>
            </w:pPr>
            <w:hyperlink r:id="rId128">
              <w:r>
                <w:rPr>
                  <w:rFonts w:ascii="Arial" w:cs="Arial" w:eastAsia="Arial" w:hAnsi="Arial"/>
                  <w:sz w:val="14"/>
                  <w:szCs w:val="14"/>
                  <w:color w:val="0000EE"/>
                  <w:w w:val="94"/>
                </w:rPr>
                <w:t>Form of Share Certificate (Incorporated by reference to the Registrant’s Pre-Effective Amendment No. 5 to the Registration Statement on Form N-2 (File No. 333-170243), filed</w:t>
              </w:r>
            </w:hyperlink>
          </w:p>
        </w:tc>
      </w:tr>
      <w:tr>
        <w:trPr>
          <w:trHeight w:val="129"/>
        </w:trPr>
        <w:tc>
          <w:tcPr>
            <w:tcW w:w="1040" w:type="dxa"/>
            <w:vAlign w:val="bottom"/>
          </w:tcPr>
          <w:p>
            <w:pPr>
              <w:spacing w:after="0"/>
              <w:rPr>
                <w:sz w:val="11"/>
                <w:szCs w:val="11"/>
                <w:color w:val="auto"/>
              </w:rPr>
            </w:pPr>
          </w:p>
        </w:tc>
        <w:tc>
          <w:tcPr>
            <w:tcW w:w="1060" w:type="dxa"/>
            <w:vAlign w:val="bottom"/>
            <w:tcBorders>
              <w:top w:val="single" w:sz="8" w:color="0000EE"/>
              <w:bottom w:val="single" w:sz="8" w:color="0000EE"/>
            </w:tcBorders>
            <w:gridSpan w:val="3"/>
          </w:tcPr>
          <w:p>
            <w:pPr>
              <w:spacing w:after="0" w:line="129" w:lineRule="exact"/>
              <w:rPr>
                <w:rFonts w:ascii="Arial" w:cs="Arial" w:eastAsia="Arial" w:hAnsi="Arial"/>
                <w:sz w:val="14"/>
                <w:szCs w:val="14"/>
                <w:color w:val="0000EE"/>
                <w:w w:val="95"/>
              </w:rPr>
            </w:pPr>
            <w:hyperlink r:id="rId128">
              <w:r>
                <w:rPr>
                  <w:rFonts w:ascii="Arial" w:cs="Arial" w:eastAsia="Arial" w:hAnsi="Arial"/>
                  <w:sz w:val="14"/>
                  <w:szCs w:val="14"/>
                  <w:color w:val="0000EE"/>
                  <w:w w:val="95"/>
                </w:rPr>
                <w:t>on April 5, 2011).</w:t>
              </w:r>
            </w:hyperlink>
          </w:p>
        </w:tc>
        <w:tc>
          <w:tcPr>
            <w:tcW w:w="9180" w:type="dxa"/>
            <w:vAlign w:val="bottom"/>
            <w:tcBorders>
              <w:top w:val="single" w:sz="8" w:color="0000EE"/>
            </w:tcBorders>
            <w:gridSpan w:val="36"/>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rPr>
              <w:t>4.2</w:t>
            </w:r>
          </w:p>
        </w:tc>
        <w:tc>
          <w:tcPr>
            <w:tcW w:w="10260" w:type="dxa"/>
            <w:vAlign w:val="bottom"/>
            <w:gridSpan w:val="40"/>
          </w:tcPr>
          <w:p>
            <w:pPr>
              <w:spacing w:after="0"/>
              <w:rPr>
                <w:rFonts w:ascii="Arial" w:cs="Arial" w:eastAsia="Arial" w:hAnsi="Arial"/>
                <w:sz w:val="14"/>
                <w:szCs w:val="14"/>
                <w:color w:val="0000EE"/>
                <w:w w:val="95"/>
              </w:rPr>
            </w:pPr>
            <w:hyperlink r:id="rId129">
              <w:r>
                <w:rPr>
                  <w:rFonts w:ascii="Arial" w:cs="Arial" w:eastAsia="Arial" w:hAnsi="Arial"/>
                  <w:sz w:val="14"/>
                  <w:szCs w:val="14"/>
                  <w:color w:val="0000EE"/>
                  <w:w w:val="95"/>
                </w:rPr>
                <w:t>Deed of Trust dated November 23, 2017, between PennantPark Floating Rate Capital Ltd. and Mishmeret Trust Company, Ltd. (Incorporated by reference to Exhibit (d)(8) to</w:t>
              </w:r>
            </w:hyperlink>
          </w:p>
        </w:tc>
      </w:tr>
      <w:tr>
        <w:trPr>
          <w:trHeight w:val="128"/>
        </w:trPr>
        <w:tc>
          <w:tcPr>
            <w:tcW w:w="1040" w:type="dxa"/>
            <w:vAlign w:val="bottom"/>
          </w:tcPr>
          <w:p>
            <w:pPr>
              <w:spacing w:after="0"/>
              <w:rPr>
                <w:sz w:val="11"/>
                <w:szCs w:val="11"/>
                <w:color w:val="auto"/>
              </w:rPr>
            </w:pPr>
          </w:p>
        </w:tc>
        <w:tc>
          <w:tcPr>
            <w:tcW w:w="10060" w:type="dxa"/>
            <w:vAlign w:val="bottom"/>
            <w:tcBorders>
              <w:top w:val="single" w:sz="8" w:color="0000EE"/>
            </w:tcBorders>
            <w:gridSpan w:val="30"/>
          </w:tcPr>
          <w:p>
            <w:pPr>
              <w:spacing w:after="0" w:line="129" w:lineRule="exact"/>
              <w:rPr>
                <w:rFonts w:ascii="Arial" w:cs="Arial" w:eastAsia="Arial" w:hAnsi="Arial"/>
                <w:sz w:val="14"/>
                <w:szCs w:val="14"/>
                <w:color w:val="0000EE"/>
              </w:rPr>
            </w:pPr>
            <w:hyperlink r:id="rId129">
              <w:r>
                <w:rPr>
                  <w:rFonts w:ascii="Arial" w:cs="Arial" w:eastAsia="Arial" w:hAnsi="Arial"/>
                  <w:sz w:val="14"/>
                  <w:szCs w:val="14"/>
                  <w:color w:val="0000EE"/>
                </w:rPr>
                <w:t>the Registrant’s Post-Effective Amendment No. 3 to the Registration Statement on Form N-2 (File No. 333- 215111), filed on December 13, 2017).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rPr>
              <w:t>4.3</w:t>
            </w:r>
          </w:p>
        </w:tc>
        <w:tc>
          <w:tcPr>
            <w:tcW w:w="10260" w:type="dxa"/>
            <w:vAlign w:val="bottom"/>
            <w:gridSpan w:val="40"/>
          </w:tcPr>
          <w:p>
            <w:pPr>
              <w:spacing w:after="0"/>
              <w:rPr>
                <w:rFonts w:ascii="Arial" w:cs="Arial" w:eastAsia="Arial" w:hAnsi="Arial"/>
                <w:sz w:val="14"/>
                <w:szCs w:val="14"/>
                <w:color w:val="0000EE"/>
                <w:w w:val="94"/>
              </w:rPr>
            </w:pPr>
            <w:hyperlink r:id="rId130">
              <w:r>
                <w:rPr>
                  <w:rFonts w:ascii="Arial" w:cs="Arial" w:eastAsia="Arial" w:hAnsi="Arial"/>
                  <w:sz w:val="14"/>
                  <w:szCs w:val="14"/>
                  <w:color w:val="0000EE"/>
                  <w:w w:val="94"/>
                </w:rPr>
                <w:t>Indenture, dated as of September 19, 2019, by and among PennantPark CLO I, Ltd., as issuer, PennantPark CLO I, LLC, as co-issuer, and U.S. Bank National Association, as</w:t>
              </w:r>
            </w:hyperlink>
          </w:p>
        </w:tc>
      </w:tr>
      <w:tr>
        <w:trPr>
          <w:trHeight w:val="129"/>
        </w:trPr>
        <w:tc>
          <w:tcPr>
            <w:tcW w:w="1040" w:type="dxa"/>
            <w:vAlign w:val="bottom"/>
          </w:tcPr>
          <w:p>
            <w:pPr>
              <w:spacing w:after="0"/>
              <w:rPr>
                <w:sz w:val="11"/>
                <w:szCs w:val="11"/>
                <w:color w:val="auto"/>
              </w:rPr>
            </w:pPr>
          </w:p>
        </w:tc>
        <w:tc>
          <w:tcPr>
            <w:tcW w:w="10040" w:type="dxa"/>
            <w:vAlign w:val="bottom"/>
            <w:tcBorders>
              <w:top w:val="single" w:sz="8" w:color="0000EE"/>
              <w:bottom w:val="single" w:sz="8" w:color="0000EE"/>
            </w:tcBorders>
            <w:gridSpan w:val="29"/>
          </w:tcPr>
          <w:p>
            <w:pPr>
              <w:spacing w:after="0" w:line="129" w:lineRule="exact"/>
              <w:rPr>
                <w:rFonts w:ascii="Arial" w:cs="Arial" w:eastAsia="Arial" w:hAnsi="Arial"/>
                <w:sz w:val="14"/>
                <w:szCs w:val="14"/>
                <w:color w:val="0000EE"/>
                <w:w w:val="93"/>
              </w:rPr>
            </w:pPr>
            <w:hyperlink r:id="rId130">
              <w:r>
                <w:rPr>
                  <w:rFonts w:ascii="Arial" w:cs="Arial" w:eastAsia="Arial" w:hAnsi="Arial"/>
                  <w:sz w:val="14"/>
                  <w:szCs w:val="14"/>
                  <w:color w:val="0000EE"/>
                  <w:w w:val="93"/>
                </w:rPr>
                <w:t>trustee and as collateral agent (Incorporated by reference to Exhibit 99.2 to the Registrant’s Current Report on Form 8-K (File No. 814-00891), filed on September 20, 2019).</w:t>
              </w:r>
            </w:hyperlink>
          </w:p>
        </w:tc>
        <w:tc>
          <w:tcPr>
            <w:tcW w:w="40" w:type="dxa"/>
            <w:vAlign w:val="bottom"/>
            <w:tcBorders>
              <w:bottom w:val="single" w:sz="8" w:color="0000EE"/>
            </w:tcBorders>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4"/>
                <w:szCs w:val="14"/>
                <w:color w:val="auto"/>
              </w:rPr>
              <w:t>4.4</w:t>
            </w:r>
          </w:p>
        </w:tc>
        <w:tc>
          <w:tcPr>
            <w:tcW w:w="10260" w:type="dxa"/>
            <w:vAlign w:val="bottom"/>
            <w:gridSpan w:val="40"/>
          </w:tcPr>
          <w:p>
            <w:pPr>
              <w:spacing w:after="0"/>
              <w:rPr>
                <w:rFonts w:ascii="Arial" w:cs="Arial" w:eastAsia="Arial" w:hAnsi="Arial"/>
                <w:sz w:val="14"/>
                <w:szCs w:val="14"/>
                <w:color w:val="0000EE"/>
                <w:w w:val="94"/>
              </w:rPr>
            </w:pPr>
            <w:hyperlink r:id="rId131">
              <w:r>
                <w:rPr>
                  <w:rFonts w:ascii="Arial" w:cs="Arial" w:eastAsia="Arial" w:hAnsi="Arial"/>
                  <w:sz w:val="14"/>
                  <w:szCs w:val="14"/>
                  <w:color w:val="0000EE"/>
                  <w:w w:val="94"/>
                </w:rPr>
                <w:t>Indenture, dated as of March 23, 2021, by and between the Company and American Stock Transfer &amp; Trust Company, LLC, as trustee (Incorporated by reference to Exhibit 4.1</w:t>
              </w:r>
            </w:hyperlink>
          </w:p>
        </w:tc>
      </w:tr>
      <w:tr>
        <w:trPr>
          <w:trHeight w:val="128"/>
        </w:trPr>
        <w:tc>
          <w:tcPr>
            <w:tcW w:w="1040" w:type="dxa"/>
            <w:vAlign w:val="bottom"/>
          </w:tcPr>
          <w:p>
            <w:pPr>
              <w:spacing w:after="0"/>
              <w:rPr>
                <w:sz w:val="11"/>
                <w:szCs w:val="11"/>
                <w:color w:val="auto"/>
              </w:rPr>
            </w:pPr>
          </w:p>
        </w:tc>
        <w:tc>
          <w:tcPr>
            <w:tcW w:w="5560" w:type="dxa"/>
            <w:vAlign w:val="bottom"/>
            <w:tcBorders>
              <w:top w:val="single" w:sz="8" w:color="0000EE"/>
              <w:bottom w:val="single" w:sz="8" w:color="0000EE"/>
            </w:tcBorders>
            <w:gridSpan w:val="8"/>
          </w:tcPr>
          <w:p>
            <w:pPr>
              <w:spacing w:after="0" w:line="129" w:lineRule="exact"/>
              <w:rPr>
                <w:rFonts w:ascii="Arial" w:cs="Arial" w:eastAsia="Arial" w:hAnsi="Arial"/>
                <w:sz w:val="14"/>
                <w:szCs w:val="14"/>
                <w:color w:val="0000EE"/>
                <w:w w:val="94"/>
              </w:rPr>
            </w:pPr>
            <w:hyperlink r:id="rId131">
              <w:r>
                <w:rPr>
                  <w:rFonts w:ascii="Arial" w:cs="Arial" w:eastAsia="Arial" w:hAnsi="Arial"/>
                  <w:sz w:val="14"/>
                  <w:szCs w:val="14"/>
                  <w:color w:val="0000EE"/>
                  <w:w w:val="94"/>
                </w:rPr>
                <w:t>to the Registrant’s Current Report on Form 8-K (File No. 814-00891), filed on March 23, 2021).</w:t>
              </w:r>
            </w:hyperlink>
          </w:p>
        </w:tc>
        <w:tc>
          <w:tcPr>
            <w:tcW w:w="4600" w:type="dxa"/>
            <w:vAlign w:val="bottom"/>
            <w:tcBorders>
              <w:top w:val="single" w:sz="8" w:color="0000EE"/>
            </w:tcBorders>
            <w:gridSpan w:val="27"/>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4"/>
                <w:szCs w:val="14"/>
                <w:color w:val="auto"/>
              </w:rPr>
              <w:t>4.5</w:t>
            </w:r>
          </w:p>
        </w:tc>
        <w:tc>
          <w:tcPr>
            <w:tcW w:w="10260" w:type="dxa"/>
            <w:vAlign w:val="bottom"/>
            <w:gridSpan w:val="40"/>
          </w:tcPr>
          <w:p>
            <w:pPr>
              <w:spacing w:after="0"/>
              <w:rPr>
                <w:rFonts w:ascii="Arial" w:cs="Arial" w:eastAsia="Arial" w:hAnsi="Arial"/>
                <w:sz w:val="14"/>
                <w:szCs w:val="14"/>
                <w:color w:val="0000EE"/>
                <w:w w:val="96"/>
              </w:rPr>
            </w:pPr>
            <w:hyperlink r:id="rId132">
              <w:r>
                <w:rPr>
                  <w:rFonts w:ascii="Arial" w:cs="Arial" w:eastAsia="Arial" w:hAnsi="Arial"/>
                  <w:sz w:val="14"/>
                  <w:szCs w:val="14"/>
                  <w:color w:val="0000EE"/>
                  <w:w w:val="96"/>
                </w:rPr>
                <w:t>First Supplemental Indenture, dated as of March 23, 2021, by and between the Company and American Stock Transfer &amp; Trust Company, LLC, as trustee (Incorporated by</w:t>
              </w:r>
            </w:hyperlink>
          </w:p>
        </w:tc>
      </w:tr>
      <w:tr>
        <w:trPr>
          <w:trHeight w:val="128"/>
        </w:trPr>
        <w:tc>
          <w:tcPr>
            <w:tcW w:w="1040" w:type="dxa"/>
            <w:vAlign w:val="bottom"/>
          </w:tcPr>
          <w:p>
            <w:pPr>
              <w:spacing w:after="0"/>
              <w:rPr>
                <w:sz w:val="11"/>
                <w:szCs w:val="11"/>
                <w:color w:val="auto"/>
              </w:rPr>
            </w:pPr>
          </w:p>
        </w:tc>
        <w:tc>
          <w:tcPr>
            <w:tcW w:w="9860" w:type="dxa"/>
            <w:vAlign w:val="bottom"/>
            <w:tcBorders>
              <w:top w:val="single" w:sz="8" w:color="0000EE"/>
            </w:tcBorders>
            <w:gridSpan w:val="23"/>
          </w:tcPr>
          <w:p>
            <w:pPr>
              <w:spacing w:after="0" w:line="129" w:lineRule="exact"/>
              <w:rPr>
                <w:rFonts w:ascii="Arial" w:cs="Arial" w:eastAsia="Arial" w:hAnsi="Arial"/>
                <w:sz w:val="14"/>
                <w:szCs w:val="14"/>
                <w:color w:val="0000EE"/>
              </w:rPr>
            </w:pPr>
            <w:hyperlink r:id="rId132">
              <w:r>
                <w:rPr>
                  <w:rFonts w:ascii="Arial" w:cs="Arial" w:eastAsia="Arial" w:hAnsi="Arial"/>
                  <w:sz w:val="14"/>
                  <w:szCs w:val="14"/>
                  <w:color w:val="0000EE"/>
                </w:rPr>
                <w:t>reference to Exhibit 4.2 to the Registrant’s Current Report on Form 8-K (File No. 814-00891), filed on March 23, 2021.</w:t>
              </w:r>
            </w:hyperlink>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4"/>
                <w:szCs w:val="14"/>
                <w:color w:val="auto"/>
              </w:rPr>
              <w:t>4.6</w:t>
            </w:r>
          </w:p>
        </w:tc>
        <w:tc>
          <w:tcPr>
            <w:tcW w:w="4700" w:type="dxa"/>
            <w:vAlign w:val="bottom"/>
            <w:tcBorders>
              <w:top w:val="single" w:sz="8" w:color="0000EE"/>
              <w:bottom w:val="single" w:sz="8" w:color="0000EE"/>
            </w:tcBorders>
            <w:gridSpan w:val="7"/>
          </w:tcPr>
          <w:p>
            <w:pPr>
              <w:spacing w:after="0"/>
              <w:rPr>
                <w:rFonts w:ascii="Arial" w:cs="Arial" w:eastAsia="Arial" w:hAnsi="Arial"/>
                <w:sz w:val="14"/>
                <w:szCs w:val="14"/>
                <w:color w:val="0000EE"/>
                <w:w w:val="93"/>
              </w:rPr>
            </w:pPr>
            <w:hyperlink r:id="rId132">
              <w:r>
                <w:rPr>
                  <w:rFonts w:ascii="Arial" w:cs="Arial" w:eastAsia="Arial" w:hAnsi="Arial"/>
                  <w:sz w:val="14"/>
                  <w:szCs w:val="14"/>
                  <w:color w:val="0000EE"/>
                  <w:w w:val="93"/>
                </w:rPr>
                <w:t>Form of 4.25% Notes due 2026 (Incorporated by reference to Exhibit 4.5 hereto).</w:t>
              </w:r>
            </w:hyperlink>
          </w:p>
        </w:tc>
        <w:tc>
          <w:tcPr>
            <w:tcW w:w="2200" w:type="dxa"/>
            <w:vAlign w:val="bottom"/>
            <w:tcBorders>
              <w:top w:val="single" w:sz="8" w:color="0000EE"/>
            </w:tcBorders>
            <w:gridSpan w:val="3"/>
          </w:tcPr>
          <w:p>
            <w:pPr>
              <w:spacing w:after="0"/>
              <w:rPr>
                <w:sz w:val="21"/>
                <w:szCs w:val="21"/>
                <w:color w:val="auto"/>
              </w:rPr>
            </w:pPr>
          </w:p>
        </w:tc>
        <w:tc>
          <w:tcPr>
            <w:tcW w:w="3360" w:type="dxa"/>
            <w:vAlign w:val="bottom"/>
            <w:gridSpan w:val="30"/>
          </w:tcPr>
          <w:p>
            <w:pPr>
              <w:spacing w:after="0"/>
              <w:rPr>
                <w:sz w:val="21"/>
                <w:szCs w:val="2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rPr>
              <w:t>4.7</w:t>
            </w:r>
          </w:p>
        </w:tc>
        <w:tc>
          <w:tcPr>
            <w:tcW w:w="10260" w:type="dxa"/>
            <w:vAlign w:val="bottom"/>
            <w:gridSpan w:val="40"/>
          </w:tcPr>
          <w:p>
            <w:pPr>
              <w:spacing w:after="0"/>
              <w:rPr>
                <w:rFonts w:ascii="Arial" w:cs="Arial" w:eastAsia="Arial" w:hAnsi="Arial"/>
                <w:sz w:val="14"/>
                <w:szCs w:val="14"/>
                <w:color w:val="0000EE"/>
              </w:rPr>
            </w:pPr>
            <w:hyperlink r:id="rId133">
              <w:r>
                <w:rPr>
                  <w:rFonts w:ascii="Arial" w:cs="Arial" w:eastAsia="Arial" w:hAnsi="Arial"/>
                  <w:sz w:val="14"/>
                  <w:szCs w:val="14"/>
                  <w:color w:val="0000EE"/>
                </w:rPr>
                <w:t>Description of Securities (Incorporated by reference to Exhibit 4.4 to the Registrant’s Annual Report on Form 10-K (File No. 814-00891) filed on November 20, 2019).</w:t>
              </w:r>
            </w:hyperlink>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100" w:type="dxa"/>
            <w:vAlign w:val="bottom"/>
            <w:gridSpan w:val="4"/>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040" w:type="dxa"/>
            <w:vAlign w:val="bottom"/>
          </w:tcPr>
          <w:p>
            <w:pPr>
              <w:jc w:val="right"/>
              <w:ind w:right="708"/>
              <w:spacing w:after="0"/>
              <w:rPr>
                <w:sz w:val="20"/>
                <w:szCs w:val="20"/>
                <w:color w:val="auto"/>
              </w:rPr>
            </w:pPr>
            <w:r>
              <w:rPr>
                <w:rFonts w:ascii="Arial" w:cs="Arial" w:eastAsia="Arial" w:hAnsi="Arial"/>
                <w:sz w:val="14"/>
                <w:szCs w:val="14"/>
                <w:color w:val="auto"/>
                <w:w w:val="87"/>
              </w:rPr>
              <w:t>10.1</w:t>
            </w:r>
          </w:p>
        </w:tc>
        <w:tc>
          <w:tcPr>
            <w:tcW w:w="10260" w:type="dxa"/>
            <w:vAlign w:val="bottom"/>
            <w:gridSpan w:val="40"/>
          </w:tcPr>
          <w:p>
            <w:pPr>
              <w:spacing w:after="0"/>
              <w:rPr>
                <w:rFonts w:ascii="Arial" w:cs="Arial" w:eastAsia="Arial" w:hAnsi="Arial"/>
                <w:sz w:val="14"/>
                <w:szCs w:val="14"/>
                <w:color w:val="0000EE"/>
                <w:w w:val="95"/>
              </w:rPr>
            </w:pPr>
            <w:hyperlink r:id="rId134">
              <w:r>
                <w:rPr>
                  <w:rFonts w:ascii="Arial" w:cs="Arial" w:eastAsia="Arial" w:hAnsi="Arial"/>
                  <w:sz w:val="14"/>
                  <w:szCs w:val="14"/>
                  <w:color w:val="0000EE"/>
                  <w:w w:val="95"/>
                </w:rPr>
                <w:t>Form of Administration Agreement between the Registrant and PennantPark Investment Administration, LLC (Incorporated by reference to Exhibit 99(k)(2) to the Registrant’s</w:t>
              </w:r>
            </w:hyperlink>
          </w:p>
        </w:tc>
      </w:tr>
      <w:tr>
        <w:trPr>
          <w:trHeight w:val="129"/>
        </w:trPr>
        <w:tc>
          <w:tcPr>
            <w:tcW w:w="1040" w:type="dxa"/>
            <w:vAlign w:val="bottom"/>
          </w:tcPr>
          <w:p>
            <w:pPr>
              <w:spacing w:after="0"/>
              <w:rPr>
                <w:sz w:val="11"/>
                <w:szCs w:val="11"/>
                <w:color w:val="auto"/>
              </w:rPr>
            </w:pPr>
          </w:p>
        </w:tc>
        <w:tc>
          <w:tcPr>
            <w:tcW w:w="7260" w:type="dxa"/>
            <w:vAlign w:val="bottom"/>
            <w:tcBorders>
              <w:top w:val="single" w:sz="8" w:color="0000EE"/>
              <w:bottom w:val="single" w:sz="8" w:color="0000EE"/>
            </w:tcBorders>
            <w:gridSpan w:val="11"/>
          </w:tcPr>
          <w:p>
            <w:pPr>
              <w:spacing w:after="0" w:line="129" w:lineRule="exact"/>
              <w:rPr>
                <w:rFonts w:ascii="Arial" w:cs="Arial" w:eastAsia="Arial" w:hAnsi="Arial"/>
                <w:sz w:val="14"/>
                <w:szCs w:val="14"/>
                <w:color w:val="0000EE"/>
                <w:w w:val="94"/>
              </w:rPr>
            </w:pPr>
            <w:hyperlink r:id="rId134">
              <w:r>
                <w:rPr>
                  <w:rFonts w:ascii="Arial" w:cs="Arial" w:eastAsia="Arial" w:hAnsi="Arial"/>
                  <w:sz w:val="14"/>
                  <w:szCs w:val="14"/>
                  <w:color w:val="0000EE"/>
                  <w:w w:val="94"/>
                </w:rPr>
                <w:t>Pre-Effective Amendment No. 3 to the Registration Statement on Form N-2 (File No. 333-170243), filed on March 29, 2011).</w:t>
              </w:r>
            </w:hyperlink>
          </w:p>
        </w:tc>
        <w:tc>
          <w:tcPr>
            <w:tcW w:w="2860" w:type="dxa"/>
            <w:vAlign w:val="bottom"/>
            <w:tcBorders>
              <w:top w:val="single" w:sz="8" w:color="0000EE"/>
            </w:tcBorders>
            <w:gridSpan w:val="2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w w:val="87"/>
              </w:rPr>
              <w:t>10.2</w:t>
            </w:r>
          </w:p>
        </w:tc>
        <w:tc>
          <w:tcPr>
            <w:tcW w:w="10260" w:type="dxa"/>
            <w:vAlign w:val="bottom"/>
            <w:gridSpan w:val="40"/>
          </w:tcPr>
          <w:p>
            <w:pPr>
              <w:spacing w:after="0"/>
              <w:rPr>
                <w:rFonts w:ascii="Arial" w:cs="Arial" w:eastAsia="Arial" w:hAnsi="Arial"/>
                <w:sz w:val="14"/>
                <w:szCs w:val="14"/>
                <w:color w:val="0000EE"/>
                <w:w w:val="96"/>
              </w:rPr>
            </w:pPr>
            <w:hyperlink r:id="rId135">
              <w:r>
                <w:rPr>
                  <w:rFonts w:ascii="Arial" w:cs="Arial" w:eastAsia="Arial" w:hAnsi="Arial"/>
                  <w:sz w:val="14"/>
                  <w:szCs w:val="14"/>
                  <w:color w:val="0000EE"/>
                  <w:w w:val="96"/>
                </w:rPr>
                <w:t>Dividend Reinvestment Plan (Incorporated by reference to Exhibit 99(e) to the Registrant’s Pre-Effective Amendment No. 3 to the Registration Statement on Form N-2 (File</w:t>
              </w:r>
            </w:hyperlink>
          </w:p>
        </w:tc>
      </w:tr>
      <w:tr>
        <w:trPr>
          <w:trHeight w:val="128"/>
        </w:trPr>
        <w:tc>
          <w:tcPr>
            <w:tcW w:w="1040" w:type="dxa"/>
            <w:vAlign w:val="bottom"/>
          </w:tcPr>
          <w:p>
            <w:pPr>
              <w:spacing w:after="0"/>
              <w:rPr>
                <w:sz w:val="11"/>
                <w:szCs w:val="11"/>
                <w:color w:val="auto"/>
              </w:rPr>
            </w:pPr>
          </w:p>
        </w:tc>
        <w:tc>
          <w:tcPr>
            <w:tcW w:w="9980" w:type="dxa"/>
            <w:vAlign w:val="bottom"/>
            <w:tcBorders>
              <w:top w:val="single" w:sz="8" w:color="0000EE"/>
            </w:tcBorders>
            <w:gridSpan w:val="26"/>
          </w:tcPr>
          <w:p>
            <w:pPr>
              <w:spacing w:after="0" w:line="129" w:lineRule="exact"/>
              <w:rPr>
                <w:rFonts w:ascii="Arial" w:cs="Arial" w:eastAsia="Arial" w:hAnsi="Arial"/>
                <w:sz w:val="14"/>
                <w:szCs w:val="14"/>
                <w:color w:val="0000EE"/>
              </w:rPr>
            </w:pPr>
            <w:hyperlink r:id="rId135">
              <w:r>
                <w:rPr>
                  <w:rFonts w:ascii="Arial" w:cs="Arial" w:eastAsia="Arial" w:hAnsi="Arial"/>
                  <w:sz w:val="14"/>
                  <w:szCs w:val="14"/>
                  <w:color w:val="0000EE"/>
                </w:rPr>
                <w:t>No. 333-170243), filed on March 29, 2011).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w w:val="87"/>
              </w:rPr>
              <w:t>10.3</w:t>
            </w:r>
          </w:p>
        </w:tc>
        <w:tc>
          <w:tcPr>
            <w:tcW w:w="10260" w:type="dxa"/>
            <w:vAlign w:val="bottom"/>
            <w:gridSpan w:val="40"/>
          </w:tcPr>
          <w:p>
            <w:pPr>
              <w:spacing w:after="0"/>
              <w:rPr>
                <w:rFonts w:ascii="Arial" w:cs="Arial" w:eastAsia="Arial" w:hAnsi="Arial"/>
                <w:sz w:val="14"/>
                <w:szCs w:val="14"/>
                <w:color w:val="0000EE"/>
                <w:w w:val="94"/>
              </w:rPr>
            </w:pPr>
            <w:hyperlink r:id="rId136">
              <w:r>
                <w:rPr>
                  <w:rFonts w:ascii="Arial" w:cs="Arial" w:eastAsia="Arial" w:hAnsi="Arial"/>
                  <w:sz w:val="14"/>
                  <w:szCs w:val="14"/>
                  <w:color w:val="0000EE"/>
                  <w:w w:val="94"/>
                </w:rPr>
                <w:t>Second Amended and Restated Investment Advisory Agreement, dated as of February 2, 2016, between PennantPark Floating Rate Capital Ltd. and PennantPark Investment</w:t>
              </w:r>
            </w:hyperlink>
          </w:p>
        </w:tc>
      </w:tr>
      <w:tr>
        <w:trPr>
          <w:trHeight w:val="128"/>
        </w:trPr>
        <w:tc>
          <w:tcPr>
            <w:tcW w:w="1040" w:type="dxa"/>
            <w:vAlign w:val="bottom"/>
          </w:tcPr>
          <w:p>
            <w:pPr>
              <w:spacing w:after="0"/>
              <w:rPr>
                <w:sz w:val="11"/>
                <w:szCs w:val="11"/>
                <w:color w:val="auto"/>
              </w:rPr>
            </w:pPr>
          </w:p>
        </w:tc>
        <w:tc>
          <w:tcPr>
            <w:tcW w:w="8280" w:type="dxa"/>
            <w:vAlign w:val="bottom"/>
            <w:tcBorders>
              <w:top w:val="single" w:sz="8" w:color="0000EE"/>
              <w:bottom w:val="single" w:sz="8" w:color="0000EE"/>
            </w:tcBorders>
            <w:gridSpan w:val="13"/>
          </w:tcPr>
          <w:p>
            <w:pPr>
              <w:spacing w:after="0" w:line="129" w:lineRule="exact"/>
              <w:rPr>
                <w:rFonts w:ascii="Arial" w:cs="Arial" w:eastAsia="Arial" w:hAnsi="Arial"/>
                <w:sz w:val="14"/>
                <w:szCs w:val="14"/>
                <w:color w:val="0000EE"/>
                <w:w w:val="94"/>
              </w:rPr>
            </w:pPr>
            <w:hyperlink r:id="rId136">
              <w:r>
                <w:rPr>
                  <w:rFonts w:ascii="Arial" w:cs="Arial" w:eastAsia="Arial" w:hAnsi="Arial"/>
                  <w:sz w:val="14"/>
                  <w:szCs w:val="14"/>
                  <w:color w:val="0000EE"/>
                  <w:w w:val="94"/>
                </w:rPr>
                <w:t>Advisers, LLC (Incorporated by reference to the Registrant’s Quarterly Report on Form 10-Q (File No. 814-00891), filed on February 4, 2016).</w:t>
              </w:r>
            </w:hyperlink>
          </w:p>
        </w:tc>
        <w:tc>
          <w:tcPr>
            <w:tcW w:w="1720" w:type="dxa"/>
            <w:vAlign w:val="bottom"/>
            <w:tcBorders>
              <w:top w:val="single" w:sz="8" w:color="0000EE"/>
            </w:tcBorders>
            <w:gridSpan w:val="1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w w:val="87"/>
              </w:rPr>
              <w:t>10.4</w:t>
            </w:r>
          </w:p>
        </w:tc>
        <w:tc>
          <w:tcPr>
            <w:tcW w:w="10260" w:type="dxa"/>
            <w:vAlign w:val="bottom"/>
            <w:gridSpan w:val="40"/>
          </w:tcPr>
          <w:p>
            <w:pPr>
              <w:spacing w:after="0"/>
              <w:rPr>
                <w:rFonts w:ascii="Arial" w:cs="Arial" w:eastAsia="Arial" w:hAnsi="Arial"/>
                <w:sz w:val="14"/>
                <w:szCs w:val="14"/>
                <w:color w:val="0000EE"/>
                <w:w w:val="94"/>
              </w:rPr>
            </w:pPr>
            <w:hyperlink r:id="rId137">
              <w:r>
                <w:rPr>
                  <w:rFonts w:ascii="Arial" w:cs="Arial" w:eastAsia="Arial" w:hAnsi="Arial"/>
                  <w:sz w:val="14"/>
                  <w:szCs w:val="14"/>
                  <w:color w:val="0000EE"/>
                  <w:w w:val="94"/>
                </w:rPr>
                <w:t>Limited Liability Company Agreement of PennantPark Senior Secured Loan Fund I LLC, dated as of May 4, 2017, by and between PennantPark Floating Rate Capital Ltd. and</w:t>
              </w:r>
            </w:hyperlink>
          </w:p>
        </w:tc>
      </w:tr>
      <w:tr>
        <w:trPr>
          <w:trHeight w:val="129"/>
        </w:trPr>
        <w:tc>
          <w:tcPr>
            <w:tcW w:w="1040" w:type="dxa"/>
            <w:vAlign w:val="bottom"/>
          </w:tcPr>
          <w:p>
            <w:pPr>
              <w:spacing w:after="0"/>
              <w:rPr>
                <w:sz w:val="11"/>
                <w:szCs w:val="11"/>
                <w:color w:val="auto"/>
              </w:rPr>
            </w:pPr>
          </w:p>
        </w:tc>
        <w:tc>
          <w:tcPr>
            <w:tcW w:w="10180" w:type="dxa"/>
            <w:vAlign w:val="bottom"/>
            <w:tcBorders>
              <w:top w:val="single" w:sz="8" w:color="0000EE"/>
            </w:tcBorders>
            <w:gridSpan w:val="36"/>
          </w:tcPr>
          <w:p>
            <w:pPr>
              <w:spacing w:after="0" w:line="129" w:lineRule="exact"/>
              <w:rPr>
                <w:rFonts w:ascii="Arial" w:cs="Arial" w:eastAsia="Arial" w:hAnsi="Arial"/>
                <w:sz w:val="14"/>
                <w:szCs w:val="14"/>
                <w:color w:val="0000EE"/>
                <w:w w:val="96"/>
              </w:rPr>
            </w:pPr>
            <w:hyperlink r:id="rId137">
              <w:r>
                <w:rPr>
                  <w:rFonts w:ascii="Arial" w:cs="Arial" w:eastAsia="Arial" w:hAnsi="Arial"/>
                  <w:sz w:val="14"/>
                  <w:szCs w:val="14"/>
                  <w:color w:val="0000EE"/>
                  <w:w w:val="96"/>
                </w:rPr>
                <w:t>Trinity Universal Insurance Company (Incorporated by reference to Exhibit 10.1 to the Registrant’s Quarterly Report on Form 10-Q (File No. 814-00891), filed on August 8,</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1040" w:type="dxa"/>
            <w:vAlign w:val="bottom"/>
          </w:tcPr>
          <w:p>
            <w:pPr>
              <w:spacing w:after="0"/>
              <w:rPr>
                <w:sz w:val="11"/>
                <w:szCs w:val="11"/>
                <w:color w:val="auto"/>
              </w:rPr>
            </w:pPr>
          </w:p>
        </w:tc>
        <w:tc>
          <w:tcPr>
            <w:tcW w:w="40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95"/>
              </w:rPr>
            </w:pPr>
            <w:hyperlink r:id="rId137">
              <w:r>
                <w:rPr>
                  <w:rFonts w:ascii="Arial" w:cs="Arial" w:eastAsia="Arial" w:hAnsi="Arial"/>
                  <w:sz w:val="14"/>
                  <w:szCs w:val="14"/>
                  <w:color w:val="0000EE"/>
                  <w:w w:val="95"/>
                </w:rPr>
                <w:t>2017).</w:t>
              </w:r>
            </w:hyperlink>
          </w:p>
        </w:tc>
        <w:tc>
          <w:tcPr>
            <w:tcW w:w="66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30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1580" w:type="dxa"/>
            <w:vAlign w:val="bottom"/>
            <w:tcBorders>
              <w:top w:val="single" w:sz="8" w:color="0000EE"/>
            </w:tcBorders>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6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10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w w:val="87"/>
              </w:rPr>
              <w:t>10.5</w:t>
            </w:r>
          </w:p>
        </w:tc>
        <w:tc>
          <w:tcPr>
            <w:tcW w:w="10260" w:type="dxa"/>
            <w:vAlign w:val="bottom"/>
            <w:gridSpan w:val="40"/>
          </w:tcPr>
          <w:p>
            <w:pPr>
              <w:spacing w:after="0"/>
              <w:rPr>
                <w:rFonts w:ascii="Arial" w:cs="Arial" w:eastAsia="Arial" w:hAnsi="Arial"/>
                <w:sz w:val="14"/>
                <w:szCs w:val="14"/>
                <w:color w:val="0000EE"/>
                <w:w w:val="98"/>
              </w:rPr>
            </w:pPr>
            <w:hyperlink r:id="rId138">
              <w:r>
                <w:rPr>
                  <w:rFonts w:ascii="Arial" w:cs="Arial" w:eastAsia="Arial" w:hAnsi="Arial"/>
                  <w:sz w:val="14"/>
                  <w:szCs w:val="14"/>
                  <w:color w:val="0000EE"/>
                  <w:w w:val="98"/>
                </w:rPr>
                <w:t>Indemnification Agreement, dated as of November 15, 2016, between PennantPark Floating Rate Capital Ltd. and each of the directors and officers listed on Schedule A</w:t>
              </w:r>
            </w:hyperlink>
          </w:p>
        </w:tc>
      </w:tr>
      <w:tr>
        <w:trPr>
          <w:trHeight w:val="128"/>
        </w:trPr>
        <w:tc>
          <w:tcPr>
            <w:tcW w:w="1040" w:type="dxa"/>
            <w:vAlign w:val="bottom"/>
          </w:tcPr>
          <w:p>
            <w:pPr>
              <w:spacing w:after="0"/>
              <w:rPr>
                <w:sz w:val="11"/>
                <w:szCs w:val="11"/>
                <w:color w:val="auto"/>
              </w:rPr>
            </w:pPr>
          </w:p>
        </w:tc>
        <w:tc>
          <w:tcPr>
            <w:tcW w:w="9720" w:type="dxa"/>
            <w:vAlign w:val="bottom"/>
            <w:tcBorders>
              <w:top w:val="single" w:sz="8" w:color="0000EE"/>
            </w:tcBorders>
            <w:gridSpan w:val="19"/>
          </w:tcPr>
          <w:p>
            <w:pPr>
              <w:spacing w:after="0" w:line="129" w:lineRule="exact"/>
              <w:rPr>
                <w:rFonts w:ascii="Arial" w:cs="Arial" w:eastAsia="Arial" w:hAnsi="Arial"/>
                <w:sz w:val="14"/>
                <w:szCs w:val="14"/>
                <w:color w:val="0000EE"/>
                <w:w w:val="99"/>
              </w:rPr>
            </w:pPr>
            <w:hyperlink r:id="rId138">
              <w:r>
                <w:rPr>
                  <w:rFonts w:ascii="Arial" w:cs="Arial" w:eastAsia="Arial" w:hAnsi="Arial"/>
                  <w:sz w:val="14"/>
                  <w:szCs w:val="14"/>
                  <w:color w:val="0000EE"/>
                  <w:w w:val="99"/>
                </w:rPr>
                <w:t>attached thereto (Incorporated by reference to Exhibit 10.6 to the Registrant’s Annual Report on Form 10-K (File No. 814-00891) filed on November 22, 2016).</w:t>
              </w:r>
            </w:hyperlink>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400" w:type="dxa"/>
            <w:vAlign w:val="bottom"/>
            <w:gridSpan w:val="5"/>
            <w:shd w:val="clear" w:color="auto" w:fill="0000EE"/>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w w:val="87"/>
              </w:rPr>
              <w:t>10.6</w:t>
            </w:r>
          </w:p>
        </w:tc>
        <w:tc>
          <w:tcPr>
            <w:tcW w:w="9780" w:type="dxa"/>
            <w:vAlign w:val="bottom"/>
            <w:tcBorders>
              <w:bottom w:val="single" w:sz="8" w:color="0000EE"/>
            </w:tcBorders>
            <w:gridSpan w:val="20"/>
          </w:tcPr>
          <w:p>
            <w:pPr>
              <w:spacing w:after="0"/>
              <w:rPr>
                <w:rFonts w:ascii="Arial" w:cs="Arial" w:eastAsia="Arial" w:hAnsi="Arial"/>
                <w:sz w:val="14"/>
                <w:szCs w:val="14"/>
                <w:color w:val="0000EE"/>
                <w:w w:val="93"/>
              </w:rPr>
            </w:pPr>
            <w:hyperlink r:id="rId139">
              <w:r>
                <w:rPr>
                  <w:rFonts w:ascii="Arial" w:cs="Arial" w:eastAsia="Arial" w:hAnsi="Arial"/>
                  <w:sz w:val="14"/>
                  <w:szCs w:val="14"/>
                  <w:color w:val="0000EE"/>
                  <w:w w:val="93"/>
                </w:rPr>
                <w:t>Credit Agreement, dated as of September 19, 2019, by and among PennantPark CLO I, Ltd., as borrower, PennantPark CLO I, LLC, as co-borrower, the various financial</w:t>
              </w:r>
            </w:hyperlink>
          </w:p>
        </w:tc>
        <w:tc>
          <w:tcPr>
            <w:tcW w:w="480" w:type="dxa"/>
            <w:vAlign w:val="bottom"/>
            <w:gridSpan w:val="20"/>
          </w:tcPr>
          <w:p>
            <w:pPr>
              <w:spacing w:after="0"/>
              <w:rPr>
                <w:sz w:val="21"/>
                <w:szCs w:val="21"/>
                <w:color w:val="auto"/>
              </w:rPr>
            </w:pPr>
          </w:p>
        </w:tc>
      </w:tr>
      <w:tr>
        <w:trPr>
          <w:trHeight w:val="129"/>
        </w:trPr>
        <w:tc>
          <w:tcPr>
            <w:tcW w:w="1040" w:type="dxa"/>
            <w:vAlign w:val="bottom"/>
          </w:tcPr>
          <w:p>
            <w:pPr>
              <w:spacing w:after="0"/>
              <w:rPr>
                <w:sz w:val="11"/>
                <w:szCs w:val="11"/>
                <w:color w:val="auto"/>
              </w:rPr>
            </w:pPr>
          </w:p>
        </w:tc>
        <w:tc>
          <w:tcPr>
            <w:tcW w:w="10260" w:type="dxa"/>
            <w:vAlign w:val="bottom"/>
            <w:gridSpan w:val="40"/>
          </w:tcPr>
          <w:p>
            <w:pPr>
              <w:spacing w:after="0" w:line="129" w:lineRule="exact"/>
              <w:rPr>
                <w:rFonts w:ascii="Arial" w:cs="Arial" w:eastAsia="Arial" w:hAnsi="Arial"/>
                <w:sz w:val="14"/>
                <w:szCs w:val="14"/>
                <w:color w:val="0000EE"/>
                <w:w w:val="95"/>
              </w:rPr>
            </w:pPr>
            <w:hyperlink r:id="rId139">
              <w:r>
                <w:rPr>
                  <w:rFonts w:ascii="Arial" w:cs="Arial" w:eastAsia="Arial" w:hAnsi="Arial"/>
                  <w:sz w:val="14"/>
                  <w:szCs w:val="14"/>
                  <w:color w:val="0000EE"/>
                  <w:w w:val="95"/>
                </w:rPr>
                <w:t>institutions party thereto from time to time, as lenders, and U.S. Bank National Association, as collateral agent and as loan agent (Incorporated by reference to Exhibit 99.3 to</w:t>
              </w:r>
            </w:hyperlink>
          </w:p>
        </w:tc>
      </w:tr>
      <w:tr>
        <w:trPr>
          <w:trHeight w:val="128"/>
        </w:trPr>
        <w:tc>
          <w:tcPr>
            <w:tcW w:w="1040" w:type="dxa"/>
            <w:vAlign w:val="bottom"/>
          </w:tcPr>
          <w:p>
            <w:pPr>
              <w:spacing w:after="0"/>
              <w:rPr>
                <w:sz w:val="11"/>
                <w:szCs w:val="11"/>
                <w:color w:val="auto"/>
              </w:rPr>
            </w:pPr>
          </w:p>
        </w:tc>
        <w:tc>
          <w:tcPr>
            <w:tcW w:w="10080" w:type="dxa"/>
            <w:vAlign w:val="bottom"/>
            <w:tcBorders>
              <w:top w:val="single" w:sz="8" w:color="0000EE"/>
            </w:tcBorders>
            <w:gridSpan w:val="31"/>
          </w:tcPr>
          <w:p>
            <w:pPr>
              <w:spacing w:after="0" w:line="129" w:lineRule="exact"/>
              <w:rPr>
                <w:rFonts w:ascii="Arial" w:cs="Arial" w:eastAsia="Arial" w:hAnsi="Arial"/>
                <w:sz w:val="14"/>
                <w:szCs w:val="14"/>
                <w:color w:val="0000EE"/>
              </w:rPr>
            </w:pPr>
            <w:hyperlink r:id="rId139">
              <w:r>
                <w:rPr>
                  <w:rFonts w:ascii="Arial" w:cs="Arial" w:eastAsia="Arial" w:hAnsi="Arial"/>
                  <w:sz w:val="14"/>
                  <w:szCs w:val="14"/>
                  <w:color w:val="0000EE"/>
                </w:rPr>
                <w:t>the Registrant’s Current Report on Form 8-K (File No. 814-00891), filed on September 20, 2019).</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400" w:type="dxa"/>
            <w:vAlign w:val="bottom"/>
            <w:gridSpan w:val="5"/>
            <w:shd w:val="clear" w:color="auto" w:fill="0000EE"/>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w w:val="87"/>
              </w:rPr>
              <w:t>10.7</w:t>
            </w:r>
          </w:p>
        </w:tc>
        <w:tc>
          <w:tcPr>
            <w:tcW w:w="10260" w:type="dxa"/>
            <w:vAlign w:val="bottom"/>
            <w:gridSpan w:val="40"/>
          </w:tcPr>
          <w:p>
            <w:pPr>
              <w:spacing w:after="0"/>
              <w:rPr>
                <w:rFonts w:ascii="Arial" w:cs="Arial" w:eastAsia="Arial" w:hAnsi="Arial"/>
                <w:sz w:val="14"/>
                <w:szCs w:val="14"/>
                <w:color w:val="0000EE"/>
                <w:w w:val="95"/>
              </w:rPr>
            </w:pPr>
            <w:hyperlink r:id="rId140">
              <w:r>
                <w:rPr>
                  <w:rFonts w:ascii="Arial" w:cs="Arial" w:eastAsia="Arial" w:hAnsi="Arial"/>
                  <w:sz w:val="14"/>
                  <w:szCs w:val="14"/>
                  <w:color w:val="0000EE"/>
                  <w:w w:val="95"/>
                </w:rPr>
                <w:t>Collateral Management Agreement, dated as of September 19, 2019, between PennantPark CLO I, Ltd., as issuer, and PennantPark Investment Advisers, LLC, as collateral</w:t>
              </w:r>
            </w:hyperlink>
          </w:p>
        </w:tc>
      </w:tr>
      <w:tr>
        <w:trPr>
          <w:trHeight w:val="129"/>
        </w:trPr>
        <w:tc>
          <w:tcPr>
            <w:tcW w:w="1040" w:type="dxa"/>
            <w:vAlign w:val="bottom"/>
          </w:tcPr>
          <w:p>
            <w:pPr>
              <w:spacing w:after="0"/>
              <w:rPr>
                <w:sz w:val="11"/>
                <w:szCs w:val="11"/>
                <w:color w:val="auto"/>
              </w:rPr>
            </w:pPr>
          </w:p>
        </w:tc>
        <w:tc>
          <w:tcPr>
            <w:tcW w:w="8800" w:type="dxa"/>
            <w:vAlign w:val="bottom"/>
            <w:tcBorders>
              <w:top w:val="single" w:sz="8" w:color="0000EE"/>
              <w:bottom w:val="single" w:sz="8" w:color="0000EE"/>
            </w:tcBorders>
            <w:gridSpan w:val="15"/>
          </w:tcPr>
          <w:p>
            <w:pPr>
              <w:spacing w:after="0" w:line="129" w:lineRule="exact"/>
              <w:rPr>
                <w:rFonts w:ascii="Arial" w:cs="Arial" w:eastAsia="Arial" w:hAnsi="Arial"/>
                <w:sz w:val="14"/>
                <w:szCs w:val="14"/>
                <w:color w:val="0000EE"/>
                <w:w w:val="93"/>
              </w:rPr>
            </w:pPr>
            <w:hyperlink r:id="rId140">
              <w:r>
                <w:rPr>
                  <w:rFonts w:ascii="Arial" w:cs="Arial" w:eastAsia="Arial" w:hAnsi="Arial"/>
                  <w:sz w:val="14"/>
                  <w:szCs w:val="14"/>
                  <w:color w:val="0000EE"/>
                  <w:w w:val="93"/>
                </w:rPr>
                <w:t>manager (Incorporated by reference to Exhibit 99.4 to the Registrant’s Current Report on Form 8-K (File No. 814-00891), filed on September 20, 2019).</w:t>
              </w:r>
            </w:hyperlink>
          </w:p>
        </w:tc>
        <w:tc>
          <w:tcPr>
            <w:tcW w:w="1080" w:type="dxa"/>
            <w:vAlign w:val="bottom"/>
            <w:tcBorders>
              <w:top w:val="single" w:sz="8" w:color="0000EE"/>
            </w:tcBorders>
            <w:gridSpan w:val="9"/>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w w:val="87"/>
              </w:rPr>
              <w:t>10.8</w:t>
            </w:r>
          </w:p>
        </w:tc>
        <w:tc>
          <w:tcPr>
            <w:tcW w:w="10260" w:type="dxa"/>
            <w:vAlign w:val="bottom"/>
            <w:gridSpan w:val="40"/>
          </w:tcPr>
          <w:p>
            <w:pPr>
              <w:spacing w:after="0"/>
              <w:rPr>
                <w:rFonts w:ascii="Arial" w:cs="Arial" w:eastAsia="Arial" w:hAnsi="Arial"/>
                <w:sz w:val="14"/>
                <w:szCs w:val="14"/>
                <w:color w:val="0000EE"/>
                <w:w w:val="95"/>
              </w:rPr>
            </w:pPr>
            <w:hyperlink r:id="rId141">
              <w:r>
                <w:rPr>
                  <w:rFonts w:ascii="Arial" w:cs="Arial" w:eastAsia="Arial" w:hAnsi="Arial"/>
                  <w:sz w:val="14"/>
                  <w:szCs w:val="14"/>
                  <w:color w:val="0000EE"/>
                  <w:w w:val="95"/>
                </w:rPr>
                <w:t>Master Loan Sale Agreement, dated as of September 19, 2019, among PennantPark Floating Rate Capital Ltd., as seller, PennantPark CLO I Depositor, LLC, as intermediate</w:t>
              </w:r>
            </w:hyperlink>
          </w:p>
        </w:tc>
      </w:tr>
      <w:tr>
        <w:trPr>
          <w:trHeight w:val="129"/>
        </w:trPr>
        <w:tc>
          <w:tcPr>
            <w:tcW w:w="1040" w:type="dxa"/>
            <w:vAlign w:val="bottom"/>
          </w:tcPr>
          <w:p>
            <w:pPr>
              <w:spacing w:after="0"/>
              <w:rPr>
                <w:sz w:val="11"/>
                <w:szCs w:val="11"/>
                <w:color w:val="auto"/>
              </w:rPr>
            </w:pPr>
          </w:p>
        </w:tc>
        <w:tc>
          <w:tcPr>
            <w:tcW w:w="10020" w:type="dxa"/>
            <w:vAlign w:val="bottom"/>
            <w:tcBorders>
              <w:top w:val="single" w:sz="8" w:color="0000EE"/>
            </w:tcBorders>
            <w:gridSpan w:val="28"/>
          </w:tcPr>
          <w:p>
            <w:pPr>
              <w:spacing w:after="0" w:line="129" w:lineRule="exact"/>
              <w:rPr>
                <w:rFonts w:ascii="Arial" w:cs="Arial" w:eastAsia="Arial" w:hAnsi="Arial"/>
                <w:sz w:val="14"/>
                <w:szCs w:val="14"/>
                <w:color w:val="0000EE"/>
                <w:w w:val="97"/>
              </w:rPr>
            </w:pPr>
            <w:hyperlink r:id="rId141">
              <w:r>
                <w:rPr>
                  <w:rFonts w:ascii="Arial" w:cs="Arial" w:eastAsia="Arial" w:hAnsi="Arial"/>
                  <w:sz w:val="14"/>
                  <w:szCs w:val="14"/>
                  <w:color w:val="0000EE"/>
                  <w:w w:val="97"/>
                </w:rPr>
                <w:t>seller, and PennantPark CLO I, Ltd., as buyer (Incorporated by reference to Exhibit 99.5 to the Registrant’s Current Report on Form 8-K (File No. 814-00891), filed on</w:t>
              </w:r>
            </w:hyperlink>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1040" w:type="dxa"/>
            <w:vAlign w:val="bottom"/>
          </w:tcPr>
          <w:p>
            <w:pPr>
              <w:spacing w:after="0"/>
              <w:rPr>
                <w:sz w:val="11"/>
                <w:szCs w:val="11"/>
                <w:color w:val="auto"/>
              </w:rPr>
            </w:pPr>
          </w:p>
        </w:tc>
        <w:tc>
          <w:tcPr>
            <w:tcW w:w="9660" w:type="dxa"/>
            <w:vAlign w:val="bottom"/>
            <w:tcBorders>
              <w:top w:val="single" w:sz="8" w:color="0000EE"/>
            </w:tcBorders>
            <w:gridSpan w:val="18"/>
          </w:tcPr>
          <w:p>
            <w:pPr>
              <w:spacing w:after="0" w:line="129" w:lineRule="exact"/>
              <w:rPr>
                <w:rFonts w:ascii="Arial" w:cs="Arial" w:eastAsia="Arial" w:hAnsi="Arial"/>
                <w:sz w:val="14"/>
                <w:szCs w:val="14"/>
                <w:color w:val="0000EE"/>
              </w:rPr>
            </w:pPr>
            <w:hyperlink r:id="rId141">
              <w:r>
                <w:rPr>
                  <w:rFonts w:ascii="Arial" w:cs="Arial" w:eastAsia="Arial" w:hAnsi="Arial"/>
                  <w:sz w:val="14"/>
                  <w:szCs w:val="14"/>
                  <w:color w:val="0000EE"/>
                </w:rPr>
                <w:t>September 20, 2019).</w:t>
              </w:r>
            </w:hyperlink>
          </w:p>
        </w:tc>
        <w:tc>
          <w:tcPr>
            <w:tcW w:w="1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140" w:type="dxa"/>
            <w:vAlign w:val="bottom"/>
            <w:gridSpan w:val="7"/>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020" w:type="dxa"/>
            <w:vAlign w:val="bottom"/>
            <w:gridSpan w:val="8"/>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4"/>
                <w:szCs w:val="14"/>
                <w:color w:val="auto"/>
              </w:rPr>
              <w:t>10.10</w:t>
            </w:r>
          </w:p>
        </w:tc>
        <w:tc>
          <w:tcPr>
            <w:tcW w:w="10260" w:type="dxa"/>
            <w:vAlign w:val="bottom"/>
            <w:gridSpan w:val="40"/>
          </w:tcPr>
          <w:p>
            <w:pPr>
              <w:spacing w:after="0"/>
              <w:rPr>
                <w:rFonts w:ascii="Arial" w:cs="Arial" w:eastAsia="Arial" w:hAnsi="Arial"/>
                <w:sz w:val="14"/>
                <w:szCs w:val="14"/>
                <w:color w:val="0000EE"/>
                <w:w w:val="98"/>
              </w:rPr>
            </w:pPr>
            <w:hyperlink r:id="rId142">
              <w:r>
                <w:rPr>
                  <w:rFonts w:ascii="Arial" w:cs="Arial" w:eastAsia="Arial" w:hAnsi="Arial"/>
                  <w:sz w:val="14"/>
                  <w:szCs w:val="14"/>
                  <w:color w:val="0000EE"/>
                  <w:w w:val="98"/>
                </w:rPr>
                <w:t>Master Participation Agreement, dated as of September 19, 2019, between PennantPark Floating Rate Funding I, LLC, as seller and PennantPark CLO I, Ltd., as buyer</w:t>
              </w:r>
            </w:hyperlink>
          </w:p>
        </w:tc>
      </w:tr>
      <w:tr>
        <w:trPr>
          <w:trHeight w:val="129"/>
        </w:trPr>
        <w:tc>
          <w:tcPr>
            <w:tcW w:w="1040" w:type="dxa"/>
            <w:vAlign w:val="bottom"/>
          </w:tcPr>
          <w:p>
            <w:pPr>
              <w:spacing w:after="0"/>
              <w:rPr>
                <w:sz w:val="11"/>
                <w:szCs w:val="11"/>
                <w:color w:val="auto"/>
              </w:rPr>
            </w:pPr>
          </w:p>
        </w:tc>
        <w:tc>
          <w:tcPr>
            <w:tcW w:w="9620" w:type="dxa"/>
            <w:vAlign w:val="bottom"/>
            <w:tcBorders>
              <w:top w:val="single" w:sz="8" w:color="0000EE"/>
            </w:tcBorders>
            <w:gridSpan w:val="17"/>
          </w:tcPr>
          <w:p>
            <w:pPr>
              <w:spacing w:after="0" w:line="129" w:lineRule="exact"/>
              <w:rPr>
                <w:rFonts w:ascii="Arial" w:cs="Arial" w:eastAsia="Arial" w:hAnsi="Arial"/>
                <w:sz w:val="14"/>
                <w:szCs w:val="14"/>
                <w:color w:val="0000EE"/>
              </w:rPr>
            </w:pPr>
            <w:hyperlink r:id="rId142">
              <w:r>
                <w:rPr>
                  <w:rFonts w:ascii="Arial" w:cs="Arial" w:eastAsia="Arial" w:hAnsi="Arial"/>
                  <w:sz w:val="14"/>
                  <w:szCs w:val="14"/>
                  <w:color w:val="0000EE"/>
                </w:rPr>
                <w:t>(Incorporated by reference to Exhibit 99.6 to the Registrant’s Current Report on Form 8-K (File No. 814-00891), filed on September 20, 2019).</w:t>
              </w:r>
            </w:hyperlink>
          </w:p>
        </w:tc>
        <w:tc>
          <w:tcPr>
            <w:tcW w:w="20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140" w:type="dxa"/>
            <w:vAlign w:val="bottom"/>
            <w:gridSpan w:val="7"/>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80" w:type="dxa"/>
            <w:vAlign w:val="bottom"/>
            <w:gridSpan w:val="11"/>
            <w:shd w:val="clear" w:color="auto" w:fill="0000EE"/>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4"/>
                <w:szCs w:val="14"/>
                <w:color w:val="auto"/>
              </w:rPr>
              <w:t>10.11</w:t>
            </w:r>
          </w:p>
        </w:tc>
        <w:tc>
          <w:tcPr>
            <w:tcW w:w="10260" w:type="dxa"/>
            <w:vAlign w:val="bottom"/>
            <w:gridSpan w:val="40"/>
          </w:tcPr>
          <w:p>
            <w:pPr>
              <w:spacing w:after="0"/>
              <w:rPr>
                <w:rFonts w:ascii="Arial" w:cs="Arial" w:eastAsia="Arial" w:hAnsi="Arial"/>
                <w:sz w:val="14"/>
                <w:szCs w:val="14"/>
                <w:color w:val="0000EE"/>
                <w:w w:val="94"/>
              </w:rPr>
            </w:pPr>
            <w:hyperlink r:id="rId143">
              <w:r>
                <w:rPr>
                  <w:rFonts w:ascii="Arial" w:cs="Arial" w:eastAsia="Arial" w:hAnsi="Arial"/>
                  <w:sz w:val="14"/>
                  <w:szCs w:val="14"/>
                  <w:color w:val="0000EE"/>
                  <w:w w:val="94"/>
                </w:rPr>
                <w:t>Revolving Credit and Security Agreement, dated as of August 12, 2021, among PennantPark Floating Rate Funding I, LLC, as the borrower, PennantPark Investment Advisers,</w:t>
              </w:r>
            </w:hyperlink>
          </w:p>
        </w:tc>
      </w:tr>
      <w:tr>
        <w:trPr>
          <w:trHeight w:val="129"/>
        </w:trPr>
        <w:tc>
          <w:tcPr>
            <w:tcW w:w="1040" w:type="dxa"/>
            <w:vAlign w:val="bottom"/>
          </w:tcPr>
          <w:p>
            <w:pPr>
              <w:spacing w:after="0"/>
              <w:rPr>
                <w:sz w:val="11"/>
                <w:szCs w:val="11"/>
                <w:color w:val="auto"/>
              </w:rPr>
            </w:pPr>
          </w:p>
        </w:tc>
        <w:tc>
          <w:tcPr>
            <w:tcW w:w="10140" w:type="dxa"/>
            <w:vAlign w:val="bottom"/>
            <w:tcBorders>
              <w:top w:val="single" w:sz="8" w:color="0000EE"/>
            </w:tcBorders>
            <w:gridSpan w:val="34"/>
          </w:tcPr>
          <w:p>
            <w:pPr>
              <w:spacing w:after="0" w:line="129" w:lineRule="exact"/>
              <w:rPr>
                <w:rFonts w:ascii="Arial" w:cs="Arial" w:eastAsia="Arial" w:hAnsi="Arial"/>
                <w:sz w:val="14"/>
                <w:szCs w:val="14"/>
                <w:color w:val="0000EE"/>
                <w:w w:val="94"/>
              </w:rPr>
            </w:pPr>
            <w:hyperlink r:id="rId143">
              <w:r>
                <w:rPr>
                  <w:rFonts w:ascii="Arial" w:cs="Arial" w:eastAsia="Arial" w:hAnsi="Arial"/>
                  <w:sz w:val="14"/>
                  <w:szCs w:val="14"/>
                  <w:color w:val="0000EE"/>
                  <w:w w:val="94"/>
                </w:rPr>
                <w:t>LLC, as the collateral manager, the lenders from time to time party thereto, Truist Bank., as administrative agent, Truist Securities, Inc., as lead arranger, U.S. Bank National</w:t>
              </w:r>
            </w:hyperlink>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1040" w:type="dxa"/>
            <w:vAlign w:val="bottom"/>
          </w:tcPr>
          <w:p>
            <w:pPr>
              <w:spacing w:after="0"/>
              <w:rPr>
                <w:sz w:val="11"/>
                <w:szCs w:val="11"/>
                <w:color w:val="auto"/>
              </w:rPr>
            </w:pPr>
          </w:p>
        </w:tc>
        <w:tc>
          <w:tcPr>
            <w:tcW w:w="9840" w:type="dxa"/>
            <w:vAlign w:val="bottom"/>
            <w:tcBorders>
              <w:top w:val="single" w:sz="8" w:color="0000EE"/>
              <w:bottom w:val="single" w:sz="8" w:color="0000EE"/>
            </w:tcBorders>
            <w:gridSpan w:val="22"/>
          </w:tcPr>
          <w:p>
            <w:pPr>
              <w:spacing w:after="0" w:line="129" w:lineRule="exact"/>
              <w:rPr>
                <w:rFonts w:ascii="Arial" w:cs="Arial" w:eastAsia="Arial" w:hAnsi="Arial"/>
                <w:sz w:val="14"/>
                <w:szCs w:val="14"/>
                <w:color w:val="0000EE"/>
                <w:w w:val="93"/>
              </w:rPr>
            </w:pPr>
            <w:hyperlink r:id="rId143">
              <w:r>
                <w:rPr>
                  <w:rFonts w:ascii="Arial" w:cs="Arial" w:eastAsia="Arial" w:hAnsi="Arial"/>
                  <w:sz w:val="14"/>
                  <w:szCs w:val="14"/>
                  <w:color w:val="0000EE"/>
                  <w:w w:val="93"/>
                </w:rPr>
                <w:t>Association, as collateral agent, U.S. Bank National Association, as collateral administrator, U.S. Bank National Association, as backup collateral manager, and U.S. Bank</w:t>
              </w:r>
            </w:hyperlink>
          </w:p>
        </w:tc>
        <w:tc>
          <w:tcPr>
            <w:tcW w:w="120" w:type="dxa"/>
            <w:vAlign w:val="bottom"/>
            <w:tcBorders>
              <w:top w:val="single" w:sz="8" w:color="0000EE"/>
            </w:tcBorders>
            <w:gridSpan w:val="3"/>
          </w:tcPr>
          <w:p>
            <w:pPr>
              <w:spacing w:after="0"/>
              <w:rPr>
                <w:sz w:val="11"/>
                <w:szCs w:val="11"/>
                <w:color w:val="auto"/>
              </w:rPr>
            </w:pPr>
          </w:p>
        </w:tc>
        <w:tc>
          <w:tcPr>
            <w:tcW w:w="140" w:type="dxa"/>
            <w:vAlign w:val="bottom"/>
            <w:gridSpan w:val="7"/>
          </w:tcPr>
          <w:p>
            <w:pPr>
              <w:spacing w:after="0"/>
              <w:rPr>
                <w:sz w:val="11"/>
                <w:szCs w:val="11"/>
                <w:color w:val="auto"/>
              </w:rPr>
            </w:pPr>
          </w:p>
        </w:tc>
        <w:tc>
          <w:tcPr>
            <w:tcW w:w="14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1040" w:type="dxa"/>
            <w:vAlign w:val="bottom"/>
          </w:tcPr>
          <w:p>
            <w:pPr>
              <w:spacing w:after="0"/>
              <w:rPr>
                <w:sz w:val="11"/>
                <w:szCs w:val="11"/>
                <w:color w:val="auto"/>
              </w:rPr>
            </w:pPr>
          </w:p>
        </w:tc>
        <w:tc>
          <w:tcPr>
            <w:tcW w:w="10100" w:type="dxa"/>
            <w:vAlign w:val="bottom"/>
            <w:tcBorders>
              <w:bottom w:val="single" w:sz="8" w:color="0000EE"/>
            </w:tcBorders>
            <w:gridSpan w:val="32"/>
          </w:tcPr>
          <w:p>
            <w:pPr>
              <w:spacing w:after="0" w:line="129" w:lineRule="exact"/>
              <w:rPr>
                <w:rFonts w:ascii="Arial" w:cs="Arial" w:eastAsia="Arial" w:hAnsi="Arial"/>
                <w:sz w:val="14"/>
                <w:szCs w:val="14"/>
                <w:color w:val="0000EE"/>
                <w:w w:val="94"/>
              </w:rPr>
            </w:pPr>
            <w:hyperlink r:id="rId143">
              <w:r>
                <w:rPr>
                  <w:rFonts w:ascii="Arial" w:cs="Arial" w:eastAsia="Arial" w:hAnsi="Arial"/>
                  <w:sz w:val="14"/>
                  <w:szCs w:val="14"/>
                  <w:color w:val="0000EE"/>
                  <w:w w:val="94"/>
                </w:rPr>
                <w:t>National Association, as custodian (Incorporated by reference to Exhibit 10.1 to the Registrant’s Current Report on Form 8-K (File No. 814-00891), filed on August 18, 2021)</w:t>
              </w:r>
              <w:r>
                <w:rPr>
                  <w:rFonts w:ascii="Arial" w:cs="Arial" w:eastAsia="Arial" w:hAnsi="Arial"/>
                  <w:sz w:val="14"/>
                  <w:szCs w:val="14"/>
                  <w:u w:val="single" w:color="auto"/>
                  <w:color w:val="000000"/>
                  <w:w w:val="94"/>
                </w:rPr>
                <w:t>.</w:t>
              </w:r>
            </w:hyperlink>
          </w:p>
        </w:tc>
        <w:tc>
          <w:tcPr>
            <w:tcW w:w="160" w:type="dxa"/>
            <w:vAlign w:val="bottom"/>
            <w:gridSpan w:val="8"/>
          </w:tcPr>
          <w:p>
            <w:pPr>
              <w:spacing w:after="0"/>
              <w:rPr>
                <w:sz w:val="11"/>
                <w:szCs w:val="1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4"/>
                <w:szCs w:val="14"/>
                <w:color w:val="auto"/>
              </w:rPr>
              <w:t>10.12</w:t>
            </w:r>
          </w:p>
        </w:tc>
        <w:tc>
          <w:tcPr>
            <w:tcW w:w="10260" w:type="dxa"/>
            <w:vAlign w:val="bottom"/>
            <w:gridSpan w:val="40"/>
          </w:tcPr>
          <w:p>
            <w:pPr>
              <w:spacing w:after="0"/>
              <w:rPr>
                <w:rFonts w:ascii="Arial" w:cs="Arial" w:eastAsia="Arial" w:hAnsi="Arial"/>
                <w:sz w:val="14"/>
                <w:szCs w:val="14"/>
                <w:color w:val="0000EE"/>
                <w:w w:val="95"/>
              </w:rPr>
            </w:pPr>
            <w:hyperlink r:id="rId144">
              <w:r>
                <w:rPr>
                  <w:rFonts w:ascii="Arial" w:cs="Arial" w:eastAsia="Arial" w:hAnsi="Arial"/>
                  <w:sz w:val="14"/>
                  <w:szCs w:val="14"/>
                  <w:color w:val="0000EE"/>
                  <w:w w:val="95"/>
                </w:rPr>
                <w:t>Amended and Restated Purchase and Contribution Agreement, dated as of August 12, 2021, among PennantPark Floating Rate Capital Ltd., as the seller, and PennantPark</w:t>
              </w:r>
            </w:hyperlink>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40" w:type="dxa"/>
            <w:vAlign w:val="bottom"/>
            <w:gridSpan w:val="20"/>
            <w:shd w:val="clear" w:color="auto" w:fill="0000EE"/>
          </w:tcPr>
          <w:p>
            <w:pPr>
              <w:spacing w:after="0" w:line="20" w:lineRule="exact"/>
              <w:rPr>
                <w:sz w:val="1"/>
                <w:szCs w:val="1"/>
                <w:color w:val="auto"/>
              </w:rPr>
            </w:pPr>
          </w:p>
        </w:tc>
        <w:tc>
          <w:tcPr>
            <w:tcW w:w="42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8"/>
        </w:trPr>
        <w:tc>
          <w:tcPr>
            <w:tcW w:w="1040" w:type="dxa"/>
            <w:vAlign w:val="bottom"/>
          </w:tcPr>
          <w:p>
            <w:pPr>
              <w:spacing w:after="0"/>
              <w:rPr>
                <w:sz w:val="11"/>
                <w:szCs w:val="11"/>
                <w:color w:val="auto"/>
              </w:rPr>
            </w:pPr>
          </w:p>
        </w:tc>
        <w:tc>
          <w:tcPr>
            <w:tcW w:w="10260" w:type="dxa"/>
            <w:vAlign w:val="bottom"/>
            <w:tcBorders>
              <w:bottom w:val="single" w:sz="8" w:color="0000EE"/>
            </w:tcBorders>
            <w:gridSpan w:val="40"/>
          </w:tcPr>
          <w:p>
            <w:pPr>
              <w:spacing w:after="0" w:line="129" w:lineRule="exact"/>
              <w:rPr>
                <w:rFonts w:ascii="Arial" w:cs="Arial" w:eastAsia="Arial" w:hAnsi="Arial"/>
                <w:sz w:val="14"/>
                <w:szCs w:val="14"/>
                <w:color w:val="0000EE"/>
                <w:w w:val="94"/>
              </w:rPr>
            </w:pPr>
            <w:hyperlink r:id="rId144">
              <w:r>
                <w:rPr>
                  <w:rFonts w:ascii="Arial" w:cs="Arial" w:eastAsia="Arial" w:hAnsi="Arial"/>
                  <w:sz w:val="14"/>
                  <w:szCs w:val="14"/>
                  <w:color w:val="0000EE"/>
                  <w:w w:val="94"/>
                </w:rPr>
                <w:t>Floating Rate Funding I, LLC, as the buyer. (Incorporated by reference to Exhibit 10.2 to the Registrant’s Current Report on Form 8-K (File No. 814-00891), filed on August 18,</w:t>
              </w:r>
            </w:hyperlink>
          </w:p>
        </w:tc>
      </w:tr>
      <w:tr>
        <w:trPr>
          <w:trHeight w:val="128"/>
        </w:trPr>
        <w:tc>
          <w:tcPr>
            <w:tcW w:w="1040" w:type="dxa"/>
            <w:vAlign w:val="bottom"/>
          </w:tcPr>
          <w:p>
            <w:pPr>
              <w:spacing w:after="0"/>
              <w:rPr>
                <w:sz w:val="11"/>
                <w:szCs w:val="11"/>
                <w:color w:val="auto"/>
              </w:rPr>
            </w:pPr>
          </w:p>
        </w:tc>
        <w:tc>
          <w:tcPr>
            <w:tcW w:w="380" w:type="dxa"/>
            <w:vAlign w:val="bottom"/>
            <w:tcBorders>
              <w:bottom w:val="single" w:sz="8" w:color="0000EE"/>
            </w:tcBorders>
          </w:tcPr>
          <w:p>
            <w:pPr>
              <w:spacing w:after="0" w:line="129" w:lineRule="exact"/>
              <w:rPr>
                <w:rFonts w:ascii="Arial" w:cs="Arial" w:eastAsia="Arial" w:hAnsi="Arial"/>
                <w:sz w:val="14"/>
                <w:szCs w:val="14"/>
                <w:color w:val="0000EE"/>
                <w:w w:val="90"/>
              </w:rPr>
            </w:pPr>
            <w:hyperlink r:id="rId144">
              <w:r>
                <w:rPr>
                  <w:rFonts w:ascii="Arial" w:cs="Arial" w:eastAsia="Arial" w:hAnsi="Arial"/>
                  <w:sz w:val="14"/>
                  <w:szCs w:val="14"/>
                  <w:color w:val="0000EE"/>
                  <w:w w:val="90"/>
                </w:rPr>
                <w:t>2021).</w:t>
              </w:r>
            </w:hyperlink>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22"/>
        </w:trPr>
        <w:tc>
          <w:tcPr>
            <w:tcW w:w="1040" w:type="dxa"/>
            <w:vAlign w:val="bottom"/>
          </w:tcPr>
          <w:p>
            <w:pPr>
              <w:spacing w:after="0"/>
              <w:rPr>
                <w:sz w:val="24"/>
                <w:szCs w:val="24"/>
                <w:color w:val="auto"/>
              </w:rPr>
            </w:pPr>
          </w:p>
        </w:tc>
        <w:tc>
          <w:tcPr>
            <w:tcW w:w="4700" w:type="dxa"/>
            <w:vAlign w:val="bottom"/>
            <w:gridSpan w:val="7"/>
          </w:tcPr>
          <w:p>
            <w:pPr>
              <w:ind w:left="4520"/>
              <w:spacing w:after="0"/>
              <w:rPr>
                <w:sz w:val="20"/>
                <w:szCs w:val="20"/>
                <w:color w:val="auto"/>
              </w:rPr>
            </w:pPr>
            <w:r>
              <w:rPr>
                <w:rFonts w:ascii="Arial" w:cs="Arial" w:eastAsia="Arial" w:hAnsi="Arial"/>
                <w:sz w:val="14"/>
                <w:szCs w:val="14"/>
                <w:color w:val="auto"/>
              </w:rPr>
              <w:t>92</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10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4"/>
                <w:szCs w:val="14"/>
                <w:color w:val="auto"/>
              </w:rPr>
              <w:t>14.1*</w:t>
            </w:r>
          </w:p>
        </w:tc>
        <w:tc>
          <w:tcPr>
            <w:tcW w:w="9140" w:type="dxa"/>
            <w:vAlign w:val="bottom"/>
            <w:gridSpan w:val="10"/>
          </w:tcPr>
          <w:p>
            <w:pPr>
              <w:spacing w:after="0"/>
              <w:rPr>
                <w:rFonts w:ascii="Arial" w:cs="Arial" w:eastAsia="Arial" w:hAnsi="Arial"/>
                <w:sz w:val="14"/>
                <w:szCs w:val="14"/>
                <w:color w:val="0000EE"/>
              </w:rPr>
            </w:pPr>
            <w:hyperlink w:anchor="page97">
              <w:r>
                <w:rPr>
                  <w:rFonts w:ascii="Arial" w:cs="Arial" w:eastAsia="Arial" w:hAnsi="Arial"/>
                  <w:sz w:val="14"/>
                  <w:szCs w:val="14"/>
                  <w:color w:val="0000EE"/>
                </w:rPr>
                <w:t>Joint Code of Ethics of the Registrant.</w:t>
              </w:r>
            </w:hyperlink>
          </w:p>
        </w:tc>
      </w:tr>
      <w:tr>
        <w:trPr>
          <w:trHeight w:val="250"/>
        </w:trPr>
        <w:tc>
          <w:tcPr>
            <w:tcW w:w="1040" w:type="dxa"/>
            <w:vAlign w:val="bottom"/>
          </w:tcPr>
          <w:p>
            <w:pPr>
              <w:spacing w:after="0"/>
              <w:rPr>
                <w:sz w:val="20"/>
                <w:szCs w:val="20"/>
                <w:color w:val="auto"/>
              </w:rPr>
            </w:pPr>
            <w:r>
              <w:rPr>
                <w:rFonts w:ascii="Arial" w:cs="Arial" w:eastAsia="Arial" w:hAnsi="Arial"/>
                <w:sz w:val="14"/>
                <w:szCs w:val="14"/>
                <w:color w:val="auto"/>
              </w:rPr>
              <w:t>21.1*</w:t>
            </w:r>
          </w:p>
        </w:tc>
        <w:tc>
          <w:tcPr>
            <w:tcW w:w="2200" w:type="dxa"/>
            <w:vAlign w:val="bottom"/>
            <w:tcBorders>
              <w:top w:val="single" w:sz="8" w:color="0000EE"/>
            </w:tcBorders>
            <w:gridSpan w:val="3"/>
          </w:tcPr>
          <w:p>
            <w:pPr>
              <w:spacing w:after="0"/>
              <w:rPr>
                <w:rFonts w:ascii="Arial" w:cs="Arial" w:eastAsia="Arial" w:hAnsi="Arial"/>
                <w:sz w:val="14"/>
                <w:szCs w:val="14"/>
                <w:color w:val="0000EE"/>
              </w:rPr>
            </w:pPr>
            <w:hyperlink w:anchor="page102">
              <w:r>
                <w:rPr>
                  <w:rFonts w:ascii="Arial" w:cs="Arial" w:eastAsia="Arial" w:hAnsi="Arial"/>
                  <w:sz w:val="14"/>
                  <w:szCs w:val="14"/>
                  <w:color w:val="0000EE"/>
                </w:rPr>
                <w:t>Subsidiaries of the Registrant.</w:t>
              </w:r>
            </w:hyperlink>
          </w:p>
        </w:tc>
        <w:tc>
          <w:tcPr>
            <w:tcW w:w="6940" w:type="dxa"/>
            <w:vAlign w:val="bottom"/>
            <w:gridSpan w:val="7"/>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4"/>
                <w:szCs w:val="14"/>
                <w:color w:val="auto"/>
              </w:rPr>
              <w:t>23.1*</w:t>
            </w:r>
          </w:p>
        </w:tc>
        <w:tc>
          <w:tcPr>
            <w:tcW w:w="1740" w:type="dxa"/>
            <w:vAlign w:val="bottom"/>
            <w:tcBorders>
              <w:top w:val="single" w:sz="8" w:color="0000EE"/>
            </w:tcBorders>
            <w:gridSpan w:val="2"/>
          </w:tcPr>
          <w:p>
            <w:pPr>
              <w:spacing w:after="0"/>
              <w:rPr>
                <w:rFonts w:ascii="Arial" w:cs="Arial" w:eastAsia="Arial" w:hAnsi="Arial"/>
                <w:sz w:val="14"/>
                <w:szCs w:val="14"/>
                <w:color w:val="0000EE"/>
              </w:rPr>
            </w:pPr>
            <w:hyperlink w:anchor="page103">
              <w:r>
                <w:rPr>
                  <w:rFonts w:ascii="Arial" w:cs="Arial" w:eastAsia="Arial" w:hAnsi="Arial"/>
                  <w:sz w:val="14"/>
                  <w:szCs w:val="14"/>
                  <w:color w:val="0000EE"/>
                </w:rPr>
                <w:t>Consent of RSM US LLP.</w:t>
              </w:r>
            </w:hyperlink>
          </w:p>
        </w:tc>
        <w:tc>
          <w:tcPr>
            <w:tcW w:w="7400" w:type="dxa"/>
            <w:vAlign w:val="bottom"/>
            <w:gridSpan w:val="8"/>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4"/>
                <w:szCs w:val="14"/>
                <w:color w:val="auto"/>
              </w:rPr>
              <w:t>31.1*</w:t>
            </w:r>
          </w:p>
        </w:tc>
        <w:tc>
          <w:tcPr>
            <w:tcW w:w="9140" w:type="dxa"/>
            <w:vAlign w:val="bottom"/>
            <w:gridSpan w:val="10"/>
          </w:tcPr>
          <w:p>
            <w:pPr>
              <w:spacing w:after="0"/>
              <w:rPr>
                <w:rFonts w:ascii="Arial" w:cs="Arial" w:eastAsia="Arial" w:hAnsi="Arial"/>
                <w:sz w:val="14"/>
                <w:szCs w:val="14"/>
                <w:color w:val="0000EE"/>
              </w:rPr>
            </w:pPr>
            <w:hyperlink w:anchor="page104">
              <w:r>
                <w:rPr>
                  <w:rFonts w:ascii="Arial" w:cs="Arial" w:eastAsia="Arial" w:hAnsi="Arial"/>
                  <w:sz w:val="14"/>
                  <w:szCs w:val="14"/>
                  <w:color w:val="0000EE"/>
                </w:rPr>
                <w:t>Certification of Chief Executive Officer pursuant to Rule 13a-14 of the Securities Exchange Act of 1934, as amended.</w:t>
              </w:r>
            </w:hyperlink>
          </w:p>
        </w:tc>
      </w:tr>
      <w:tr>
        <w:trPr>
          <w:trHeight w:val="250"/>
        </w:trPr>
        <w:tc>
          <w:tcPr>
            <w:tcW w:w="1040" w:type="dxa"/>
            <w:vAlign w:val="bottom"/>
          </w:tcPr>
          <w:p>
            <w:pPr>
              <w:spacing w:after="0"/>
              <w:rPr>
                <w:sz w:val="20"/>
                <w:szCs w:val="20"/>
                <w:color w:val="auto"/>
              </w:rPr>
            </w:pPr>
            <w:r>
              <w:rPr>
                <w:rFonts w:ascii="Arial" w:cs="Arial" w:eastAsia="Arial" w:hAnsi="Arial"/>
                <w:sz w:val="14"/>
                <w:szCs w:val="14"/>
                <w:color w:val="auto"/>
              </w:rPr>
              <w:t>31.2*</w:t>
            </w:r>
          </w:p>
        </w:tc>
        <w:tc>
          <w:tcPr>
            <w:tcW w:w="6800" w:type="dxa"/>
            <w:vAlign w:val="bottom"/>
            <w:tcBorders>
              <w:top w:val="single" w:sz="8" w:color="0000EE"/>
            </w:tcBorders>
            <w:gridSpan w:val="8"/>
          </w:tcPr>
          <w:p>
            <w:pPr>
              <w:spacing w:after="0"/>
              <w:rPr>
                <w:rFonts w:ascii="Arial" w:cs="Arial" w:eastAsia="Arial" w:hAnsi="Arial"/>
                <w:sz w:val="14"/>
                <w:szCs w:val="14"/>
                <w:color w:val="0000EE"/>
                <w:w w:val="94"/>
              </w:rPr>
            </w:pPr>
            <w:hyperlink w:anchor="page105">
              <w:r>
                <w:rPr>
                  <w:rFonts w:ascii="Arial" w:cs="Arial" w:eastAsia="Arial" w:hAnsi="Arial"/>
                  <w:sz w:val="14"/>
                  <w:szCs w:val="14"/>
                  <w:color w:val="0000EE"/>
                  <w:w w:val="94"/>
                </w:rPr>
                <w:t>Certification of Chief Financial Officer pursuant to Rule 13a-14 of the Securities Exchange Act of 1934, as amended.</w:t>
              </w:r>
            </w:hyperlink>
          </w:p>
        </w:tc>
        <w:tc>
          <w:tcPr>
            <w:tcW w:w="2340" w:type="dxa"/>
            <w:vAlign w:val="bottom"/>
            <w:gridSpan w:val="2"/>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4"/>
                <w:szCs w:val="14"/>
                <w:color w:val="auto"/>
              </w:rPr>
              <w:t>32.1*</w:t>
            </w:r>
          </w:p>
        </w:tc>
        <w:tc>
          <w:tcPr>
            <w:tcW w:w="6760" w:type="dxa"/>
            <w:vAlign w:val="bottom"/>
            <w:tcBorders>
              <w:top w:val="single" w:sz="8" w:color="0000EE"/>
            </w:tcBorders>
            <w:gridSpan w:val="7"/>
          </w:tcPr>
          <w:p>
            <w:pPr>
              <w:spacing w:after="0"/>
              <w:rPr>
                <w:rFonts w:ascii="Arial" w:cs="Arial" w:eastAsia="Arial" w:hAnsi="Arial"/>
                <w:sz w:val="14"/>
                <w:szCs w:val="14"/>
                <w:color w:val="0000EE"/>
              </w:rPr>
            </w:pPr>
            <w:hyperlink w:anchor="page106">
              <w:r>
                <w:rPr>
                  <w:rFonts w:ascii="Arial" w:cs="Arial" w:eastAsia="Arial" w:hAnsi="Arial"/>
                  <w:sz w:val="14"/>
                  <w:szCs w:val="14"/>
                  <w:color w:val="0000EE"/>
                </w:rPr>
                <w:t>Certification of Chief Executive Officer pursuant to section 906 of the Sarbanes-Oxley Act of 2002.</w:t>
              </w:r>
            </w:hyperlink>
          </w:p>
        </w:tc>
        <w:tc>
          <w:tcPr>
            <w:tcW w:w="2380" w:type="dxa"/>
            <w:vAlign w:val="bottom"/>
            <w:gridSpan w:val="3"/>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4"/>
                <w:szCs w:val="14"/>
                <w:color w:val="auto"/>
              </w:rPr>
              <w:t>32.2*</w:t>
            </w:r>
          </w:p>
        </w:tc>
        <w:tc>
          <w:tcPr>
            <w:tcW w:w="5760" w:type="dxa"/>
            <w:vAlign w:val="bottom"/>
            <w:tcBorders>
              <w:top w:val="single" w:sz="8" w:color="0000EE"/>
            </w:tcBorders>
            <w:gridSpan w:val="6"/>
          </w:tcPr>
          <w:p>
            <w:pPr>
              <w:spacing w:after="0"/>
              <w:rPr>
                <w:rFonts w:ascii="Arial" w:cs="Arial" w:eastAsia="Arial" w:hAnsi="Arial"/>
                <w:sz w:val="14"/>
                <w:szCs w:val="14"/>
                <w:color w:val="0000EE"/>
                <w:w w:val="95"/>
              </w:rPr>
            </w:pPr>
            <w:hyperlink w:anchor="page107">
              <w:r>
                <w:rPr>
                  <w:rFonts w:ascii="Arial" w:cs="Arial" w:eastAsia="Arial" w:hAnsi="Arial"/>
                  <w:sz w:val="14"/>
                  <w:szCs w:val="14"/>
                  <w:color w:val="0000EE"/>
                  <w:w w:val="95"/>
                </w:rPr>
                <w:t>Certification of Chief Financial Officer pursuant to section 906 of the Sarbanes-Oxley Act of 2002.</w:t>
              </w:r>
            </w:hyperlink>
          </w:p>
        </w:tc>
        <w:tc>
          <w:tcPr>
            <w:tcW w:w="3380" w:type="dxa"/>
            <w:vAlign w:val="bottom"/>
            <w:gridSpan w:val="4"/>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4"/>
                <w:szCs w:val="14"/>
                <w:color w:val="auto"/>
              </w:rPr>
              <w:t>99.1</w:t>
            </w:r>
          </w:p>
        </w:tc>
        <w:tc>
          <w:tcPr>
            <w:tcW w:w="9140" w:type="dxa"/>
            <w:vAlign w:val="bottom"/>
            <w:tcBorders>
              <w:bottom w:val="single" w:sz="8" w:color="0000EE"/>
            </w:tcBorders>
            <w:gridSpan w:val="10"/>
          </w:tcPr>
          <w:p>
            <w:pPr>
              <w:spacing w:after="0"/>
              <w:rPr>
                <w:rFonts w:ascii="Arial" w:cs="Arial" w:eastAsia="Arial" w:hAnsi="Arial"/>
                <w:sz w:val="14"/>
                <w:szCs w:val="14"/>
                <w:color w:val="0000EE"/>
                <w:w w:val="94"/>
              </w:rPr>
            </w:pPr>
            <w:hyperlink r:id="rId147">
              <w:r>
                <w:rPr>
                  <w:rFonts w:ascii="Arial" w:cs="Arial" w:eastAsia="Arial" w:hAnsi="Arial"/>
                  <w:sz w:val="14"/>
                  <w:szCs w:val="14"/>
                  <w:color w:val="0000EE"/>
                  <w:w w:val="94"/>
                </w:rPr>
                <w:t>Privacy Policy of the Registrant. (Incorporated by reference to the Registrant’s Annual Report on Form 10-K (File No. 814-00891), filed November 17, 2011).</w:t>
              </w:r>
            </w:hyperlink>
          </w:p>
        </w:tc>
      </w:tr>
      <w:tr>
        <w:trPr>
          <w:trHeight w:val="250"/>
        </w:trPr>
        <w:tc>
          <w:tcPr>
            <w:tcW w:w="1040" w:type="dxa"/>
            <w:vAlign w:val="bottom"/>
          </w:tcPr>
          <w:p>
            <w:pPr>
              <w:spacing w:after="0"/>
              <w:rPr>
                <w:sz w:val="20"/>
                <w:szCs w:val="20"/>
                <w:color w:val="auto"/>
              </w:rPr>
            </w:pPr>
            <w:r>
              <w:rPr>
                <w:rFonts w:ascii="Arial" w:cs="Arial" w:eastAsia="Arial" w:hAnsi="Arial"/>
                <w:sz w:val="14"/>
                <w:szCs w:val="14"/>
                <w:color w:val="auto"/>
              </w:rPr>
              <w:t>99.2*</w:t>
            </w:r>
          </w:p>
        </w:tc>
        <w:tc>
          <w:tcPr>
            <w:tcW w:w="2960" w:type="dxa"/>
            <w:vAlign w:val="bottom"/>
            <w:tcBorders>
              <w:bottom w:val="single" w:sz="8" w:color="0000EE"/>
            </w:tcBorders>
            <w:gridSpan w:val="4"/>
          </w:tcPr>
          <w:p>
            <w:pPr>
              <w:spacing w:after="0"/>
              <w:rPr>
                <w:rFonts w:ascii="Arial" w:cs="Arial" w:eastAsia="Arial" w:hAnsi="Arial"/>
                <w:sz w:val="14"/>
                <w:szCs w:val="14"/>
                <w:color w:val="0000EE"/>
                <w:w w:val="93"/>
              </w:rPr>
            </w:pPr>
            <w:hyperlink w:anchor="page108">
              <w:r>
                <w:rPr>
                  <w:rFonts w:ascii="Arial" w:cs="Arial" w:eastAsia="Arial" w:hAnsi="Arial"/>
                  <w:sz w:val="14"/>
                  <w:szCs w:val="14"/>
                  <w:color w:val="0000EE"/>
                  <w:w w:val="93"/>
                </w:rPr>
                <w:t>Report of RSM US LLP on Senior Securities Table</w:t>
              </w:r>
            </w:hyperlink>
          </w:p>
        </w:tc>
        <w:tc>
          <w:tcPr>
            <w:tcW w:w="6180" w:type="dxa"/>
            <w:vAlign w:val="bottom"/>
            <w:gridSpan w:val="6"/>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4"/>
                <w:szCs w:val="14"/>
                <w:color w:val="auto"/>
              </w:rPr>
              <w:t>99.3*</w:t>
            </w:r>
          </w:p>
        </w:tc>
        <w:tc>
          <w:tcPr>
            <w:tcW w:w="8360" w:type="dxa"/>
            <w:vAlign w:val="bottom"/>
            <w:tcBorders>
              <w:bottom w:val="single" w:sz="8" w:color="0000EE"/>
            </w:tcBorders>
            <w:gridSpan w:val="9"/>
          </w:tcPr>
          <w:p>
            <w:pPr>
              <w:spacing w:after="0"/>
              <w:rPr>
                <w:rFonts w:ascii="Arial" w:cs="Arial" w:eastAsia="Arial" w:hAnsi="Arial"/>
                <w:sz w:val="14"/>
                <w:szCs w:val="14"/>
                <w:color w:val="0000EE"/>
                <w:w w:val="92"/>
              </w:rPr>
            </w:pPr>
            <w:hyperlink w:anchor="page109">
              <w:r>
                <w:rPr>
                  <w:rFonts w:ascii="Arial" w:cs="Arial" w:eastAsia="Arial" w:hAnsi="Arial"/>
                  <w:sz w:val="14"/>
                  <w:szCs w:val="14"/>
                  <w:color w:val="0000EE"/>
                  <w:w w:val="92"/>
                </w:rPr>
                <w:t>Audited Consolidated Financial Statements of PennantPark Senior Secured Loan Fund I LLC for the Years Ended September 30, 2021 and 2020.</w:t>
              </w:r>
            </w:hyperlink>
          </w:p>
        </w:tc>
        <w:tc>
          <w:tcPr>
            <w:tcW w:w="780" w:type="dxa"/>
            <w:vAlign w:val="bottom"/>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4"/>
                <w:szCs w:val="14"/>
                <w:color w:val="auto"/>
              </w:rPr>
              <w:t>99.4*</w:t>
            </w:r>
          </w:p>
        </w:tc>
        <w:tc>
          <w:tcPr>
            <w:tcW w:w="8360" w:type="dxa"/>
            <w:vAlign w:val="bottom"/>
            <w:tcBorders>
              <w:bottom w:val="single" w:sz="8" w:color="0000EE"/>
            </w:tcBorders>
            <w:gridSpan w:val="9"/>
          </w:tcPr>
          <w:p>
            <w:pPr>
              <w:spacing w:after="0"/>
              <w:rPr>
                <w:rFonts w:ascii="Arial" w:cs="Arial" w:eastAsia="Arial" w:hAnsi="Arial"/>
                <w:sz w:val="14"/>
                <w:szCs w:val="14"/>
                <w:color w:val="0000EE"/>
                <w:w w:val="92"/>
              </w:rPr>
            </w:pPr>
            <w:hyperlink w:anchor="page129">
              <w:r>
                <w:rPr>
                  <w:rFonts w:ascii="Arial" w:cs="Arial" w:eastAsia="Arial" w:hAnsi="Arial"/>
                  <w:sz w:val="14"/>
                  <w:szCs w:val="14"/>
                  <w:color w:val="0000EE"/>
                  <w:w w:val="92"/>
                </w:rPr>
                <w:t>Audited Consolidated Financial Statements of PennantPark Senior Secured Loan Fund I LLC for the Years Ended September 30, 2020 and 2019.</w:t>
              </w:r>
            </w:hyperlink>
          </w:p>
        </w:tc>
        <w:tc>
          <w:tcPr>
            <w:tcW w:w="7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455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4" w:lineRule="exact"/>
        <w:rPr>
          <w:sz w:val="20"/>
          <w:szCs w:val="20"/>
          <w:color w:val="auto"/>
        </w:rPr>
      </w:pPr>
    </w:p>
    <w:p>
      <w:pPr>
        <w:ind w:left="380" w:hanging="372"/>
        <w:spacing w:after="0"/>
        <w:tabs>
          <w:tab w:leader="none" w:pos="3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80"/>
          </w:cols>
          <w:pgMar w:left="320" w:top="262" w:right="139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color w:val="auto"/>
        </w:rPr>
        <w:t>SIGNATURES</w:t>
      </w:r>
    </w:p>
    <w:p>
      <w:pPr>
        <w:spacing w:after="0" w:line="275"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November 17, 2021.</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Pr>
          <w:p>
            <w:pPr>
              <w:spacing w:after="0"/>
              <w:rPr>
                <w:sz w:val="20"/>
                <w:szCs w:val="20"/>
                <w:color w:val="auto"/>
              </w:rPr>
            </w:pPr>
            <w:r>
              <w:rPr>
                <w:rFonts w:ascii="Arial" w:cs="Arial" w:eastAsia="Arial" w:hAnsi="Arial"/>
                <w:sz w:val="14"/>
                <w:szCs w:val="14"/>
                <w:color w:val="auto"/>
              </w:rPr>
              <w:t>By:</w:t>
            </w: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ARTHUR H. PENN</w:t>
            </w:r>
          </w:p>
        </w:tc>
      </w:tr>
      <w:tr>
        <w:trPr>
          <w:trHeight w:val="119"/>
        </w:trPr>
        <w:tc>
          <w:tcPr>
            <w:tcW w:w="680" w:type="dxa"/>
            <w:vAlign w:val="bottom"/>
          </w:tcPr>
          <w:p>
            <w:pPr>
              <w:spacing w:after="0" w:line="119" w:lineRule="exact"/>
              <w:rPr>
                <w:sz w:val="20"/>
                <w:szCs w:val="20"/>
                <w:color w:val="auto"/>
              </w:rPr>
            </w:pPr>
            <w:r>
              <w:rPr>
                <w:rFonts w:ascii="Arial" w:cs="Arial" w:eastAsia="Arial" w:hAnsi="Arial"/>
                <w:sz w:val="13"/>
                <w:szCs w:val="13"/>
                <w:color w:val="auto"/>
              </w:rPr>
              <w:t>Name:</w:t>
            </w:r>
          </w:p>
        </w:tc>
        <w:tc>
          <w:tcPr>
            <w:tcW w:w="3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Arthur H. Penn</w:t>
            </w:r>
          </w:p>
        </w:tc>
      </w:tr>
      <w:tr>
        <w:trPr>
          <w:trHeight w:val="148"/>
        </w:trPr>
        <w:tc>
          <w:tcPr>
            <w:tcW w:w="68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w:t>
            </w:r>
          </w:p>
        </w:tc>
      </w:tr>
      <w:tr>
        <w:trPr>
          <w:trHeight w:val="186"/>
        </w:trPr>
        <w:tc>
          <w:tcPr>
            <w:tcW w:w="680" w:type="dxa"/>
            <w:vAlign w:val="bottom"/>
          </w:tcPr>
          <w:p>
            <w:pPr>
              <w:spacing w:after="0"/>
              <w:rPr>
                <w:sz w:val="16"/>
                <w:szCs w:val="16"/>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4"/>
              </w:rPr>
              <w:t>Directors</w:t>
            </w:r>
          </w:p>
        </w:tc>
      </w:tr>
    </w:tbl>
    <w:p>
      <w:pPr>
        <w:spacing w:after="0" w:line="115"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4"/>
                <w:szCs w:val="1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57"/>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ARTHUR H. PENN</w:t>
            </w:r>
          </w:p>
        </w:tc>
        <w:tc>
          <w:tcPr>
            <w:tcW w:w="120" w:type="dxa"/>
            <w:vAlign w:val="bottom"/>
          </w:tcPr>
          <w:p>
            <w:pPr>
              <w:spacing w:after="0"/>
              <w:rPr>
                <w:sz w:val="22"/>
                <w:szCs w:val="22"/>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Chief Executive Officer and Chairman of the Board of Directors</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17, 2021</w:t>
            </w:r>
          </w:p>
        </w:tc>
      </w:tr>
      <w:tr>
        <w:trPr>
          <w:trHeight w:val="186"/>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Arthur H. Penn</w:t>
            </w:r>
          </w:p>
        </w:tc>
        <w:tc>
          <w:tcPr>
            <w:tcW w:w="120" w:type="dxa"/>
            <w:vAlign w:val="bottom"/>
          </w:tcPr>
          <w:p>
            <w:pPr>
              <w:spacing w:after="0"/>
              <w:rPr>
                <w:sz w:val="16"/>
                <w:szCs w:val="16"/>
                <w:color w:val="auto"/>
              </w:rPr>
            </w:pPr>
          </w:p>
        </w:tc>
        <w:tc>
          <w:tcPr>
            <w:tcW w:w="4040" w:type="dxa"/>
            <w:vAlign w:val="bottom"/>
            <w:gridSpan w:val="2"/>
          </w:tcPr>
          <w:p>
            <w:pPr>
              <w:jc w:val="center"/>
              <w:ind w:right="120"/>
              <w:spacing w:after="0" w:line="150" w:lineRule="exact"/>
              <w:rPr>
                <w:sz w:val="20"/>
                <w:szCs w:val="20"/>
                <w:color w:val="auto"/>
              </w:rPr>
            </w:pPr>
            <w:r>
              <w:rPr>
                <w:rFonts w:ascii="Arial" w:cs="Arial" w:eastAsia="Arial" w:hAnsi="Arial"/>
                <w:sz w:val="14"/>
                <w:szCs w:val="14"/>
                <w:color w:val="auto"/>
                <w:w w:val="97"/>
              </w:rPr>
              <w:t>(Principal Executive Officer)</w:t>
            </w:r>
          </w:p>
        </w:tc>
        <w:tc>
          <w:tcPr>
            <w:tcW w:w="2800" w:type="dxa"/>
            <w:vAlign w:val="bottom"/>
          </w:tcPr>
          <w:p>
            <w:pPr>
              <w:spacing w:after="0"/>
              <w:rPr>
                <w:sz w:val="16"/>
                <w:szCs w:val="16"/>
                <w:color w:val="auto"/>
              </w:rPr>
            </w:pPr>
          </w:p>
        </w:tc>
      </w:tr>
      <w:tr>
        <w:trPr>
          <w:trHeight w:val="22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RICHARD CHEUNG</w:t>
            </w:r>
          </w:p>
        </w:tc>
        <w:tc>
          <w:tcPr>
            <w:tcW w:w="120" w:type="dxa"/>
            <w:vAlign w:val="bottom"/>
          </w:tcPr>
          <w:p>
            <w:pPr>
              <w:spacing w:after="0"/>
              <w:rPr>
                <w:sz w:val="19"/>
                <w:szCs w:val="19"/>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Chief Financial Officer and Treasurer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17, 2021</w:t>
            </w:r>
          </w:p>
        </w:tc>
      </w:tr>
      <w:tr>
        <w:trPr>
          <w:trHeight w:val="186"/>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Richard Cheung</w:t>
            </w:r>
          </w:p>
        </w:tc>
        <w:tc>
          <w:tcPr>
            <w:tcW w:w="120" w:type="dxa"/>
            <w:vAlign w:val="bottom"/>
          </w:tcPr>
          <w:p>
            <w:pPr>
              <w:spacing w:after="0"/>
              <w:rPr>
                <w:sz w:val="16"/>
                <w:szCs w:val="16"/>
                <w:color w:val="auto"/>
              </w:rPr>
            </w:pPr>
          </w:p>
        </w:tc>
        <w:tc>
          <w:tcPr>
            <w:tcW w:w="4040" w:type="dxa"/>
            <w:vAlign w:val="bottom"/>
            <w:gridSpan w:val="2"/>
          </w:tcPr>
          <w:p>
            <w:pPr>
              <w:jc w:val="center"/>
              <w:ind w:right="120"/>
              <w:spacing w:after="0" w:line="150" w:lineRule="exact"/>
              <w:rPr>
                <w:sz w:val="20"/>
                <w:szCs w:val="20"/>
                <w:color w:val="auto"/>
              </w:rPr>
            </w:pPr>
            <w:r>
              <w:rPr>
                <w:rFonts w:ascii="Arial" w:cs="Arial" w:eastAsia="Arial" w:hAnsi="Arial"/>
                <w:sz w:val="14"/>
                <w:szCs w:val="14"/>
                <w:color w:val="auto"/>
                <w:w w:val="96"/>
              </w:rPr>
              <w:t>(Principal Financial and Accounting Officer)</w:t>
            </w:r>
          </w:p>
        </w:tc>
        <w:tc>
          <w:tcPr>
            <w:tcW w:w="2800" w:type="dxa"/>
            <w:vAlign w:val="bottom"/>
          </w:tcPr>
          <w:p>
            <w:pPr>
              <w:spacing w:after="0"/>
              <w:rPr>
                <w:sz w:val="16"/>
                <w:szCs w:val="16"/>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ADAM K. BERNSTEIN</w:t>
            </w:r>
          </w:p>
        </w:tc>
        <w:tc>
          <w:tcPr>
            <w:tcW w:w="12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17, 2021</w:t>
            </w:r>
          </w:p>
        </w:tc>
      </w:tr>
      <w:tr>
        <w:trPr>
          <w:trHeight w:val="180"/>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Adam K. Bernstein</w:t>
            </w:r>
          </w:p>
        </w:tc>
        <w:tc>
          <w:tcPr>
            <w:tcW w:w="1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JEFFREY FLUG</w:t>
            </w:r>
          </w:p>
        </w:tc>
        <w:tc>
          <w:tcPr>
            <w:tcW w:w="12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17, 2021</w:t>
            </w:r>
          </w:p>
        </w:tc>
      </w:tr>
      <w:tr>
        <w:trPr>
          <w:trHeight w:val="180"/>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Jeffrey Flug</w:t>
            </w:r>
          </w:p>
        </w:tc>
        <w:tc>
          <w:tcPr>
            <w:tcW w:w="1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MARSHALL BROZOST</w:t>
            </w:r>
          </w:p>
        </w:tc>
        <w:tc>
          <w:tcPr>
            <w:tcW w:w="12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17, 2021</w:t>
            </w:r>
          </w:p>
        </w:tc>
      </w:tr>
      <w:tr>
        <w:trPr>
          <w:trHeight w:val="180"/>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Marshall Brozost</w:t>
            </w:r>
          </w:p>
        </w:tc>
        <w:tc>
          <w:tcPr>
            <w:tcW w:w="1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SAMUEL L. KATZ</w:t>
            </w:r>
          </w:p>
        </w:tc>
        <w:tc>
          <w:tcPr>
            <w:tcW w:w="12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17, 2021</w:t>
            </w:r>
          </w:p>
        </w:tc>
      </w:tr>
      <w:tr>
        <w:trPr>
          <w:trHeight w:val="180"/>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Samuel L. Katz</w:t>
            </w:r>
          </w:p>
        </w:tc>
        <w:tc>
          <w:tcPr>
            <w:tcW w:w="1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240"/>
          </w:cols>
          <w:pgMar w:left="320" w:top="495"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4"/>
          <w:szCs w:val="14"/>
          <w:b w:val="1"/>
          <w:bCs w:val="1"/>
          <w:color w:val="auto"/>
        </w:rPr>
        <w:t>EXHIBIT 14.1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JOINT CODE OF ETHICS</w:t>
      </w:r>
    </w:p>
    <w:p>
      <w:pPr>
        <w:jc w:val="center"/>
        <w:spacing w:after="0" w:line="226" w:lineRule="auto"/>
        <w:rPr>
          <w:sz w:val="20"/>
          <w:szCs w:val="20"/>
          <w:color w:val="auto"/>
        </w:rPr>
      </w:pPr>
      <w:r>
        <w:rPr>
          <w:rFonts w:ascii="Arial" w:cs="Arial" w:eastAsia="Arial" w:hAnsi="Arial"/>
          <w:sz w:val="14"/>
          <w:szCs w:val="14"/>
          <w:b w:val="1"/>
          <w:bCs w:val="1"/>
          <w:color w:val="auto"/>
        </w:rPr>
        <w:t>FOR</w:t>
      </w:r>
    </w:p>
    <w:p>
      <w:pPr>
        <w:jc w:val="center"/>
        <w:spacing w:after="0" w:line="221" w:lineRule="auto"/>
        <w:rPr>
          <w:sz w:val="20"/>
          <w:szCs w:val="20"/>
          <w:color w:val="auto"/>
        </w:rPr>
      </w:pPr>
      <w:r>
        <w:rPr>
          <w:rFonts w:ascii="Arial" w:cs="Arial" w:eastAsia="Arial" w:hAnsi="Arial"/>
          <w:sz w:val="14"/>
          <w:szCs w:val="14"/>
          <w:b w:val="1"/>
          <w:bCs w:val="1"/>
          <w:color w:val="auto"/>
        </w:rPr>
        <w:t>PENNANTPARK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PENNANTPARK FLOATING RATE CAPITAL LTD.</w:t>
      </w:r>
    </w:p>
    <w:p>
      <w:pPr>
        <w:jc w:val="center"/>
        <w:spacing w:after="0"/>
        <w:rPr>
          <w:sz w:val="20"/>
          <w:szCs w:val="20"/>
          <w:color w:val="auto"/>
        </w:rPr>
      </w:pPr>
      <w:r>
        <w:rPr>
          <w:rFonts w:ascii="Arial" w:cs="Arial" w:eastAsia="Arial" w:hAnsi="Arial"/>
          <w:sz w:val="14"/>
          <w:szCs w:val="14"/>
          <w:b w:val="1"/>
          <w:bCs w:val="1"/>
          <w:color w:val="auto"/>
        </w:rPr>
        <w:t>PENNANTPARK INVESTMENT ADVISERS, LLC</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 Statement of General Fiduciary Principles</w:t>
      </w:r>
    </w:p>
    <w:p>
      <w:pPr>
        <w:spacing w:after="0" w:line="100" w:lineRule="exact"/>
        <w:rPr>
          <w:sz w:val="20"/>
          <w:szCs w:val="20"/>
          <w:color w:val="auto"/>
        </w:rPr>
      </w:pPr>
    </w:p>
    <w:p>
      <w:pPr>
        <w:jc w:val="both"/>
        <w:ind w:firstLine="729"/>
        <w:spacing w:after="0" w:line="228" w:lineRule="auto"/>
        <w:rPr>
          <w:sz w:val="20"/>
          <w:szCs w:val="20"/>
          <w:color w:val="auto"/>
        </w:rPr>
      </w:pPr>
      <w:r>
        <w:rPr>
          <w:rFonts w:ascii="Arial" w:cs="Arial" w:eastAsia="Arial" w:hAnsi="Arial"/>
          <w:sz w:val="14"/>
          <w:szCs w:val="14"/>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77" w:lineRule="exact"/>
        <w:rPr>
          <w:sz w:val="20"/>
          <w:szCs w:val="20"/>
          <w:color w:val="auto"/>
        </w:rPr>
      </w:pPr>
    </w:p>
    <w:p>
      <w:pPr>
        <w:jc w:val="both"/>
        <w:ind w:firstLine="729"/>
        <w:spacing w:after="0" w:line="251" w:lineRule="auto"/>
        <w:rPr>
          <w:sz w:val="20"/>
          <w:szCs w:val="20"/>
          <w:color w:val="auto"/>
        </w:rPr>
      </w:pPr>
      <w:r>
        <w:rPr>
          <w:rFonts w:ascii="Arial" w:cs="Arial" w:eastAsia="Arial" w:hAnsi="Arial"/>
          <w:sz w:val="13"/>
          <w:szCs w:val="13"/>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69" w:lineRule="exact"/>
        <w:rPr>
          <w:sz w:val="20"/>
          <w:szCs w:val="20"/>
          <w:color w:val="auto"/>
        </w:rPr>
      </w:pPr>
    </w:p>
    <w:p>
      <w:pPr>
        <w:jc w:val="both"/>
        <w:ind w:firstLine="729"/>
        <w:spacing w:after="0" w:line="238" w:lineRule="auto"/>
        <w:rPr>
          <w:sz w:val="20"/>
          <w:szCs w:val="20"/>
          <w:color w:val="auto"/>
        </w:rPr>
      </w:pPr>
      <w:r>
        <w:rPr>
          <w:rFonts w:ascii="Arial" w:cs="Arial" w:eastAsia="Arial" w:hAnsi="Arial"/>
          <w:sz w:val="14"/>
          <w:szCs w:val="14"/>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75"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All Covered Personnel must read and retain this Code.</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 Definitions</w:t>
      </w:r>
    </w:p>
    <w:p>
      <w:pPr>
        <w:spacing w:after="0" w:line="100" w:lineRule="exact"/>
        <w:rPr>
          <w:sz w:val="20"/>
          <w:szCs w:val="20"/>
          <w:color w:val="auto"/>
        </w:rPr>
      </w:pPr>
    </w:p>
    <w:p>
      <w:pPr>
        <w:ind w:left="820" w:hanging="448"/>
        <w:spacing w:after="0"/>
        <w:tabs>
          <w:tab w:leader="none" w:pos="8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“Access Person” means any director, officer, general partner or Advisory Person (as defined below) of the Corporations or the Adviser.</w:t>
      </w:r>
    </w:p>
    <w:p>
      <w:pPr>
        <w:spacing w:after="0" w:line="95" w:lineRule="exact"/>
        <w:rPr>
          <w:rFonts w:ascii="Arial" w:cs="Arial" w:eastAsia="Arial" w:hAnsi="Arial"/>
          <w:sz w:val="14"/>
          <w:szCs w:val="14"/>
          <w:color w:val="auto"/>
        </w:rPr>
      </w:pPr>
    </w:p>
    <w:p>
      <w:pPr>
        <w:jc w:val="both"/>
        <w:ind w:left="820" w:hanging="448"/>
        <w:spacing w:after="0" w:line="231" w:lineRule="auto"/>
        <w:tabs>
          <w:tab w:leader="none" w:pos="8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75" w:lineRule="exact"/>
        <w:rPr>
          <w:rFonts w:ascii="Arial" w:cs="Arial" w:eastAsia="Arial" w:hAnsi="Arial"/>
          <w:sz w:val="14"/>
          <w:szCs w:val="14"/>
          <w:color w:val="auto"/>
        </w:rPr>
      </w:pPr>
    </w:p>
    <w:p>
      <w:pPr>
        <w:ind w:left="820" w:hanging="448"/>
        <w:spacing w:after="0" w:line="253" w:lineRule="auto"/>
        <w:tabs>
          <w:tab w:leader="none" w:pos="8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65" w:lineRule="exact"/>
        <w:rPr>
          <w:rFonts w:ascii="Arial" w:cs="Arial" w:eastAsia="Arial" w:hAnsi="Arial"/>
          <w:sz w:val="14"/>
          <w:szCs w:val="14"/>
          <w:color w:val="auto"/>
        </w:rPr>
      </w:pPr>
    </w:p>
    <w:p>
      <w:pPr>
        <w:ind w:left="820" w:hanging="448"/>
        <w:spacing w:after="0" w:line="253" w:lineRule="auto"/>
        <w:tabs>
          <w:tab w:leader="none" w:pos="8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“Chief Compliance Officer” means the Chief Compliance Officer of the Corporation (who also may serve as the compliance officer of the Adviser and/or one or more affiliates of the Adviser).</w:t>
      </w:r>
    </w:p>
    <w:p>
      <w:pPr>
        <w:spacing w:after="0" w:line="65" w:lineRule="exact"/>
        <w:rPr>
          <w:rFonts w:ascii="Arial" w:cs="Arial" w:eastAsia="Arial" w:hAnsi="Arial"/>
          <w:sz w:val="14"/>
          <w:szCs w:val="14"/>
          <w:color w:val="auto"/>
        </w:rPr>
      </w:pPr>
    </w:p>
    <w:p>
      <w:pPr>
        <w:ind w:left="820" w:hanging="448"/>
        <w:spacing w:after="0"/>
        <w:tabs>
          <w:tab w:leader="none" w:pos="8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“Control” shall have the same meaning as that set forth in Section 2(a)(9) of the Act.</w:t>
      </w:r>
    </w:p>
    <w:p>
      <w:pPr>
        <w:spacing w:after="0" w:line="95" w:lineRule="exact"/>
        <w:rPr>
          <w:rFonts w:ascii="Arial" w:cs="Arial" w:eastAsia="Arial" w:hAnsi="Arial"/>
          <w:sz w:val="14"/>
          <w:szCs w:val="14"/>
          <w:color w:val="auto"/>
        </w:rPr>
      </w:pPr>
    </w:p>
    <w:p>
      <w:pPr>
        <w:jc w:val="both"/>
        <w:ind w:left="820" w:hanging="448"/>
        <w:spacing w:after="0" w:line="242" w:lineRule="auto"/>
        <w:tabs>
          <w:tab w:leader="none" w:pos="8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 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78" w:lineRule="exact"/>
        <w:rPr>
          <w:rFonts w:ascii="Arial" w:cs="Arial" w:eastAsia="Arial" w:hAnsi="Arial"/>
          <w:sz w:val="13"/>
          <w:szCs w:val="13"/>
          <w:color w:val="auto"/>
        </w:rPr>
      </w:pPr>
    </w:p>
    <w:p>
      <w:pPr>
        <w:ind w:left="820" w:hanging="448"/>
        <w:spacing w:after="0"/>
        <w:tabs>
          <w:tab w:leader="none" w:pos="8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“Independent Director” means a director of the Corporation who is not an “interested person” of the Corporation within the meaning of Section 2(a)(19) of the Act.</w:t>
      </w:r>
    </w:p>
    <w:p>
      <w:pPr>
        <w:spacing w:after="0" w:line="95" w:lineRule="exact"/>
        <w:rPr>
          <w:rFonts w:ascii="Arial" w:cs="Arial" w:eastAsia="Arial" w:hAnsi="Arial"/>
          <w:sz w:val="14"/>
          <w:szCs w:val="14"/>
          <w:color w:val="auto"/>
        </w:rPr>
      </w:pPr>
    </w:p>
    <w:p>
      <w:pPr>
        <w:ind w:left="820" w:hanging="448"/>
        <w:spacing w:after="0" w:line="253" w:lineRule="auto"/>
        <w:tabs>
          <w:tab w:leader="none" w:pos="8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65" w:lineRule="exact"/>
        <w:rPr>
          <w:rFonts w:ascii="Arial" w:cs="Arial" w:eastAsia="Arial" w:hAnsi="Arial"/>
          <w:sz w:val="14"/>
          <w:szCs w:val="14"/>
          <w:color w:val="auto"/>
        </w:rPr>
      </w:pPr>
    </w:p>
    <w:p>
      <w:pPr>
        <w:ind w:left="820" w:hanging="448"/>
        <w:spacing w:after="0" w:line="253" w:lineRule="auto"/>
        <w:tabs>
          <w:tab w:leader="none" w:pos="8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“Limited Offering” means an offering that is exempt from registration under the 1933 Act pursuant to Section 4(2) or Section 4(6) thereof or pursuant to Rule 504, Rule 505, or Rule 506 thereunder.</w:t>
      </w:r>
    </w:p>
    <w:p>
      <w:pPr>
        <w:spacing w:after="0" w:line="65" w:lineRule="exact"/>
        <w:rPr>
          <w:rFonts w:ascii="Arial" w:cs="Arial" w:eastAsia="Arial" w:hAnsi="Arial"/>
          <w:sz w:val="14"/>
          <w:szCs w:val="14"/>
          <w:color w:val="auto"/>
        </w:rPr>
      </w:pPr>
    </w:p>
    <w:p>
      <w:pPr>
        <w:ind w:left="820" w:hanging="448"/>
        <w:spacing w:after="0" w:line="253" w:lineRule="auto"/>
        <w:tabs>
          <w:tab w:leader="none" w:pos="8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“Restricted List” means the “Pipeline” report of potential investments combined with the current holdings of the clients. PennantPark Access Persons are restricted from trading any security on the Restricted List.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7" w:name="page98"/>
    <w:bookmarkEnd w:id="97"/>
    <w:p>
      <w:pPr>
        <w:jc w:val="both"/>
        <w:ind w:left="820" w:hanging="448"/>
        <w:spacing w:after="0" w:line="238" w:lineRule="auto"/>
        <w:tabs>
          <w:tab w:leader="none" w:pos="8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“Security Held or to be Acquired” by the Corporation means: (i) any Covered Security which, within the most recent 15 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w:t>
      </w:r>
    </w:p>
    <w:p>
      <w:pPr>
        <w:spacing w:after="0" w:line="74" w:lineRule="exact"/>
        <w:rPr>
          <w:rFonts w:ascii="Arial" w:cs="Arial" w:eastAsia="Arial" w:hAnsi="Arial"/>
          <w:sz w:val="14"/>
          <w:szCs w:val="14"/>
          <w:color w:val="auto"/>
        </w:rPr>
      </w:pPr>
    </w:p>
    <w:p>
      <w:pPr>
        <w:ind w:left="820" w:hanging="448"/>
        <w:spacing w:after="0"/>
        <w:tabs>
          <w:tab w:leader="none" w:pos="8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“17j-1 Organization” means the Corporation or the Adviser, as the context requires.</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III Objective and General Prohibitions</w:t>
      </w:r>
    </w:p>
    <w:p>
      <w:pPr>
        <w:spacing w:after="0" w:line="100" w:lineRule="exact"/>
        <w:rPr>
          <w:sz w:val="20"/>
          <w:szCs w:val="20"/>
          <w:color w:val="auto"/>
        </w:rPr>
      </w:pPr>
    </w:p>
    <w:p>
      <w:pPr>
        <w:jc w:val="both"/>
        <w:ind w:firstLine="729"/>
        <w:spacing w:after="0" w:line="238" w:lineRule="auto"/>
        <w:rPr>
          <w:sz w:val="20"/>
          <w:szCs w:val="20"/>
          <w:color w:val="auto"/>
        </w:rPr>
      </w:pPr>
      <w:r>
        <w:rPr>
          <w:rFonts w:ascii="Arial" w:cs="Arial" w:eastAsia="Arial" w:hAnsi="Arial"/>
          <w:sz w:val="14"/>
          <w:szCs w:val="14"/>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75" w:lineRule="exact"/>
        <w:rPr>
          <w:sz w:val="20"/>
          <w:szCs w:val="20"/>
          <w:color w:val="auto"/>
        </w:rPr>
      </w:pPr>
    </w:p>
    <w:p>
      <w:pPr>
        <w:jc w:val="both"/>
        <w:ind w:firstLine="729"/>
        <w:spacing w:after="0" w:line="264" w:lineRule="auto"/>
        <w:rPr>
          <w:sz w:val="20"/>
          <w:szCs w:val="20"/>
          <w:color w:val="auto"/>
        </w:rPr>
      </w:pPr>
      <w:r>
        <w:rPr>
          <w:rFonts w:ascii="Arial" w:cs="Arial" w:eastAsia="Arial" w:hAnsi="Arial"/>
          <w:sz w:val="13"/>
          <w:szCs w:val="13"/>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60" w:lineRule="exact"/>
        <w:rPr>
          <w:sz w:val="20"/>
          <w:szCs w:val="20"/>
          <w:color w:val="auto"/>
        </w:rPr>
      </w:pPr>
    </w:p>
    <w:p>
      <w:pPr>
        <w:ind w:left="1080" w:hanging="357"/>
        <w:spacing w:after="0"/>
        <w:tabs>
          <w:tab w:leader="none" w:pos="10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employ any device, scheme or artifice to defraud the Corporation;</w:t>
      </w:r>
    </w:p>
    <w:p>
      <w:pPr>
        <w:spacing w:after="0" w:line="95" w:lineRule="exact"/>
        <w:rPr>
          <w:rFonts w:ascii="Arial" w:cs="Arial" w:eastAsia="Arial" w:hAnsi="Arial"/>
          <w:sz w:val="14"/>
          <w:szCs w:val="14"/>
          <w:color w:val="auto"/>
        </w:rPr>
      </w:pPr>
    </w:p>
    <w:p>
      <w:pPr>
        <w:ind w:left="1080" w:hanging="357"/>
        <w:spacing w:after="0" w:line="253" w:lineRule="auto"/>
        <w:tabs>
          <w:tab w:leader="none" w:pos="10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65" w:lineRule="exact"/>
        <w:rPr>
          <w:rFonts w:ascii="Arial" w:cs="Arial" w:eastAsia="Arial" w:hAnsi="Arial"/>
          <w:sz w:val="14"/>
          <w:szCs w:val="14"/>
          <w:color w:val="auto"/>
        </w:rPr>
      </w:pPr>
    </w:p>
    <w:p>
      <w:pPr>
        <w:ind w:left="1080" w:hanging="357"/>
        <w:spacing w:after="0"/>
        <w:tabs>
          <w:tab w:leader="none" w:pos="10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engage in any act, practice or course of business that operates or would operate as a fraud or deceit upon the Corporation; or</w:t>
      </w:r>
    </w:p>
    <w:p>
      <w:pPr>
        <w:spacing w:after="0" w:line="95" w:lineRule="exact"/>
        <w:rPr>
          <w:rFonts w:ascii="Arial" w:cs="Arial" w:eastAsia="Arial" w:hAnsi="Arial"/>
          <w:sz w:val="14"/>
          <w:szCs w:val="14"/>
          <w:color w:val="auto"/>
        </w:rPr>
      </w:pPr>
    </w:p>
    <w:p>
      <w:pPr>
        <w:ind w:left="1080" w:hanging="357"/>
        <w:spacing w:after="0"/>
        <w:tabs>
          <w:tab w:leader="none" w:pos="10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engage in any manipulative practice with respect to the Corporation.</w:t>
      </w:r>
    </w:p>
    <w:p>
      <w:pPr>
        <w:spacing w:after="0" w:line="96" w:lineRule="exact"/>
        <w:rPr>
          <w:sz w:val="20"/>
          <w:szCs w:val="20"/>
          <w:color w:val="auto"/>
        </w:rPr>
      </w:pPr>
    </w:p>
    <w:p>
      <w:pPr>
        <w:jc w:val="both"/>
        <w:ind w:firstLine="729"/>
        <w:spacing w:after="0" w:line="253" w:lineRule="auto"/>
        <w:rPr>
          <w:sz w:val="20"/>
          <w:szCs w:val="20"/>
          <w:color w:val="auto"/>
        </w:rPr>
      </w:pPr>
      <w:r>
        <w:rPr>
          <w:rFonts w:ascii="Arial" w:cs="Arial" w:eastAsia="Arial" w:hAnsi="Arial"/>
          <w:sz w:val="14"/>
          <w:szCs w:val="14"/>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IV Pre-Clearance of Personal Account Transactions; Window Period to Trade PennantPark shares</w:t>
      </w:r>
    </w:p>
    <w:p>
      <w:pPr>
        <w:spacing w:after="0" w:line="100" w:lineRule="exact"/>
        <w:rPr>
          <w:sz w:val="20"/>
          <w:szCs w:val="20"/>
          <w:color w:val="auto"/>
        </w:rPr>
      </w:pPr>
    </w:p>
    <w:p>
      <w:pPr>
        <w:jc w:val="both"/>
        <w:ind w:firstLine="729"/>
        <w:spacing w:after="0" w:line="255" w:lineRule="auto"/>
        <w:rPr>
          <w:sz w:val="20"/>
          <w:szCs w:val="20"/>
          <w:color w:val="auto"/>
        </w:rPr>
      </w:pPr>
      <w:r>
        <w:rPr>
          <w:rFonts w:ascii="Arial" w:cs="Arial" w:eastAsia="Arial" w:hAnsi="Arial"/>
          <w:sz w:val="13"/>
          <w:szCs w:val="13"/>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67"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Any approval given under this paragraph will be provided by email and will remain in effect for 72 hours.</w:t>
      </w:r>
    </w:p>
    <w:p>
      <w:pPr>
        <w:spacing w:after="0" w:line="96" w:lineRule="exact"/>
        <w:rPr>
          <w:sz w:val="20"/>
          <w:szCs w:val="20"/>
          <w:color w:val="auto"/>
        </w:rPr>
      </w:pPr>
    </w:p>
    <w:p>
      <w:pPr>
        <w:ind w:left="740"/>
        <w:spacing w:after="0"/>
        <w:rPr>
          <w:sz w:val="20"/>
          <w:szCs w:val="20"/>
          <w:color w:val="auto"/>
        </w:rPr>
      </w:pPr>
      <w:r>
        <w:rPr>
          <w:rFonts w:ascii="Arial" w:cs="Arial" w:eastAsia="Arial" w:hAnsi="Arial"/>
          <w:sz w:val="14"/>
          <w:szCs w:val="14"/>
          <w:u w:val="single" w:color="auto"/>
          <w:color w:val="auto"/>
        </w:rPr>
        <w:t>Exceptions to the Pre-Clearance Requirement Policy,</w:t>
      </w:r>
    </w:p>
    <w:p>
      <w:pPr>
        <w:spacing w:after="0" w:line="96" w:lineRule="exact"/>
        <w:rPr>
          <w:sz w:val="20"/>
          <w:szCs w:val="20"/>
          <w:color w:val="auto"/>
        </w:rPr>
      </w:pPr>
    </w:p>
    <w:p>
      <w:pPr>
        <w:jc w:val="both"/>
        <w:ind w:firstLine="729"/>
        <w:spacing w:after="0" w:line="247" w:lineRule="auto"/>
        <w:rPr>
          <w:sz w:val="20"/>
          <w:szCs w:val="20"/>
          <w:color w:val="auto"/>
        </w:rPr>
      </w:pPr>
      <w:r>
        <w:rPr>
          <w:rFonts w:ascii="Arial" w:cs="Arial" w:eastAsia="Arial" w:hAnsi="Arial"/>
          <w:sz w:val="13"/>
          <w:szCs w:val="13"/>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(i) 30 calendar days after the release of results (29 calendar days in all) or (ii) in the case of PennantPark Floating Rate Capital, Ltd.’s and the Adviser’s decision to sell such Corporation’s equity securities, the end of the quarterly period during which such financial results of such Corporation have been publicly released.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Further, the window period may not open in a particular quarter, and it may be closed prior to (i) the expiration of 30 days or (ii) to the extent provided above in the case of PennantPark Floating Rate Capital, Ltd., the applicable quarter end, in each case as events require.</w:t>
      </w:r>
    </w:p>
    <w:p>
      <w:pPr>
        <w:spacing w:after="0" w:line="71" w:lineRule="exact"/>
        <w:rPr>
          <w:sz w:val="20"/>
          <w:szCs w:val="20"/>
          <w:color w:val="auto"/>
        </w:rPr>
      </w:pPr>
    </w:p>
    <w:p>
      <w:pPr>
        <w:ind w:right="20" w:firstLine="729"/>
        <w:spacing w:after="0" w:line="253" w:lineRule="auto"/>
        <w:rPr>
          <w:sz w:val="20"/>
          <w:szCs w:val="20"/>
          <w:color w:val="auto"/>
        </w:rPr>
      </w:pPr>
      <w:r>
        <w:rPr>
          <w:rFonts w:ascii="Arial" w:cs="Arial" w:eastAsia="Arial" w:hAnsi="Arial"/>
          <w:sz w:val="14"/>
          <w:szCs w:val="14"/>
          <w:color w:val="auto"/>
        </w:rPr>
        <w:t>Additionally, Independent Directors are not required to seek preapproval for any transactions other than those which would trigger reporting requirements as set forth in Section VI (C) of this Code below.</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 Prohibited Transactions</w:t>
      </w:r>
    </w:p>
    <w:p>
      <w:pPr>
        <w:spacing w:after="0" w:line="100" w:lineRule="exact"/>
        <w:rPr>
          <w:sz w:val="20"/>
          <w:szCs w:val="20"/>
          <w:color w:val="auto"/>
        </w:rPr>
      </w:pPr>
    </w:p>
    <w:p>
      <w:pPr>
        <w:jc w:val="both"/>
        <w:ind w:left="820" w:hanging="448"/>
        <w:spacing w:after="0" w:line="231" w:lineRule="auto"/>
        <w:tabs>
          <w:tab w:leader="none" w:pos="8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75" w:lineRule="exact"/>
        <w:rPr>
          <w:rFonts w:ascii="Arial" w:cs="Arial" w:eastAsia="Arial" w:hAnsi="Arial"/>
          <w:sz w:val="14"/>
          <w:szCs w:val="14"/>
          <w:color w:val="auto"/>
        </w:rPr>
      </w:pPr>
    </w:p>
    <w:p>
      <w:pPr>
        <w:jc w:val="both"/>
        <w:ind w:left="820" w:hanging="448"/>
        <w:spacing w:after="0" w:line="238" w:lineRule="auto"/>
        <w:tabs>
          <w:tab w:leader="none" w:pos="8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74" w:lineRule="exact"/>
        <w:rPr>
          <w:rFonts w:ascii="Arial" w:cs="Arial" w:eastAsia="Arial" w:hAnsi="Arial"/>
          <w:sz w:val="14"/>
          <w:szCs w:val="14"/>
          <w:color w:val="auto"/>
        </w:rPr>
      </w:pPr>
    </w:p>
    <w:p>
      <w:pPr>
        <w:jc w:val="both"/>
        <w:ind w:left="820" w:hanging="448"/>
        <w:spacing w:after="0" w:line="233" w:lineRule="auto"/>
        <w:tabs>
          <w:tab w:leader="none" w:pos="8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 Reports by Access Persons</w:t>
      </w:r>
    </w:p>
    <w:p>
      <w:pPr>
        <w:spacing w:after="0" w:line="100" w:lineRule="exact"/>
        <w:rPr>
          <w:sz w:val="20"/>
          <w:szCs w:val="20"/>
          <w:color w:val="auto"/>
        </w:rPr>
      </w:pPr>
    </w:p>
    <w:p>
      <w:pPr>
        <w:ind w:left="820" w:hanging="448"/>
        <w:spacing w:after="0"/>
        <w:tabs>
          <w:tab w:leader="none" w:pos="8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Personal Securities Holdings Reports.</w:t>
      </w:r>
    </w:p>
    <w:p>
      <w:pPr>
        <w:spacing w:after="0" w:line="96" w:lineRule="exact"/>
        <w:rPr>
          <w:sz w:val="20"/>
          <w:szCs w:val="20"/>
          <w:color w:val="auto"/>
        </w:rPr>
      </w:pPr>
    </w:p>
    <w:p>
      <w:pPr>
        <w:ind w:firstLine="729"/>
        <w:spacing w:after="0" w:line="253" w:lineRule="auto"/>
        <w:rPr>
          <w:sz w:val="20"/>
          <w:szCs w:val="20"/>
          <w:color w:val="auto"/>
        </w:rPr>
      </w:pPr>
      <w:r>
        <w:rPr>
          <w:rFonts w:ascii="Arial" w:cs="Arial" w:eastAsia="Arial" w:hAnsi="Arial"/>
          <w:sz w:val="14"/>
          <w:szCs w:val="14"/>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8" w:name="page99"/>
    <w:bookmarkEnd w:id="98"/>
    <w:p>
      <w:pPr>
        <w:jc w:val="both"/>
        <w:spacing w:after="0" w:line="233" w:lineRule="auto"/>
        <w:rPr>
          <w:sz w:val="20"/>
          <w:szCs w:val="20"/>
          <w:color w:val="auto"/>
        </w:rPr>
      </w:pPr>
      <w:r>
        <w:rPr>
          <w:rFonts w:ascii="Arial" w:cs="Arial" w:eastAsia="Arial" w:hAnsi="Arial"/>
          <w:sz w:val="14"/>
          <w:szCs w:val="14"/>
          <w:color w:val="auto"/>
        </w:rPr>
        <w:t>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77" w:lineRule="exact"/>
        <w:rPr>
          <w:sz w:val="20"/>
          <w:szCs w:val="20"/>
          <w:color w:val="auto"/>
        </w:rPr>
      </w:pPr>
    </w:p>
    <w:p>
      <w:pPr>
        <w:ind w:left="820" w:hanging="448"/>
        <w:spacing w:after="0"/>
        <w:tabs>
          <w:tab w:leader="none" w:pos="8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Quarterly Transaction Reports.</w:t>
      </w:r>
    </w:p>
    <w:p>
      <w:pPr>
        <w:spacing w:after="0" w:line="96" w:lineRule="exact"/>
        <w:rPr>
          <w:sz w:val="20"/>
          <w:szCs w:val="20"/>
          <w:color w:val="auto"/>
        </w:rPr>
      </w:pPr>
    </w:p>
    <w:p>
      <w:pPr>
        <w:ind w:firstLine="729"/>
        <w:spacing w:after="0" w:line="290" w:lineRule="auto"/>
        <w:rPr>
          <w:sz w:val="20"/>
          <w:szCs w:val="20"/>
          <w:color w:val="auto"/>
        </w:rPr>
      </w:pPr>
      <w:r>
        <w:rPr>
          <w:rFonts w:ascii="Arial" w:cs="Arial" w:eastAsia="Arial" w:hAnsi="Arial"/>
          <w:sz w:val="13"/>
          <w:szCs w:val="13"/>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44" w:lineRule="exact"/>
        <w:rPr>
          <w:sz w:val="20"/>
          <w:szCs w:val="20"/>
          <w:color w:val="auto"/>
        </w:rPr>
      </w:pPr>
    </w:p>
    <w:p>
      <w:pPr>
        <w:ind w:firstLine="729"/>
        <w:spacing w:after="0" w:line="253" w:lineRule="auto"/>
        <w:rPr>
          <w:sz w:val="20"/>
          <w:szCs w:val="20"/>
          <w:color w:val="auto"/>
        </w:rPr>
      </w:pPr>
      <w:r>
        <w:rPr>
          <w:rFonts w:ascii="Arial" w:cs="Arial" w:eastAsia="Arial" w:hAnsi="Arial"/>
          <w:sz w:val="14"/>
          <w:szCs w:val="14"/>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66" w:lineRule="exact"/>
        <w:rPr>
          <w:sz w:val="20"/>
          <w:szCs w:val="20"/>
          <w:color w:val="auto"/>
        </w:rPr>
      </w:pPr>
    </w:p>
    <w:p>
      <w:pPr>
        <w:ind w:left="1080" w:hanging="357"/>
        <w:spacing w:after="0"/>
        <w:tabs>
          <w:tab w:leader="none" w:pos="10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Date and nature of the transaction (purchase, sale or any other type of acquisition or disposition);</w:t>
      </w:r>
    </w:p>
    <w:p>
      <w:pPr>
        <w:spacing w:after="0" w:line="95" w:lineRule="exact"/>
        <w:rPr>
          <w:rFonts w:ascii="Arial" w:cs="Arial" w:eastAsia="Arial" w:hAnsi="Arial"/>
          <w:sz w:val="14"/>
          <w:szCs w:val="14"/>
          <w:color w:val="auto"/>
        </w:rPr>
      </w:pPr>
    </w:p>
    <w:p>
      <w:pPr>
        <w:ind w:left="1080" w:hanging="357"/>
        <w:spacing w:after="0" w:line="253" w:lineRule="auto"/>
        <w:tabs>
          <w:tab w:leader="none" w:pos="10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Title, interest rate and maturity date (if applicable), number of shares and principal amount of each Covered Security involved and the price of the Covered Security at which the transaction was effected;</w:t>
      </w:r>
    </w:p>
    <w:p>
      <w:pPr>
        <w:spacing w:after="0" w:line="65" w:lineRule="exact"/>
        <w:rPr>
          <w:rFonts w:ascii="Arial" w:cs="Arial" w:eastAsia="Arial" w:hAnsi="Arial"/>
          <w:sz w:val="14"/>
          <w:szCs w:val="14"/>
          <w:color w:val="auto"/>
        </w:rPr>
      </w:pPr>
    </w:p>
    <w:p>
      <w:pPr>
        <w:ind w:left="1080" w:hanging="357"/>
        <w:spacing w:after="0"/>
        <w:tabs>
          <w:tab w:leader="none" w:pos="10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Name of the broker, dealer or bank with or through whom the transaction was effected; and</w:t>
      </w:r>
    </w:p>
    <w:p>
      <w:pPr>
        <w:spacing w:after="0" w:line="95" w:lineRule="exact"/>
        <w:rPr>
          <w:rFonts w:ascii="Arial" w:cs="Arial" w:eastAsia="Arial" w:hAnsi="Arial"/>
          <w:sz w:val="14"/>
          <w:szCs w:val="14"/>
          <w:color w:val="auto"/>
        </w:rPr>
      </w:pPr>
    </w:p>
    <w:p>
      <w:pPr>
        <w:ind w:left="1080" w:hanging="357"/>
        <w:spacing w:after="0"/>
        <w:tabs>
          <w:tab w:leader="none" w:pos="10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The date the report is submitted by the Access Person.</w:t>
      </w:r>
    </w:p>
    <w:p>
      <w:pPr>
        <w:spacing w:after="0" w:line="95" w:lineRule="exact"/>
        <w:rPr>
          <w:rFonts w:ascii="Arial" w:cs="Arial" w:eastAsia="Arial" w:hAnsi="Arial"/>
          <w:sz w:val="14"/>
          <w:szCs w:val="14"/>
          <w:color w:val="auto"/>
        </w:rPr>
      </w:pPr>
    </w:p>
    <w:p>
      <w:pPr>
        <w:ind w:left="820" w:hanging="448"/>
        <w:spacing w:after="0"/>
        <w:tabs>
          <w:tab w:leader="none" w:pos="8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Independent Directors.</w:t>
      </w:r>
    </w:p>
    <w:p>
      <w:pPr>
        <w:spacing w:after="0" w:line="96" w:lineRule="exact"/>
        <w:rPr>
          <w:sz w:val="20"/>
          <w:szCs w:val="20"/>
          <w:color w:val="auto"/>
        </w:rPr>
      </w:pPr>
    </w:p>
    <w:p>
      <w:pPr>
        <w:jc w:val="both"/>
        <w:ind w:firstLine="729"/>
        <w:spacing w:after="0" w:line="231" w:lineRule="auto"/>
        <w:rPr>
          <w:sz w:val="20"/>
          <w:szCs w:val="20"/>
          <w:color w:val="auto"/>
        </w:rPr>
      </w:pPr>
      <w:r>
        <w:rPr>
          <w:rFonts w:ascii="Arial" w:cs="Arial" w:eastAsia="Arial" w:hAnsi="Arial"/>
          <w:sz w:val="14"/>
          <w:szCs w:val="14"/>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76" w:lineRule="exact"/>
        <w:rPr>
          <w:sz w:val="20"/>
          <w:szCs w:val="20"/>
          <w:color w:val="auto"/>
        </w:rPr>
      </w:pPr>
    </w:p>
    <w:p>
      <w:pPr>
        <w:ind w:left="820" w:hanging="448"/>
        <w:spacing w:after="0"/>
        <w:tabs>
          <w:tab w:leader="none" w:pos="8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Access Persons of the Adviser.</w:t>
      </w:r>
    </w:p>
    <w:p>
      <w:pPr>
        <w:spacing w:after="0" w:line="96" w:lineRule="exact"/>
        <w:rPr>
          <w:sz w:val="20"/>
          <w:szCs w:val="20"/>
          <w:color w:val="auto"/>
        </w:rPr>
      </w:pPr>
    </w:p>
    <w:p>
      <w:pPr>
        <w:ind w:firstLine="729"/>
        <w:spacing w:after="0" w:line="253" w:lineRule="auto"/>
        <w:rPr>
          <w:sz w:val="20"/>
          <w:szCs w:val="20"/>
          <w:color w:val="auto"/>
        </w:rPr>
      </w:pPr>
      <w:r>
        <w:rPr>
          <w:rFonts w:ascii="Arial" w:cs="Arial" w:eastAsia="Arial" w:hAnsi="Arial"/>
          <w:sz w:val="14"/>
          <w:szCs w:val="14"/>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66" w:lineRule="exact"/>
        <w:rPr>
          <w:sz w:val="20"/>
          <w:szCs w:val="20"/>
          <w:color w:val="auto"/>
        </w:rPr>
      </w:pPr>
    </w:p>
    <w:p>
      <w:pPr>
        <w:ind w:left="820" w:hanging="448"/>
        <w:spacing w:after="0"/>
        <w:tabs>
          <w:tab w:leader="none" w:pos="8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Brokerage Accounts and Statements.</w:t>
      </w:r>
    </w:p>
    <w:p>
      <w:pPr>
        <w:spacing w:after="0" w:line="9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Access Persons, except Independent Directors, shall:</w:t>
      </w:r>
    </w:p>
    <w:p>
      <w:pPr>
        <w:spacing w:after="0" w:line="96" w:lineRule="exact"/>
        <w:rPr>
          <w:sz w:val="20"/>
          <w:szCs w:val="20"/>
          <w:color w:val="auto"/>
        </w:rPr>
      </w:pPr>
    </w:p>
    <w:p>
      <w:pPr>
        <w:jc w:val="both"/>
        <w:ind w:left="1080" w:hanging="357"/>
        <w:spacing w:after="0" w:line="238" w:lineRule="auto"/>
        <w:tabs>
          <w:tab w:leader="none" w:pos="1080" w:val="left"/>
        </w:tabs>
        <w:numPr>
          <w:ilvl w:val="1"/>
          <w:numId w:val="82"/>
        </w:numPr>
        <w:rPr>
          <w:rFonts w:ascii="Arial" w:cs="Arial" w:eastAsia="Arial" w:hAnsi="Arial"/>
          <w:sz w:val="14"/>
          <w:szCs w:val="14"/>
          <w:color w:val="auto"/>
        </w:rPr>
      </w:pPr>
      <w:r>
        <w:rPr>
          <w:rFonts w:ascii="Arial" w:cs="Arial" w:eastAsia="Arial" w:hAnsi="Arial"/>
          <w:sz w:val="14"/>
          <w:szCs w:val="14"/>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74" w:lineRule="exact"/>
        <w:rPr>
          <w:rFonts w:ascii="Arial" w:cs="Arial" w:eastAsia="Arial" w:hAnsi="Arial"/>
          <w:sz w:val="14"/>
          <w:szCs w:val="14"/>
          <w:color w:val="auto"/>
        </w:rPr>
      </w:pPr>
    </w:p>
    <w:p>
      <w:pPr>
        <w:ind w:left="1080" w:hanging="357"/>
        <w:spacing w:after="0"/>
        <w:tabs>
          <w:tab w:leader="none" w:pos="1080" w:val="left"/>
        </w:tabs>
        <w:numPr>
          <w:ilvl w:val="1"/>
          <w:numId w:val="82"/>
        </w:numPr>
        <w:rPr>
          <w:rFonts w:ascii="Arial" w:cs="Arial" w:eastAsia="Arial" w:hAnsi="Arial"/>
          <w:sz w:val="14"/>
          <w:szCs w:val="14"/>
          <w:color w:val="auto"/>
        </w:rPr>
      </w:pPr>
      <w:r>
        <w:rPr>
          <w:rFonts w:ascii="Arial" w:cs="Arial" w:eastAsia="Arial" w:hAnsi="Arial"/>
          <w:sz w:val="14"/>
          <w:szCs w:val="14"/>
          <w:color w:val="auto"/>
        </w:rPr>
        <w:t>instruct the brokers, dealers or banks with whom they maintain such an account to provide duplicate account statements to the Chief Compliance Officer.</w:t>
      </w:r>
    </w:p>
    <w:p>
      <w:pPr>
        <w:spacing w:after="0" w:line="95" w:lineRule="exact"/>
        <w:rPr>
          <w:rFonts w:ascii="Arial" w:cs="Arial" w:eastAsia="Arial" w:hAnsi="Arial"/>
          <w:sz w:val="14"/>
          <w:szCs w:val="14"/>
          <w:color w:val="auto"/>
        </w:rPr>
      </w:pPr>
    </w:p>
    <w:p>
      <w:pPr>
        <w:ind w:left="1080" w:hanging="357"/>
        <w:spacing w:after="0"/>
        <w:tabs>
          <w:tab w:leader="none" w:pos="1080" w:val="left"/>
        </w:tabs>
        <w:numPr>
          <w:ilvl w:val="1"/>
          <w:numId w:val="82"/>
        </w:numPr>
        <w:rPr>
          <w:rFonts w:ascii="Arial" w:cs="Arial" w:eastAsia="Arial" w:hAnsi="Arial"/>
          <w:sz w:val="14"/>
          <w:szCs w:val="14"/>
          <w:color w:val="auto"/>
        </w:rPr>
      </w:pPr>
      <w:r>
        <w:rPr>
          <w:rFonts w:ascii="Arial" w:cs="Arial" w:eastAsia="Arial" w:hAnsi="Arial"/>
          <w:sz w:val="14"/>
          <w:szCs w:val="14"/>
          <w:color w:val="auto"/>
        </w:rPr>
        <w:t>on an annual basis, certify that they have complied with the requirements of (1) and (2) above.</w:t>
      </w:r>
    </w:p>
    <w:p>
      <w:pPr>
        <w:spacing w:after="0" w:line="95" w:lineRule="exact"/>
        <w:rPr>
          <w:rFonts w:ascii="Arial" w:cs="Arial" w:eastAsia="Arial" w:hAnsi="Arial"/>
          <w:sz w:val="14"/>
          <w:szCs w:val="14"/>
          <w:color w:val="auto"/>
        </w:rPr>
      </w:pPr>
    </w:p>
    <w:p>
      <w:pPr>
        <w:ind w:left="820" w:hanging="448"/>
        <w:spacing w:after="0"/>
        <w:tabs>
          <w:tab w:leader="none" w:pos="8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Form of Reports.</w:t>
      </w:r>
    </w:p>
    <w:p>
      <w:pPr>
        <w:spacing w:after="0" w:line="96" w:lineRule="exact"/>
        <w:rPr>
          <w:sz w:val="20"/>
          <w:szCs w:val="20"/>
          <w:color w:val="auto"/>
        </w:rPr>
      </w:pPr>
    </w:p>
    <w:p>
      <w:pPr>
        <w:ind w:firstLine="729"/>
        <w:spacing w:after="0" w:line="253" w:lineRule="auto"/>
        <w:rPr>
          <w:sz w:val="20"/>
          <w:szCs w:val="20"/>
          <w:color w:val="auto"/>
        </w:rPr>
      </w:pPr>
      <w:r>
        <w:rPr>
          <w:rFonts w:ascii="Arial" w:cs="Arial" w:eastAsia="Arial" w:hAnsi="Arial"/>
          <w:sz w:val="14"/>
          <w:szCs w:val="14"/>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66" w:lineRule="exact"/>
        <w:rPr>
          <w:sz w:val="20"/>
          <w:szCs w:val="20"/>
          <w:color w:val="auto"/>
        </w:rPr>
      </w:pPr>
    </w:p>
    <w:p>
      <w:pPr>
        <w:ind w:left="820" w:hanging="448"/>
        <w:spacing w:after="0"/>
        <w:tabs>
          <w:tab w:leader="none" w:pos="8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Responsibility to Report.</w:t>
      </w:r>
    </w:p>
    <w:p>
      <w:pPr>
        <w:spacing w:after="0" w:line="96" w:lineRule="exact"/>
        <w:rPr>
          <w:sz w:val="20"/>
          <w:szCs w:val="20"/>
          <w:color w:val="auto"/>
        </w:rPr>
      </w:pPr>
    </w:p>
    <w:p>
      <w:pPr>
        <w:jc w:val="both"/>
        <w:ind w:firstLine="729"/>
        <w:spacing w:after="0" w:line="238" w:lineRule="auto"/>
        <w:rPr>
          <w:sz w:val="20"/>
          <w:szCs w:val="20"/>
          <w:color w:val="auto"/>
        </w:rPr>
      </w:pPr>
      <w:r>
        <w:rPr>
          <w:rFonts w:ascii="Arial" w:cs="Arial" w:eastAsia="Arial" w:hAnsi="Arial"/>
          <w:sz w:val="14"/>
          <w:szCs w:val="14"/>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75" w:lineRule="exact"/>
        <w:rPr>
          <w:sz w:val="20"/>
          <w:szCs w:val="20"/>
          <w:color w:val="auto"/>
        </w:rPr>
      </w:pPr>
    </w:p>
    <w:p>
      <w:pPr>
        <w:ind w:left="820" w:hanging="448"/>
        <w:spacing w:after="0"/>
        <w:tabs>
          <w:tab w:leader="none" w:pos="8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Where to File Reports.</w:t>
      </w:r>
    </w:p>
    <w:p>
      <w:pPr>
        <w:spacing w:after="0" w:line="9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All Quarterly Securities Transaction Reports and Personal Securities Holdings Reports must be filed with the Chief Compliance Officer.</w:t>
      </w:r>
    </w:p>
    <w:p>
      <w:pPr>
        <w:spacing w:after="0" w:line="96" w:lineRule="exact"/>
        <w:rPr>
          <w:sz w:val="20"/>
          <w:szCs w:val="20"/>
          <w:color w:val="auto"/>
        </w:rPr>
      </w:pPr>
    </w:p>
    <w:p>
      <w:pPr>
        <w:ind w:left="820" w:hanging="448"/>
        <w:spacing w:after="0"/>
        <w:tabs>
          <w:tab w:leader="none" w:pos="8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Disclaimers.</w:t>
      </w:r>
    </w:p>
    <w:p>
      <w:pPr>
        <w:spacing w:after="0" w:line="96" w:lineRule="exact"/>
        <w:rPr>
          <w:sz w:val="20"/>
          <w:szCs w:val="20"/>
          <w:color w:val="auto"/>
        </w:rPr>
      </w:pPr>
    </w:p>
    <w:p>
      <w:pPr>
        <w:ind w:right="20" w:firstLine="729"/>
        <w:spacing w:after="0" w:line="253" w:lineRule="auto"/>
        <w:rPr>
          <w:sz w:val="20"/>
          <w:szCs w:val="20"/>
          <w:color w:val="auto"/>
        </w:rPr>
      </w:pPr>
      <w:r>
        <w:rPr>
          <w:rFonts w:ascii="Arial" w:cs="Arial" w:eastAsia="Arial" w:hAnsi="Arial"/>
          <w:sz w:val="14"/>
          <w:szCs w:val="14"/>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 Additional Prohibitions</w:t>
      </w:r>
    </w:p>
    <w:p>
      <w:pPr>
        <w:spacing w:after="0" w:line="100" w:lineRule="exact"/>
        <w:rPr>
          <w:sz w:val="20"/>
          <w:szCs w:val="20"/>
          <w:color w:val="auto"/>
        </w:rPr>
      </w:pPr>
    </w:p>
    <w:p>
      <w:pPr>
        <w:ind w:left="820" w:hanging="448"/>
        <w:spacing w:after="0"/>
        <w:tabs>
          <w:tab w:leader="none" w:pos="8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Confidentiality of the Corporation’s Transactions.</w:t>
      </w:r>
    </w:p>
    <w:p>
      <w:pPr>
        <w:spacing w:after="0" w:line="96" w:lineRule="exact"/>
        <w:rPr>
          <w:sz w:val="20"/>
          <w:szCs w:val="20"/>
          <w:color w:val="auto"/>
        </w:rPr>
      </w:pPr>
    </w:p>
    <w:p>
      <w:pPr>
        <w:jc w:val="both"/>
        <w:ind w:firstLine="729"/>
        <w:spacing w:after="0" w:line="238" w:lineRule="auto"/>
        <w:rPr>
          <w:sz w:val="20"/>
          <w:szCs w:val="20"/>
          <w:color w:val="auto"/>
        </w:rPr>
      </w:pPr>
      <w:r>
        <w:rPr>
          <w:rFonts w:ascii="Arial" w:cs="Arial" w:eastAsia="Arial" w:hAnsi="Arial"/>
          <w:sz w:val="14"/>
          <w:szCs w:val="14"/>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75" w:lineRule="exact"/>
        <w:rPr>
          <w:sz w:val="20"/>
          <w:szCs w:val="20"/>
          <w:color w:val="auto"/>
        </w:rPr>
      </w:pPr>
    </w:p>
    <w:p>
      <w:pPr>
        <w:ind w:left="820" w:hanging="448"/>
        <w:spacing w:after="0"/>
        <w:tabs>
          <w:tab w:leader="none" w:pos="8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Outside Business Activities and Directorships.</w:t>
      </w:r>
    </w:p>
    <w:p>
      <w:pPr>
        <w:spacing w:after="0" w:line="96" w:lineRule="exact"/>
        <w:rPr>
          <w:sz w:val="20"/>
          <w:szCs w:val="20"/>
          <w:color w:val="auto"/>
        </w:rPr>
      </w:pPr>
    </w:p>
    <w:p>
      <w:pPr>
        <w:jc w:val="both"/>
        <w:ind w:right="20" w:firstLine="729"/>
        <w:spacing w:after="0" w:line="238" w:lineRule="auto"/>
        <w:rPr>
          <w:sz w:val="20"/>
          <w:szCs w:val="20"/>
          <w:color w:val="auto"/>
        </w:rPr>
      </w:pPr>
      <w:r>
        <w:rPr>
          <w:rFonts w:ascii="Arial" w:cs="Arial" w:eastAsia="Arial" w:hAnsi="Arial"/>
          <w:sz w:val="14"/>
          <w:szCs w:val="14"/>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75" w:lineRule="exact"/>
        <w:rPr>
          <w:sz w:val="20"/>
          <w:szCs w:val="20"/>
          <w:color w:val="auto"/>
        </w:rPr>
      </w:pPr>
    </w:p>
    <w:p>
      <w:pPr>
        <w:ind w:left="820" w:hanging="448"/>
        <w:spacing w:after="0"/>
        <w:tabs>
          <w:tab w:leader="none" w:pos="8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Gratuities.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9" w:name="page100"/>
    <w:bookmarkEnd w:id="99"/>
    <w:p>
      <w:pPr>
        <w:jc w:val="both"/>
        <w:ind w:right="20" w:firstLine="729"/>
        <w:spacing w:after="0" w:line="253" w:lineRule="auto"/>
        <w:rPr>
          <w:sz w:val="20"/>
          <w:szCs w:val="20"/>
          <w:color w:val="auto"/>
        </w:rPr>
      </w:pPr>
      <w:r>
        <w:rPr>
          <w:rFonts w:ascii="Arial" w:cs="Arial" w:eastAsia="Arial" w:hAnsi="Arial"/>
          <w:sz w:val="14"/>
          <w:szCs w:val="14"/>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VIII Prohibition Against Insider Trading</w:t>
      </w:r>
    </w:p>
    <w:p>
      <w:pPr>
        <w:spacing w:after="0" w:line="100" w:lineRule="exact"/>
        <w:rPr>
          <w:sz w:val="20"/>
          <w:szCs w:val="20"/>
          <w:color w:val="auto"/>
        </w:rPr>
      </w:pPr>
    </w:p>
    <w:p>
      <w:pPr>
        <w:jc w:val="both"/>
        <w:ind w:firstLine="729"/>
        <w:spacing w:after="0" w:line="251" w:lineRule="auto"/>
        <w:rPr>
          <w:sz w:val="20"/>
          <w:szCs w:val="20"/>
          <w:color w:val="auto"/>
        </w:rPr>
      </w:pPr>
      <w:r>
        <w:rPr>
          <w:rFonts w:ascii="Arial" w:cs="Arial" w:eastAsia="Arial" w:hAnsi="Arial"/>
          <w:sz w:val="13"/>
          <w:szCs w:val="13"/>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69" w:lineRule="exact"/>
        <w:rPr>
          <w:sz w:val="20"/>
          <w:szCs w:val="20"/>
          <w:color w:val="auto"/>
        </w:rPr>
      </w:pPr>
    </w:p>
    <w:p>
      <w:pPr>
        <w:ind w:left="820" w:hanging="448"/>
        <w:spacing w:after="0" w:line="253" w:lineRule="auto"/>
        <w:tabs>
          <w:tab w:leader="none" w:pos="8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65" w:lineRule="exact"/>
        <w:rPr>
          <w:rFonts w:ascii="Arial" w:cs="Arial" w:eastAsia="Arial" w:hAnsi="Arial"/>
          <w:sz w:val="14"/>
          <w:szCs w:val="14"/>
          <w:color w:val="auto"/>
        </w:rPr>
      </w:pPr>
    </w:p>
    <w:p>
      <w:pPr>
        <w:jc w:val="both"/>
        <w:ind w:left="820" w:hanging="448"/>
        <w:spacing w:after="0" w:line="228" w:lineRule="auto"/>
        <w:tabs>
          <w:tab w:leader="none" w:pos="8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76" w:lineRule="exact"/>
        <w:rPr>
          <w:rFonts w:ascii="Arial" w:cs="Arial" w:eastAsia="Arial" w:hAnsi="Arial"/>
          <w:sz w:val="14"/>
          <w:szCs w:val="14"/>
          <w:color w:val="auto"/>
        </w:rPr>
      </w:pPr>
    </w:p>
    <w:p>
      <w:pPr>
        <w:jc w:val="both"/>
        <w:ind w:left="820" w:hanging="448"/>
        <w:spacing w:after="0" w:line="238" w:lineRule="auto"/>
        <w:tabs>
          <w:tab w:leader="none" w:pos="8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Information is “public” when it has been disseminated broadly to investors in the marketplace. For example, information is public after it has become available to the general public through a public filing with the SEC or some other government agency, the Dow Jones “tape” or The Wall Street Journal or some other publication of general circulation, and after sufficient time has passed so that the information has been disseminated widely.</w:t>
      </w:r>
    </w:p>
    <w:p>
      <w:pPr>
        <w:spacing w:after="0" w:line="74" w:lineRule="exact"/>
        <w:rPr>
          <w:rFonts w:ascii="Arial" w:cs="Arial" w:eastAsia="Arial" w:hAnsi="Arial"/>
          <w:sz w:val="14"/>
          <w:szCs w:val="14"/>
          <w:color w:val="auto"/>
        </w:rPr>
      </w:pPr>
    </w:p>
    <w:p>
      <w:pPr>
        <w:jc w:val="both"/>
        <w:ind w:left="820" w:hanging="448"/>
        <w:spacing w:after="0" w:line="238" w:lineRule="auto"/>
        <w:tabs>
          <w:tab w:leader="none" w:pos="8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74" w:lineRule="exact"/>
        <w:rPr>
          <w:rFonts w:ascii="Arial" w:cs="Arial" w:eastAsia="Arial" w:hAnsi="Arial"/>
          <w:sz w:val="14"/>
          <w:szCs w:val="14"/>
          <w:color w:val="auto"/>
        </w:rPr>
      </w:pPr>
    </w:p>
    <w:p>
      <w:pPr>
        <w:ind w:left="1080" w:hanging="357"/>
        <w:spacing w:after="0"/>
        <w:tabs>
          <w:tab w:leader="none" w:pos="1080" w:val="left"/>
        </w:tabs>
        <w:numPr>
          <w:ilvl w:val="1"/>
          <w:numId w:val="90"/>
        </w:numPr>
        <w:rPr>
          <w:rFonts w:ascii="Arial" w:cs="Arial" w:eastAsia="Arial" w:hAnsi="Arial"/>
          <w:sz w:val="14"/>
          <w:szCs w:val="14"/>
          <w:color w:val="auto"/>
        </w:rPr>
      </w:pPr>
      <w:r>
        <w:rPr>
          <w:rFonts w:ascii="Arial" w:cs="Arial" w:eastAsia="Arial" w:hAnsi="Arial"/>
          <w:sz w:val="14"/>
          <w:szCs w:val="14"/>
          <w:color w:val="auto"/>
        </w:rPr>
        <w:t>Report the information and proposed trade immediately to the Chief Compliance Officer.</w:t>
      </w:r>
    </w:p>
    <w:p>
      <w:pPr>
        <w:spacing w:after="0" w:line="95" w:lineRule="exact"/>
        <w:rPr>
          <w:rFonts w:ascii="Arial" w:cs="Arial" w:eastAsia="Arial" w:hAnsi="Arial"/>
          <w:sz w:val="14"/>
          <w:szCs w:val="14"/>
          <w:color w:val="auto"/>
        </w:rPr>
      </w:pPr>
    </w:p>
    <w:p>
      <w:pPr>
        <w:ind w:left="1080" w:hanging="357"/>
        <w:spacing w:after="0"/>
        <w:tabs>
          <w:tab w:leader="none" w:pos="1080" w:val="left"/>
        </w:tabs>
        <w:numPr>
          <w:ilvl w:val="1"/>
          <w:numId w:val="90"/>
        </w:numPr>
        <w:rPr>
          <w:rFonts w:ascii="Arial" w:cs="Arial" w:eastAsia="Arial" w:hAnsi="Arial"/>
          <w:sz w:val="14"/>
          <w:szCs w:val="14"/>
          <w:color w:val="auto"/>
        </w:rPr>
      </w:pPr>
      <w:r>
        <w:rPr>
          <w:rFonts w:ascii="Arial" w:cs="Arial" w:eastAsia="Arial" w:hAnsi="Arial"/>
          <w:sz w:val="14"/>
          <w:szCs w:val="14"/>
          <w:color w:val="auto"/>
        </w:rPr>
        <w:t>Do not purchase or sell the securities on behalf of anyone, including Client Accounts.</w:t>
      </w:r>
    </w:p>
    <w:p>
      <w:pPr>
        <w:spacing w:after="0" w:line="95" w:lineRule="exact"/>
        <w:rPr>
          <w:rFonts w:ascii="Arial" w:cs="Arial" w:eastAsia="Arial" w:hAnsi="Arial"/>
          <w:sz w:val="14"/>
          <w:szCs w:val="14"/>
          <w:color w:val="auto"/>
        </w:rPr>
      </w:pPr>
    </w:p>
    <w:p>
      <w:pPr>
        <w:ind w:left="1080" w:hanging="357"/>
        <w:spacing w:after="0"/>
        <w:tabs>
          <w:tab w:leader="none" w:pos="1080" w:val="left"/>
        </w:tabs>
        <w:numPr>
          <w:ilvl w:val="1"/>
          <w:numId w:val="90"/>
        </w:numPr>
        <w:rPr>
          <w:rFonts w:ascii="Arial" w:cs="Arial" w:eastAsia="Arial" w:hAnsi="Arial"/>
          <w:sz w:val="14"/>
          <w:szCs w:val="14"/>
          <w:color w:val="auto"/>
        </w:rPr>
      </w:pPr>
      <w:r>
        <w:rPr>
          <w:rFonts w:ascii="Arial" w:cs="Arial" w:eastAsia="Arial" w:hAnsi="Arial"/>
          <w:sz w:val="14"/>
          <w:szCs w:val="14"/>
          <w:color w:val="auto"/>
        </w:rPr>
        <w:t>Do not communicate the information to any person, other than to the Chief Compliance Officer.</w:t>
      </w:r>
    </w:p>
    <w:p>
      <w:pPr>
        <w:spacing w:after="0" w:line="9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75" w:lineRule="exact"/>
        <w:rPr>
          <w:sz w:val="20"/>
          <w:szCs w:val="20"/>
          <w:color w:val="auto"/>
        </w:rPr>
      </w:pPr>
    </w:p>
    <w:p>
      <w:pPr>
        <w:jc w:val="both"/>
        <w:ind w:left="820" w:hanging="448"/>
        <w:spacing w:after="0" w:line="228" w:lineRule="auto"/>
        <w:tabs>
          <w:tab w:leader="none" w:pos="8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76" w:lineRule="exact"/>
        <w:rPr>
          <w:rFonts w:ascii="Arial" w:cs="Arial" w:eastAsia="Arial" w:hAnsi="Arial"/>
          <w:sz w:val="14"/>
          <w:szCs w:val="14"/>
          <w:color w:val="auto"/>
        </w:rPr>
      </w:pPr>
    </w:p>
    <w:p>
      <w:pPr>
        <w:jc w:val="both"/>
        <w:ind w:left="820" w:hanging="448"/>
        <w:spacing w:after="0" w:line="229" w:lineRule="auto"/>
        <w:tabs>
          <w:tab w:leader="none" w:pos="8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IX Annual Certification</w:t>
      </w:r>
    </w:p>
    <w:p>
      <w:pPr>
        <w:spacing w:after="0" w:line="100" w:lineRule="exact"/>
        <w:rPr>
          <w:sz w:val="20"/>
          <w:szCs w:val="20"/>
          <w:color w:val="auto"/>
        </w:rPr>
      </w:pPr>
    </w:p>
    <w:p>
      <w:pPr>
        <w:ind w:left="820" w:hanging="448"/>
        <w:spacing w:after="0"/>
        <w:tabs>
          <w:tab w:leader="none" w:pos="8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Access Persons.</w:t>
      </w:r>
    </w:p>
    <w:p>
      <w:pPr>
        <w:spacing w:after="0" w:line="96" w:lineRule="exact"/>
        <w:rPr>
          <w:sz w:val="20"/>
          <w:szCs w:val="20"/>
          <w:color w:val="auto"/>
        </w:rPr>
      </w:pPr>
    </w:p>
    <w:p>
      <w:pPr>
        <w:ind w:right="20" w:firstLine="729"/>
        <w:spacing w:after="0" w:line="290" w:lineRule="auto"/>
        <w:rPr>
          <w:sz w:val="20"/>
          <w:szCs w:val="20"/>
          <w:color w:val="auto"/>
        </w:rPr>
      </w:pPr>
      <w:r>
        <w:rPr>
          <w:rFonts w:ascii="Arial" w:cs="Arial" w:eastAsia="Arial" w:hAnsi="Arial"/>
          <w:sz w:val="13"/>
          <w:szCs w:val="13"/>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44" w:lineRule="exact"/>
        <w:rPr>
          <w:sz w:val="20"/>
          <w:szCs w:val="20"/>
          <w:color w:val="auto"/>
        </w:rPr>
      </w:pPr>
    </w:p>
    <w:p>
      <w:pPr>
        <w:ind w:left="820" w:hanging="448"/>
        <w:spacing w:after="0"/>
        <w:tabs>
          <w:tab w:leader="none" w:pos="8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Board Review.</w:t>
      </w:r>
    </w:p>
    <w:p>
      <w:pPr>
        <w:spacing w:after="0" w:line="96" w:lineRule="exact"/>
        <w:rPr>
          <w:sz w:val="20"/>
          <w:szCs w:val="20"/>
          <w:color w:val="auto"/>
        </w:rPr>
      </w:pPr>
    </w:p>
    <w:p>
      <w:pPr>
        <w:jc w:val="both"/>
        <w:ind w:right="20" w:firstLine="729"/>
        <w:spacing w:after="0" w:line="233" w:lineRule="auto"/>
        <w:rPr>
          <w:sz w:val="20"/>
          <w:szCs w:val="20"/>
          <w:color w:val="auto"/>
        </w:rPr>
      </w:pPr>
      <w:r>
        <w:rPr>
          <w:rFonts w:ascii="Arial" w:cs="Arial" w:eastAsia="Arial" w:hAnsi="Arial"/>
          <w:sz w:val="14"/>
          <w:szCs w:val="14"/>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color w:val="auto"/>
        </w:rPr>
        <w:t>Section X Sanctions</w:t>
      </w:r>
    </w:p>
    <w:p>
      <w:pPr>
        <w:spacing w:after="0" w:line="100" w:lineRule="exact"/>
        <w:rPr>
          <w:sz w:val="20"/>
          <w:szCs w:val="20"/>
          <w:color w:val="auto"/>
        </w:rPr>
      </w:pPr>
    </w:p>
    <w:p>
      <w:pPr>
        <w:jc w:val="both"/>
        <w:ind w:firstLine="729"/>
        <w:spacing w:after="0" w:line="251" w:lineRule="auto"/>
        <w:rPr>
          <w:sz w:val="20"/>
          <w:szCs w:val="20"/>
          <w:color w:val="auto"/>
        </w:rPr>
      </w:pPr>
      <w:r>
        <w:rPr>
          <w:rFonts w:ascii="Arial" w:cs="Arial" w:eastAsia="Arial" w:hAnsi="Arial"/>
          <w:sz w:val="13"/>
          <w:szCs w:val="13"/>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XI Administration and Construction</w:t>
      </w:r>
    </w:p>
    <w:p>
      <w:pPr>
        <w:spacing w:after="0" w:line="100" w:lineRule="exact"/>
        <w:rPr>
          <w:sz w:val="20"/>
          <w:szCs w:val="20"/>
          <w:color w:val="auto"/>
        </w:rPr>
      </w:pPr>
    </w:p>
    <w:p>
      <w:pPr>
        <w:ind w:left="820" w:hanging="448"/>
        <w:spacing w:after="0"/>
        <w:tabs>
          <w:tab w:leader="none" w:pos="8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administration of this Code shall be the responsibility of the Chief Compliance Officer.</w:t>
      </w:r>
    </w:p>
    <w:p>
      <w:pPr>
        <w:spacing w:after="0" w:line="95" w:lineRule="exact"/>
        <w:rPr>
          <w:rFonts w:ascii="Arial" w:cs="Arial" w:eastAsia="Arial" w:hAnsi="Arial"/>
          <w:sz w:val="14"/>
          <w:szCs w:val="14"/>
          <w:color w:val="auto"/>
        </w:rPr>
      </w:pPr>
    </w:p>
    <w:p>
      <w:pPr>
        <w:ind w:left="820" w:hanging="448"/>
        <w:spacing w:after="0"/>
        <w:tabs>
          <w:tab w:leader="none" w:pos="8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duties of the Chief Compliance Officer are as follows:</w:t>
      </w:r>
    </w:p>
    <w:p>
      <w:pPr>
        <w:spacing w:after="0" w:line="95" w:lineRule="exact"/>
        <w:rPr>
          <w:rFonts w:ascii="Arial" w:cs="Arial" w:eastAsia="Arial" w:hAnsi="Arial"/>
          <w:sz w:val="14"/>
          <w:szCs w:val="14"/>
          <w:color w:val="auto"/>
        </w:rPr>
      </w:pPr>
    </w:p>
    <w:p>
      <w:pPr>
        <w:jc w:val="both"/>
        <w:ind w:left="1080" w:hanging="357"/>
        <w:spacing w:after="0" w:line="238" w:lineRule="auto"/>
        <w:tabs>
          <w:tab w:leader="none" w:pos="10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74" w:lineRule="exact"/>
        <w:rPr>
          <w:rFonts w:ascii="Arial" w:cs="Arial" w:eastAsia="Arial" w:hAnsi="Arial"/>
          <w:sz w:val="14"/>
          <w:szCs w:val="14"/>
          <w:color w:val="auto"/>
        </w:rPr>
      </w:pPr>
    </w:p>
    <w:p>
      <w:pPr>
        <w:ind w:left="1080" w:right="20" w:hanging="357"/>
        <w:spacing w:after="0" w:line="253" w:lineRule="auto"/>
        <w:tabs>
          <w:tab w:leader="none" w:pos="10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On an annual basis, providing all Covered Personnel a copy of this Code and informing such persons of their duties and obligations hereunder including any supplemental training that may be required from time to time;</w:t>
      </w:r>
    </w:p>
    <w:p>
      <w:pPr>
        <w:spacing w:after="0" w:line="65" w:lineRule="exact"/>
        <w:rPr>
          <w:rFonts w:ascii="Arial" w:cs="Arial" w:eastAsia="Arial" w:hAnsi="Arial"/>
          <w:sz w:val="14"/>
          <w:szCs w:val="14"/>
          <w:color w:val="auto"/>
        </w:rPr>
      </w:pPr>
    </w:p>
    <w:p>
      <w:pPr>
        <w:ind w:left="1080" w:hanging="357"/>
        <w:spacing w:after="0"/>
        <w:tabs>
          <w:tab w:leader="none" w:pos="10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Maintaining or supervising the maintenance of all records and reports required by this Code;</w:t>
      </w:r>
    </w:p>
    <w:p>
      <w:pPr>
        <w:spacing w:after="0" w:line="95" w:lineRule="exact"/>
        <w:rPr>
          <w:rFonts w:ascii="Arial" w:cs="Arial" w:eastAsia="Arial" w:hAnsi="Arial"/>
          <w:sz w:val="14"/>
          <w:szCs w:val="14"/>
          <w:color w:val="auto"/>
        </w:rPr>
      </w:pPr>
    </w:p>
    <w:p>
      <w:pPr>
        <w:ind w:left="1080" w:hanging="357"/>
        <w:spacing w:after="0" w:line="253" w:lineRule="auto"/>
        <w:tabs>
          <w:tab w:leader="none" w:pos="10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65" w:lineRule="exact"/>
        <w:rPr>
          <w:rFonts w:ascii="Arial" w:cs="Arial" w:eastAsia="Arial" w:hAnsi="Arial"/>
          <w:sz w:val="14"/>
          <w:szCs w:val="14"/>
          <w:color w:val="auto"/>
        </w:rPr>
      </w:pPr>
    </w:p>
    <w:p>
      <w:pPr>
        <w:ind w:left="1080" w:hanging="357"/>
        <w:spacing w:after="0" w:line="253" w:lineRule="auto"/>
        <w:tabs>
          <w:tab w:leader="none" w:pos="10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Issuance either personally or with the assistance of counsel as may be appropriate, of any interpretation of this Code that may appear consistent with the objectives of Rule 17j-1 and this Code;</w:t>
      </w:r>
    </w:p>
    <w:p>
      <w:pPr>
        <w:spacing w:after="0" w:line="65" w:lineRule="exact"/>
        <w:rPr>
          <w:rFonts w:ascii="Arial" w:cs="Arial" w:eastAsia="Arial" w:hAnsi="Arial"/>
          <w:sz w:val="14"/>
          <w:szCs w:val="14"/>
          <w:color w:val="auto"/>
        </w:rPr>
      </w:pPr>
    </w:p>
    <w:p>
      <w:pPr>
        <w:ind w:left="1080" w:hanging="357"/>
        <w:spacing w:after="0" w:line="253" w:lineRule="auto"/>
        <w:tabs>
          <w:tab w:leader="none" w:pos="10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Conduct such inspections or investigations as shall reasonably be required to detect and report, with recommendations, any apparent violations of this Code to the board of directors of the Corporation;</w:t>
      </w:r>
    </w:p>
    <w:p>
      <w:pPr>
        <w:spacing w:after="0" w:line="65" w:lineRule="exact"/>
        <w:rPr>
          <w:rFonts w:ascii="Arial" w:cs="Arial" w:eastAsia="Arial" w:hAnsi="Arial"/>
          <w:sz w:val="14"/>
          <w:szCs w:val="14"/>
          <w:color w:val="auto"/>
        </w:rPr>
      </w:pPr>
    </w:p>
    <w:p>
      <w:pPr>
        <w:ind w:left="1080" w:hanging="357"/>
        <w:spacing w:after="0" w:line="253" w:lineRule="auto"/>
        <w:tabs>
          <w:tab w:leader="none" w:pos="10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65" w:lineRule="exact"/>
        <w:rPr>
          <w:rFonts w:ascii="Arial" w:cs="Arial" w:eastAsia="Arial" w:hAnsi="Arial"/>
          <w:sz w:val="14"/>
          <w:szCs w:val="14"/>
          <w:color w:val="auto"/>
        </w:rPr>
      </w:pPr>
    </w:p>
    <w:p>
      <w:pPr>
        <w:ind w:left="820" w:hanging="448"/>
        <w:spacing w:after="0" w:line="253" w:lineRule="auto"/>
        <w:tabs>
          <w:tab w:leader="none" w:pos="8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Chief Financial Officer shall maintain and cause to be maintained in an easily accessible place at the principal place of business of the 17j-1 Organization, the following records:</w:t>
      </w:r>
    </w:p>
    <w:p>
      <w:pPr>
        <w:spacing w:after="0" w:line="65" w:lineRule="exact"/>
        <w:rPr>
          <w:rFonts w:ascii="Arial" w:cs="Arial" w:eastAsia="Arial" w:hAnsi="Arial"/>
          <w:sz w:val="14"/>
          <w:szCs w:val="14"/>
          <w:color w:val="auto"/>
        </w:rPr>
      </w:pPr>
    </w:p>
    <w:p>
      <w:pPr>
        <w:ind w:left="1080" w:hanging="357"/>
        <w:spacing w:after="0" w:line="253" w:lineRule="auto"/>
        <w:tabs>
          <w:tab w:leader="none" w:pos="10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A copy of all codes of ethics adopted by the Corporation or the Adviser and its affiliates, as the case may be, pursuant to Rule 17j-1 that have been in effect at any time during the past five (5) years;</w:t>
      </w:r>
    </w:p>
    <w:p>
      <w:pPr>
        <w:spacing w:after="0" w:line="65" w:lineRule="exact"/>
        <w:rPr>
          <w:rFonts w:ascii="Arial" w:cs="Arial" w:eastAsia="Arial" w:hAnsi="Arial"/>
          <w:sz w:val="14"/>
          <w:szCs w:val="14"/>
          <w:color w:val="auto"/>
        </w:rPr>
      </w:pPr>
    </w:p>
    <w:p>
      <w:pPr>
        <w:ind w:left="1080" w:hanging="357"/>
        <w:spacing w:after="0" w:line="253" w:lineRule="auto"/>
        <w:tabs>
          <w:tab w:leader="none" w:pos="10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A record of each violation of such codes of ethics and of any action taken as a result of such violation for at least five (5) years after the end of the fiscal year in which the violation occurs;</w:t>
      </w:r>
    </w:p>
    <w:p>
      <w:pPr>
        <w:spacing w:after="0" w:line="65" w:lineRule="exact"/>
        <w:rPr>
          <w:rFonts w:ascii="Arial" w:cs="Arial" w:eastAsia="Arial" w:hAnsi="Arial"/>
          <w:sz w:val="14"/>
          <w:szCs w:val="14"/>
          <w:color w:val="auto"/>
        </w:rPr>
      </w:pPr>
    </w:p>
    <w:p>
      <w:pPr>
        <w:ind w:left="1080" w:hanging="357"/>
        <w:spacing w:after="0" w:line="253" w:lineRule="auto"/>
        <w:tabs>
          <w:tab w:leader="none" w:pos="10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A copy of each report made by an Access Person for at least two (2) years after the end of the fiscal year in which the report is made, and for an additional three (3) years in a place that need not be easily accessible;</w:t>
      </w:r>
    </w:p>
    <w:p>
      <w:pPr>
        <w:spacing w:after="0" w:line="65" w:lineRule="exact"/>
        <w:rPr>
          <w:rFonts w:ascii="Arial" w:cs="Arial" w:eastAsia="Arial" w:hAnsi="Arial"/>
          <w:sz w:val="14"/>
          <w:szCs w:val="14"/>
          <w:color w:val="auto"/>
        </w:rPr>
      </w:pPr>
    </w:p>
    <w:p>
      <w:pPr>
        <w:ind w:left="1080" w:hanging="357"/>
        <w:spacing w:after="0" w:line="253" w:lineRule="auto"/>
        <w:tabs>
          <w:tab w:leader="none" w:pos="10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65" w:lineRule="exact"/>
        <w:rPr>
          <w:rFonts w:ascii="Arial" w:cs="Arial" w:eastAsia="Arial" w:hAnsi="Arial"/>
          <w:sz w:val="14"/>
          <w:szCs w:val="14"/>
          <w:color w:val="auto"/>
        </w:rPr>
      </w:pPr>
    </w:p>
    <w:p>
      <w:pPr>
        <w:ind w:left="1080" w:hanging="357"/>
        <w:spacing w:after="0" w:line="253" w:lineRule="auto"/>
        <w:tabs>
          <w:tab w:leader="none" w:pos="10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A list of all persons who are, or within the past five (5) years have been, required to make reports pursuant to the Rule and this Code of Ethics, or who are or were responsible for reviewing such reports;</w:t>
      </w:r>
    </w:p>
    <w:p>
      <w:pPr>
        <w:spacing w:after="0" w:line="65" w:lineRule="exact"/>
        <w:rPr>
          <w:rFonts w:ascii="Arial" w:cs="Arial" w:eastAsia="Arial" w:hAnsi="Arial"/>
          <w:sz w:val="14"/>
          <w:szCs w:val="14"/>
          <w:color w:val="auto"/>
        </w:rPr>
      </w:pPr>
    </w:p>
    <w:p>
      <w:pPr>
        <w:ind w:left="1080" w:hanging="357"/>
        <w:spacing w:after="0" w:line="253" w:lineRule="auto"/>
        <w:tabs>
          <w:tab w:leader="none" w:pos="10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A copy of each report required by Section VII (B) for at least two (2) years after the end of the fiscal year in which it is made, and for an additional three (3) years in a place that need not be easily accessible; and</w:t>
      </w:r>
    </w:p>
    <w:p>
      <w:pPr>
        <w:spacing w:after="0" w:line="65" w:lineRule="exact"/>
        <w:rPr>
          <w:rFonts w:ascii="Arial" w:cs="Arial" w:eastAsia="Arial" w:hAnsi="Arial"/>
          <w:sz w:val="14"/>
          <w:szCs w:val="14"/>
          <w:color w:val="auto"/>
        </w:rPr>
      </w:pPr>
    </w:p>
    <w:p>
      <w:pPr>
        <w:ind w:left="1080" w:hanging="357"/>
        <w:spacing w:after="0" w:line="253" w:lineRule="auto"/>
        <w:tabs>
          <w:tab w:leader="none" w:pos="10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65" w:lineRule="exact"/>
        <w:rPr>
          <w:rFonts w:ascii="Arial" w:cs="Arial" w:eastAsia="Arial" w:hAnsi="Arial"/>
          <w:sz w:val="14"/>
          <w:szCs w:val="14"/>
          <w:color w:val="auto"/>
        </w:rPr>
      </w:pPr>
    </w:p>
    <w:p>
      <w:pPr>
        <w:ind w:left="820" w:hanging="448"/>
        <w:spacing w:after="0"/>
        <w:tabs>
          <w:tab w:leader="none" w:pos="8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This Code may not be amended or modified except in a written form that is specifically approved by majority vote of the Independent Directors.</w:t>
      </w:r>
    </w:p>
    <w:p>
      <w:pPr>
        <w:spacing w:after="0" w:line="96" w:lineRule="exact"/>
        <w:rPr>
          <w:sz w:val="20"/>
          <w:szCs w:val="20"/>
          <w:color w:val="auto"/>
        </w:rPr>
      </w:pPr>
    </w:p>
    <w:p>
      <w:pPr>
        <w:ind w:left="740"/>
        <w:spacing w:after="0" w:line="253" w:lineRule="auto"/>
        <w:rPr>
          <w:sz w:val="20"/>
          <w:szCs w:val="20"/>
          <w:color w:val="auto"/>
        </w:rPr>
      </w:pPr>
      <w:r>
        <w:rPr>
          <w:rFonts w:ascii="Arial" w:cs="Arial" w:eastAsia="Arial" w:hAnsi="Arial"/>
          <w:sz w:val="14"/>
          <w:szCs w:val="14"/>
          <w:color w:val="auto"/>
        </w:rPr>
        <w:t>This Joint Code of Ethics, originally adopted December 12, 2007, is annually reviewed and approved by the Board of Directors of the Corporation, including a majority of the Independent Directors.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576"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7240" w:type="dxa"/>
            <w:vAlign w:val="bottom"/>
            <w:gridSpan w:val="2"/>
          </w:tcPr>
          <w:p>
            <w:pPr>
              <w:ind w:left="6340"/>
              <w:spacing w:after="0"/>
              <w:rPr>
                <w:sz w:val="20"/>
                <w:szCs w:val="20"/>
                <w:color w:val="auto"/>
              </w:rPr>
            </w:pPr>
            <w:r>
              <w:rPr>
                <w:rFonts w:ascii="Arial" w:cs="Arial" w:eastAsia="Arial" w:hAnsi="Arial"/>
                <w:sz w:val="14"/>
                <w:szCs w:val="14"/>
                <w:b w:val="1"/>
                <w:bCs w:val="1"/>
                <w:color w:val="auto"/>
              </w:rPr>
              <w:t>EXHIBIT 21.1</w:t>
            </w: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240" w:type="dxa"/>
            <w:vAlign w:val="bottom"/>
            <w:gridSpan w:val="2"/>
          </w:tcPr>
          <w:p>
            <w:pPr>
              <w:ind w:left="720"/>
              <w:spacing w:after="0"/>
              <w:rPr>
                <w:sz w:val="20"/>
                <w:szCs w:val="20"/>
                <w:color w:val="auto"/>
              </w:rPr>
            </w:pPr>
            <w:r>
              <w:rPr>
                <w:rFonts w:ascii="Arial" w:cs="Arial" w:eastAsia="Arial" w:hAnsi="Arial"/>
                <w:sz w:val="14"/>
                <w:szCs w:val="14"/>
                <w:b w:val="1"/>
                <w:bCs w:val="1"/>
                <w:color w:val="auto"/>
              </w:rPr>
              <w:t>Subsidiaries of the Registrant</w:t>
            </w:r>
          </w:p>
        </w:tc>
        <w:tc>
          <w:tcPr>
            <w:tcW w:w="0" w:type="dxa"/>
            <w:vAlign w:val="bottom"/>
          </w:tcPr>
          <w:p>
            <w:pPr>
              <w:spacing w:after="0"/>
              <w:rPr>
                <w:sz w:val="1"/>
                <w:szCs w:val="1"/>
                <w:color w:val="auto"/>
              </w:rPr>
            </w:pPr>
          </w:p>
        </w:tc>
      </w:tr>
      <w:tr>
        <w:trPr>
          <w:trHeight w:val="259"/>
        </w:trPr>
        <w:tc>
          <w:tcPr>
            <w:tcW w:w="4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Name of entity and place of jurisdiction</w:t>
            </w:r>
          </w:p>
        </w:tc>
        <w:tc>
          <w:tcPr>
            <w:tcW w:w="7240" w:type="dxa"/>
            <w:vAlign w:val="bottom"/>
            <w:gridSpan w:val="2"/>
          </w:tcPr>
          <w:p>
            <w:pPr>
              <w:ind w:left="5520"/>
              <w:spacing w:after="0"/>
              <w:rPr>
                <w:sz w:val="20"/>
                <w:szCs w:val="20"/>
                <w:color w:val="auto"/>
              </w:rPr>
            </w:pPr>
            <w:r>
              <w:rPr>
                <w:rFonts w:ascii="Arial" w:cs="Arial" w:eastAsia="Arial" w:hAnsi="Arial"/>
                <w:sz w:val="14"/>
                <w:szCs w:val="14"/>
                <w:b w:val="1"/>
                <w:bCs w:val="1"/>
                <w:color w:val="auto"/>
              </w:rPr>
              <w:t>Voting Securities</w:t>
            </w:r>
          </w:p>
        </w:tc>
        <w:tc>
          <w:tcPr>
            <w:tcW w:w="0" w:type="dxa"/>
            <w:vAlign w:val="bottom"/>
          </w:tcPr>
          <w:p>
            <w:pPr>
              <w:spacing w:after="0"/>
              <w:rPr>
                <w:sz w:val="1"/>
                <w:szCs w:val="1"/>
                <w:color w:val="auto"/>
              </w:rPr>
            </w:pPr>
          </w:p>
        </w:tc>
      </w:tr>
      <w:tr>
        <w:trPr>
          <w:trHeight w:val="171"/>
        </w:trPr>
        <w:tc>
          <w:tcPr>
            <w:tcW w:w="4000" w:type="dxa"/>
            <w:vAlign w:val="bottom"/>
            <w:gridSpan w:val="3"/>
            <w:vMerge w:val="continue"/>
          </w:tcPr>
          <w:p>
            <w:pPr>
              <w:spacing w:after="0"/>
              <w:rPr>
                <w:sz w:val="14"/>
                <w:szCs w:val="14"/>
                <w:color w:val="auto"/>
              </w:rPr>
            </w:pPr>
          </w:p>
        </w:tc>
        <w:tc>
          <w:tcPr>
            <w:tcW w:w="7240" w:type="dxa"/>
            <w:vAlign w:val="bottom"/>
            <w:gridSpan w:val="2"/>
          </w:tcPr>
          <w:p>
            <w:pPr>
              <w:ind w:left="5460"/>
              <w:spacing w:after="0"/>
              <w:rPr>
                <w:sz w:val="20"/>
                <w:szCs w:val="20"/>
                <w:color w:val="auto"/>
              </w:rPr>
            </w:pPr>
            <w:r>
              <w:rPr>
                <w:rFonts w:ascii="Arial" w:cs="Arial" w:eastAsia="Arial" w:hAnsi="Arial"/>
                <w:sz w:val="14"/>
                <w:szCs w:val="14"/>
                <w:b w:val="1"/>
                <w:bCs w:val="1"/>
                <w:color w:val="auto"/>
              </w:rPr>
              <w:t>Owned Percentage</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940" w:type="dxa"/>
            <w:vAlign w:val="bottom"/>
            <w:gridSpan w:val="2"/>
            <w:shd w:val="clear" w:color="auto" w:fill="CCECFF"/>
          </w:tcPr>
          <w:p>
            <w:pPr>
              <w:spacing w:after="0" w:line="149" w:lineRule="exact"/>
              <w:rPr>
                <w:sz w:val="20"/>
                <w:szCs w:val="20"/>
                <w:color w:val="auto"/>
              </w:rPr>
            </w:pPr>
            <w:r>
              <w:rPr>
                <w:rFonts w:ascii="Arial" w:cs="Arial" w:eastAsia="Arial" w:hAnsi="Arial"/>
                <w:sz w:val="14"/>
                <w:szCs w:val="14"/>
                <w:color w:val="auto"/>
              </w:rPr>
              <w:t>PennantPark Floating Rate Funding I, LLC (Delaware)</w:t>
            </w:r>
          </w:p>
        </w:tc>
        <w:tc>
          <w:tcPr>
            <w:tcW w:w="7200" w:type="dxa"/>
            <w:vAlign w:val="bottom"/>
            <w:shd w:val="clear" w:color="auto" w:fill="CCECFF"/>
          </w:tcPr>
          <w:p>
            <w:pPr>
              <w:ind w:left="6660"/>
              <w:spacing w:after="0" w:line="149"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PennantPark Floating Rate Funding II, LLC (Delaware)</w:t>
            </w:r>
          </w:p>
        </w:tc>
        <w:tc>
          <w:tcPr>
            <w:tcW w:w="7200" w:type="dxa"/>
            <w:vAlign w:val="bottom"/>
          </w:tcPr>
          <w:p>
            <w:pPr>
              <w:ind w:left="6660"/>
              <w:spacing w:after="0" w:line="149"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940" w:type="dxa"/>
            <w:vAlign w:val="bottom"/>
            <w:gridSpan w:val="2"/>
            <w:shd w:val="clear" w:color="auto" w:fill="CCECFF"/>
          </w:tcPr>
          <w:p>
            <w:pPr>
              <w:spacing w:after="0" w:line="149" w:lineRule="exact"/>
              <w:rPr>
                <w:sz w:val="20"/>
                <w:szCs w:val="20"/>
                <w:color w:val="auto"/>
              </w:rPr>
            </w:pPr>
            <w:r>
              <w:rPr>
                <w:rFonts w:ascii="Arial" w:cs="Arial" w:eastAsia="Arial" w:hAnsi="Arial"/>
                <w:sz w:val="14"/>
                <w:szCs w:val="14"/>
                <w:color w:val="auto"/>
              </w:rPr>
              <w:t>PennantPark CLO I, LLC (Delaware)</w:t>
            </w:r>
          </w:p>
        </w:tc>
        <w:tc>
          <w:tcPr>
            <w:tcW w:w="7200" w:type="dxa"/>
            <w:vAlign w:val="bottom"/>
            <w:shd w:val="clear" w:color="auto" w:fill="CCECFF"/>
          </w:tcPr>
          <w:p>
            <w:pPr>
              <w:ind w:left="6660"/>
              <w:spacing w:after="0" w:line="149"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PennantPark CLO I, Ltd. (Cayman Islands)</w:t>
            </w:r>
          </w:p>
        </w:tc>
        <w:tc>
          <w:tcPr>
            <w:tcW w:w="7200" w:type="dxa"/>
            <w:vAlign w:val="bottom"/>
          </w:tcPr>
          <w:p>
            <w:pPr>
              <w:ind w:left="6660"/>
              <w:spacing w:after="0" w:line="149"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940" w:type="dxa"/>
            <w:vAlign w:val="bottom"/>
            <w:gridSpan w:val="2"/>
            <w:shd w:val="clear" w:color="auto" w:fill="CCECFF"/>
          </w:tcPr>
          <w:p>
            <w:pPr>
              <w:spacing w:after="0" w:line="149" w:lineRule="exact"/>
              <w:rPr>
                <w:sz w:val="20"/>
                <w:szCs w:val="20"/>
                <w:color w:val="auto"/>
              </w:rPr>
            </w:pPr>
            <w:r>
              <w:rPr>
                <w:rFonts w:ascii="Arial" w:cs="Arial" w:eastAsia="Arial" w:hAnsi="Arial"/>
                <w:sz w:val="14"/>
                <w:szCs w:val="14"/>
                <w:color w:val="auto"/>
              </w:rPr>
              <w:t>PennantPark CLO I Depositor, LLC (Delaware)</w:t>
            </w:r>
          </w:p>
        </w:tc>
        <w:tc>
          <w:tcPr>
            <w:tcW w:w="7200" w:type="dxa"/>
            <w:vAlign w:val="bottom"/>
            <w:shd w:val="clear" w:color="auto" w:fill="CCECFF"/>
          </w:tcPr>
          <w:p>
            <w:pPr>
              <w:ind w:left="6660"/>
              <w:spacing w:after="0" w:line="149"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PFLT Investment Holdings, LLC (Delaware)</w:t>
            </w:r>
          </w:p>
        </w:tc>
        <w:tc>
          <w:tcPr>
            <w:tcW w:w="7200" w:type="dxa"/>
            <w:vAlign w:val="bottom"/>
          </w:tcPr>
          <w:p>
            <w:pPr>
              <w:ind w:left="6660"/>
              <w:spacing w:after="0" w:line="149"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940" w:type="dxa"/>
            <w:vAlign w:val="bottom"/>
            <w:gridSpan w:val="2"/>
            <w:shd w:val="clear" w:color="auto" w:fill="CCECFF"/>
          </w:tcPr>
          <w:p>
            <w:pPr>
              <w:spacing w:after="0" w:line="149" w:lineRule="exact"/>
              <w:rPr>
                <w:sz w:val="20"/>
                <w:szCs w:val="20"/>
                <w:color w:val="auto"/>
              </w:rPr>
            </w:pPr>
            <w:r>
              <w:rPr>
                <w:rFonts w:ascii="Arial" w:cs="Arial" w:eastAsia="Arial" w:hAnsi="Arial"/>
                <w:sz w:val="14"/>
                <w:szCs w:val="14"/>
                <w:color w:val="auto"/>
              </w:rPr>
              <w:t>PennantPark Senior Secured Loan Fund I LLC</w:t>
            </w:r>
          </w:p>
        </w:tc>
        <w:tc>
          <w:tcPr>
            <w:tcW w:w="7200" w:type="dxa"/>
            <w:vAlign w:val="bottom"/>
            <w:shd w:val="clear" w:color="auto" w:fill="CCECFF"/>
          </w:tcPr>
          <w:p>
            <w:pPr>
              <w:ind w:left="6660"/>
              <w:spacing w:after="0" w:line="149" w:lineRule="exact"/>
              <w:rPr>
                <w:sz w:val="20"/>
                <w:szCs w:val="20"/>
                <w:color w:val="auto"/>
              </w:rPr>
            </w:pPr>
            <w:r>
              <w:rPr>
                <w:rFonts w:ascii="Arial" w:cs="Arial" w:eastAsia="Arial" w:hAnsi="Arial"/>
                <w:sz w:val="14"/>
                <w:szCs w:val="14"/>
                <w:color w:val="auto"/>
                <w:w w:val="95"/>
              </w:rPr>
              <w:t xml:space="preserve">100% </w:t>
            </w:r>
            <w:r>
              <w:rPr>
                <w:rFonts w:ascii="Arial" w:cs="Arial" w:eastAsia="Arial" w:hAnsi="Arial"/>
                <w:sz w:val="12"/>
                <w:szCs w:val="12"/>
                <w:color w:val="auto"/>
                <w:w w:val="95"/>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320" w:type="dxa"/>
            <w:vAlign w:val="bottom"/>
            <w:gridSpan w:val="2"/>
          </w:tcPr>
          <w:p>
            <w:pPr>
              <w:jc w:val="right"/>
              <w:ind w:right="88"/>
              <w:spacing w:after="0"/>
              <w:rPr>
                <w:sz w:val="20"/>
                <w:szCs w:val="20"/>
                <w:color w:val="auto"/>
              </w:rPr>
            </w:pPr>
            <w:r>
              <w:rPr>
                <w:rFonts w:ascii="Arial" w:cs="Arial" w:eastAsia="Arial" w:hAnsi="Arial"/>
                <w:sz w:val="12"/>
                <w:szCs w:val="12"/>
                <w:color w:val="auto"/>
                <w:w w:val="95"/>
              </w:rPr>
              <w:t>(1)</w:t>
            </w:r>
          </w:p>
        </w:tc>
        <w:tc>
          <w:tcPr>
            <w:tcW w:w="3680" w:type="dxa"/>
            <w:vAlign w:val="bottom"/>
          </w:tcPr>
          <w:p>
            <w:pPr>
              <w:ind w:left="180"/>
              <w:spacing w:after="0"/>
              <w:rPr>
                <w:sz w:val="20"/>
                <w:szCs w:val="20"/>
                <w:color w:val="auto"/>
              </w:rPr>
            </w:pPr>
            <w:r>
              <w:rPr>
                <w:rFonts w:ascii="Arial" w:cs="Arial" w:eastAsia="Arial" w:hAnsi="Arial"/>
                <w:sz w:val="14"/>
                <w:szCs w:val="14"/>
                <w:color w:val="auto"/>
              </w:rPr>
              <w:t>This is a controlled affiliated investment.</w:t>
            </w:r>
          </w:p>
        </w:tc>
        <w:tc>
          <w:tcPr>
            <w:tcW w:w="7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6"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4"/>
          <w:szCs w:val="14"/>
          <w:b w:val="1"/>
          <w:bCs w:val="1"/>
          <w:color w:val="auto"/>
        </w:rPr>
        <w:t>EXHIBIT 23.1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40" w:lineRule="exact"/>
        <w:rPr>
          <w:sz w:val="20"/>
          <w:szCs w:val="20"/>
          <w:color w:val="auto"/>
        </w:rPr>
      </w:pPr>
    </w:p>
    <w:p>
      <w:pPr>
        <w:ind w:right="80"/>
        <w:spacing w:after="0" w:line="229" w:lineRule="auto"/>
        <w:rPr>
          <w:sz w:val="20"/>
          <w:szCs w:val="20"/>
          <w:color w:val="auto"/>
        </w:rPr>
      </w:pPr>
      <w:r>
        <w:rPr>
          <w:rFonts w:ascii="Arial" w:cs="Arial" w:eastAsia="Arial" w:hAnsi="Arial"/>
          <w:sz w:val="14"/>
          <w:szCs w:val="14"/>
          <w:color w:val="auto"/>
        </w:rPr>
        <w:t>We consent to the incorporation by reference in the Registration Statement on Form N-2 of PennantPark Floating Rate Capital Ltd. and Subsidiaries (the Company) of our reports dated November 17, 2021, relating to the consolidated financial statements and the effectiveness of internal control over financial reporting of the Company appearing in the accompanying Form 10-K of the Company for the year ended September 30, 2021. We also consent to the use in such Registration Statement of our report dated November 17, 2021, relating to the senior securities table appearing as Exhibit 99.2 in the accompanying Form 10-K of the Company for the year ended September 30, 2021. We also consent to the use in such Registration Statement of our report dated November 17, 2021, relating to the consolidated financial statements of PennantPark Senior Secured Loan Fund I LLC as of and for the years ended September 30, 2021 and 2020 appearing as Exhibit 99.3 in the accompanying Form 10-K of the Company for the year ended September 30, 2021.</w:t>
      </w:r>
    </w:p>
    <w:p>
      <w:pPr>
        <w:spacing w:after="0" w:line="118"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color w:val="auto"/>
        </w:rPr>
        <w:t>We also consent to the reference to our firm under the heading “Senior Securities” in the accompanying Form 10-K and “Independent Registered Public Accounting Firm” in such Registration Statement on Form N-2.</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17, 2021</w:t>
      </w:r>
    </w:p>
    <w:p>
      <w:pPr>
        <w:sectPr>
          <w:pgSz w:w="11900" w:h="16838" w:orient="portrait"/>
          <w:cols w:equalWidth="0" w:num="1">
            <w:col w:w="11240"/>
          </w:cols>
          <w:pgMar w:left="320" w:top="118"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4"/>
          <w:szCs w:val="14"/>
          <w:b w:val="1"/>
          <w:bCs w:val="1"/>
          <w:color w:val="auto"/>
        </w:rPr>
        <w:t>EXHIBIT 31.1</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36" w:lineRule="exact"/>
        <w:rPr>
          <w:sz w:val="20"/>
          <w:szCs w:val="20"/>
          <w:color w:val="auto"/>
        </w:rPr>
      </w:pPr>
    </w:p>
    <w:p>
      <w:pPr>
        <w:ind w:left="400" w:hanging="144"/>
        <w:spacing w:after="0"/>
        <w:tabs>
          <w:tab w:leader="none" w:pos="4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Floating Rate Capital Ltd.;</w:t>
      </w:r>
    </w:p>
    <w:p>
      <w:pPr>
        <w:spacing w:after="0" w:line="136" w:lineRule="exact"/>
        <w:rPr>
          <w:rFonts w:ascii="Arial" w:cs="Arial" w:eastAsia="Arial" w:hAnsi="Arial"/>
          <w:sz w:val="14"/>
          <w:szCs w:val="14"/>
          <w:color w:val="auto"/>
        </w:rPr>
      </w:pPr>
    </w:p>
    <w:p>
      <w:pPr>
        <w:ind w:left="260" w:right="620" w:hanging="4"/>
        <w:spacing w:after="0" w:line="253" w:lineRule="auto"/>
        <w:tabs>
          <w:tab w:leader="none" w:pos="404" w:val="left"/>
        </w:tabs>
        <w:numPr>
          <w:ilvl w:val="0"/>
          <w:numId w:val="9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hanging="4"/>
        <w:spacing w:after="0" w:line="253" w:lineRule="auto"/>
        <w:tabs>
          <w:tab w:leader="none" w:pos="404" w:val="left"/>
        </w:tabs>
        <w:numPr>
          <w:ilvl w:val="0"/>
          <w:numId w:val="9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80" w:hanging="4"/>
        <w:spacing w:after="0" w:line="253" w:lineRule="auto"/>
        <w:tabs>
          <w:tab w:leader="none" w:pos="404"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00" w:right="60" w:firstLine="4"/>
        <w:spacing w:after="0" w:line="335" w:lineRule="auto"/>
        <w:tabs>
          <w:tab w:leader="none" w:pos="648" w:val="left"/>
        </w:tabs>
        <w:numPr>
          <w:ilvl w:val="1"/>
          <w:numId w:val="9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00" w:right="120" w:firstLine="4"/>
        <w:spacing w:after="0" w:line="290" w:lineRule="auto"/>
        <w:tabs>
          <w:tab w:leader="none" w:pos="656" w:val="left"/>
        </w:tabs>
        <w:numPr>
          <w:ilvl w:val="1"/>
          <w:numId w:val="9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00" w:right="320" w:firstLine="4"/>
        <w:spacing w:after="0" w:line="253" w:lineRule="auto"/>
        <w:tabs>
          <w:tab w:leader="none" w:pos="648" w:val="left"/>
        </w:tabs>
        <w:numPr>
          <w:ilvl w:val="1"/>
          <w:numId w:val="9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00" w:right="300" w:firstLine="4"/>
        <w:spacing w:after="0" w:line="290" w:lineRule="auto"/>
        <w:tabs>
          <w:tab w:leader="none" w:pos="656" w:val="left"/>
        </w:tabs>
        <w:numPr>
          <w:ilvl w:val="1"/>
          <w:numId w:val="9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hanging="4"/>
        <w:spacing w:after="0" w:line="253" w:lineRule="auto"/>
        <w:tabs>
          <w:tab w:leader="none" w:pos="404"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00" w:firstLine="4"/>
        <w:spacing w:after="0" w:line="253" w:lineRule="auto"/>
        <w:tabs>
          <w:tab w:leader="none" w:pos="648" w:val="left"/>
        </w:tabs>
        <w:numPr>
          <w:ilvl w:val="1"/>
          <w:numId w:val="9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60" w:hanging="156"/>
        <w:spacing w:after="0"/>
        <w:tabs>
          <w:tab w:leader="none" w:pos="660" w:val="left"/>
        </w:tabs>
        <w:numPr>
          <w:ilvl w:val="1"/>
          <w:numId w:val="9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17,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tabs>
          <w:tab w:leader="none" w:pos="480" w:val="left"/>
        </w:tabs>
        <w:rPr>
          <w:sz w:val="20"/>
          <w:szCs w:val="20"/>
          <w:color w:val="auto"/>
        </w:rPr>
      </w:pPr>
      <w:r>
        <w:rPr>
          <w:rFonts w:ascii="Arial" w:cs="Arial" w:eastAsia="Arial" w:hAnsi="Arial"/>
          <w:sz w:val="14"/>
          <w:szCs w:val="14"/>
          <w:color w:val="auto"/>
        </w:rPr>
        <w:t>Title:</w:t>
        <w:tab/>
        <w:t>Chief Executive Officer</w:t>
      </w:r>
    </w:p>
    <w:p>
      <w:pPr>
        <w:sectPr>
          <w:pgSz w:w="11900" w:h="16838" w:orient="portrait"/>
          <w:cols w:equalWidth="0" w:num="1">
            <w:col w:w="11240"/>
          </w:cols>
          <w:pgMar w:left="320" w:top="118"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4"/>
          <w:szCs w:val="14"/>
          <w:b w:val="1"/>
          <w:bCs w:val="1"/>
          <w:color w:val="auto"/>
        </w:rPr>
        <w:t>EXHIBIT 31.2</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Richard Cheung, Chief Financial Officer of PennantPark Floating Rate Capital Ltd., certify that:</w:t>
      </w:r>
    </w:p>
    <w:p>
      <w:pPr>
        <w:spacing w:after="0" w:line="136" w:lineRule="exact"/>
        <w:rPr>
          <w:sz w:val="20"/>
          <w:szCs w:val="20"/>
          <w:color w:val="auto"/>
        </w:rPr>
      </w:pPr>
    </w:p>
    <w:p>
      <w:pPr>
        <w:ind w:left="400" w:hanging="144"/>
        <w:spacing w:after="0"/>
        <w:tabs>
          <w:tab w:leader="none" w:pos="4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Floating Rate Capital Ltd.;</w:t>
      </w:r>
    </w:p>
    <w:p>
      <w:pPr>
        <w:spacing w:after="0" w:line="136" w:lineRule="exact"/>
        <w:rPr>
          <w:rFonts w:ascii="Arial" w:cs="Arial" w:eastAsia="Arial" w:hAnsi="Arial"/>
          <w:sz w:val="14"/>
          <w:szCs w:val="14"/>
          <w:color w:val="auto"/>
        </w:rPr>
      </w:pPr>
    </w:p>
    <w:p>
      <w:pPr>
        <w:ind w:left="260" w:right="620" w:hanging="4"/>
        <w:spacing w:after="0" w:line="253" w:lineRule="auto"/>
        <w:tabs>
          <w:tab w:leader="none" w:pos="404" w:val="left"/>
        </w:tabs>
        <w:numPr>
          <w:ilvl w:val="0"/>
          <w:numId w:val="9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hanging="4"/>
        <w:spacing w:after="0" w:line="253" w:lineRule="auto"/>
        <w:tabs>
          <w:tab w:leader="none" w:pos="404" w:val="left"/>
        </w:tabs>
        <w:numPr>
          <w:ilvl w:val="0"/>
          <w:numId w:val="9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80" w:hanging="4"/>
        <w:spacing w:after="0" w:line="253" w:lineRule="auto"/>
        <w:tabs>
          <w:tab w:leader="none" w:pos="404"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00" w:right="60" w:firstLine="4"/>
        <w:spacing w:after="0" w:line="335" w:lineRule="auto"/>
        <w:tabs>
          <w:tab w:leader="none" w:pos="648" w:val="left"/>
        </w:tabs>
        <w:numPr>
          <w:ilvl w:val="1"/>
          <w:numId w:val="9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00" w:right="120" w:firstLine="4"/>
        <w:spacing w:after="0" w:line="290" w:lineRule="auto"/>
        <w:tabs>
          <w:tab w:leader="none" w:pos="656" w:val="left"/>
        </w:tabs>
        <w:numPr>
          <w:ilvl w:val="1"/>
          <w:numId w:val="9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00" w:right="320" w:firstLine="4"/>
        <w:spacing w:after="0" w:line="253" w:lineRule="auto"/>
        <w:tabs>
          <w:tab w:leader="none" w:pos="648" w:val="left"/>
        </w:tabs>
        <w:numPr>
          <w:ilvl w:val="1"/>
          <w:numId w:val="9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00" w:right="300" w:firstLine="4"/>
        <w:spacing w:after="0" w:line="290" w:lineRule="auto"/>
        <w:tabs>
          <w:tab w:leader="none" w:pos="656" w:val="left"/>
        </w:tabs>
        <w:numPr>
          <w:ilvl w:val="1"/>
          <w:numId w:val="9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hanging="4"/>
        <w:spacing w:after="0" w:line="253" w:lineRule="auto"/>
        <w:tabs>
          <w:tab w:leader="none" w:pos="404"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00" w:firstLine="4"/>
        <w:spacing w:after="0" w:line="253" w:lineRule="auto"/>
        <w:tabs>
          <w:tab w:leader="none" w:pos="648" w:val="left"/>
        </w:tabs>
        <w:numPr>
          <w:ilvl w:val="1"/>
          <w:numId w:val="9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60" w:hanging="156"/>
        <w:spacing w:after="0"/>
        <w:tabs>
          <w:tab w:leader="none" w:pos="660" w:val="left"/>
        </w:tabs>
        <w:numPr>
          <w:ilvl w:val="1"/>
          <w:numId w:val="9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17,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Richard Cheung</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Richard Cheung</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40"/>
          </w:cols>
          <w:pgMar w:left="320" w:top="11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4"/>
          <w:szCs w:val="14"/>
          <w:b w:val="1"/>
          <w:bCs w:val="1"/>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 connection with the Annual Report on Form 10-K of PennantPark Floating Rate Capital Ltd. (the “Company”) for the annual period ended September 30, 2021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Securities and Exchange Commission on the date hereof (the “Report”), I, Arthur H. Penn, as Chief Executive Officer of the Registrant hereby certify, to the best of my knowledge that:</w:t>
      </w:r>
    </w:p>
    <w:p>
      <w:pPr>
        <w:spacing w:after="0" w:line="136" w:lineRule="exact"/>
        <w:rPr>
          <w:sz w:val="20"/>
          <w:szCs w:val="20"/>
          <w:color w:val="auto"/>
        </w:rPr>
      </w:pPr>
    </w:p>
    <w:p>
      <w:pPr>
        <w:ind w:left="460" w:hanging="204"/>
        <w:spacing w:after="0"/>
        <w:tabs>
          <w:tab w:leader="none" w:pos="4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204"/>
        <w:spacing w:after="0"/>
        <w:tabs>
          <w:tab w:leader="none" w:pos="4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Arthur H. Penn</w:t>
            </w:r>
          </w:p>
        </w:tc>
      </w:tr>
      <w:tr>
        <w:trPr>
          <w:trHeight w:val="148"/>
        </w:trPr>
        <w:tc>
          <w:tcPr>
            <w:tcW w:w="56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line="149" w:lineRule="exact"/>
              <w:rPr>
                <w:sz w:val="20"/>
                <w:szCs w:val="20"/>
                <w:color w:val="auto"/>
              </w:rPr>
            </w:pPr>
            <w:r>
              <w:rPr>
                <w:rFonts w:ascii="Arial" w:cs="Arial" w:eastAsia="Arial" w:hAnsi="Arial"/>
                <w:sz w:val="14"/>
                <w:szCs w:val="14"/>
                <w:color w:val="auto"/>
              </w:rPr>
              <w:t>Chief Executive Officer</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Date:</w:t>
            </w:r>
          </w:p>
        </w:tc>
        <w:tc>
          <w:tcPr>
            <w:tcW w:w="3920" w:type="dxa"/>
            <w:vAlign w:val="bottom"/>
          </w:tcPr>
          <w:p>
            <w:pPr>
              <w:ind w:left="180"/>
              <w:spacing w:after="0"/>
              <w:rPr>
                <w:sz w:val="20"/>
                <w:szCs w:val="20"/>
                <w:color w:val="auto"/>
              </w:rPr>
            </w:pPr>
            <w:r>
              <w:rPr>
                <w:rFonts w:ascii="Arial" w:cs="Arial" w:eastAsia="Arial" w:hAnsi="Arial"/>
                <w:sz w:val="14"/>
                <w:szCs w:val="14"/>
                <w:color w:val="auto"/>
              </w:rPr>
              <w:t>November 17, 2021</w:t>
            </w:r>
          </w:p>
        </w:tc>
      </w:tr>
    </w:tbl>
    <w:p>
      <w:pPr>
        <w:sectPr>
          <w:pgSz w:w="11900" w:h="16838" w:orient="portrait"/>
          <w:cols w:equalWidth="0" w:num="1">
            <w:col w:w="11240"/>
          </w:cols>
          <w:pgMar w:left="320" w:top="118"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4"/>
          <w:szCs w:val="14"/>
          <w:b w:val="1"/>
          <w:bCs w:val="1"/>
          <w:color w:val="auto"/>
        </w:rPr>
        <w:t>EXHIBIT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 connection with the Annual Report on Form 10-K of PennantPark Floating Rate Capital Ltd. (the “Company”) for the annual period ended September 30, 2021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Securities and Exchange Commission on the date hereof (the “Report”), I, Richard Cheung, as Chief Financial Officer of the Registrant hereby certify, to the best of my knowledge that:</w:t>
      </w:r>
    </w:p>
    <w:p>
      <w:pPr>
        <w:spacing w:after="0" w:line="136" w:lineRule="exact"/>
        <w:rPr>
          <w:sz w:val="20"/>
          <w:szCs w:val="20"/>
          <w:color w:val="auto"/>
        </w:rPr>
      </w:pPr>
    </w:p>
    <w:p>
      <w:pPr>
        <w:ind w:left="460" w:hanging="204"/>
        <w:spacing w:after="0"/>
        <w:tabs>
          <w:tab w:leader="none" w:pos="4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204"/>
        <w:spacing w:after="0"/>
        <w:tabs>
          <w:tab w:leader="none" w:pos="4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Richard Cheung</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Richard Cheung</w:t>
            </w:r>
          </w:p>
        </w:tc>
      </w:tr>
      <w:tr>
        <w:trPr>
          <w:trHeight w:val="148"/>
        </w:trPr>
        <w:tc>
          <w:tcPr>
            <w:tcW w:w="56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line="149" w:lineRule="exact"/>
              <w:rPr>
                <w:sz w:val="20"/>
                <w:szCs w:val="20"/>
                <w:color w:val="auto"/>
              </w:rPr>
            </w:pPr>
            <w:r>
              <w:rPr>
                <w:rFonts w:ascii="Arial" w:cs="Arial" w:eastAsia="Arial" w:hAnsi="Arial"/>
                <w:sz w:val="14"/>
                <w:szCs w:val="14"/>
                <w:color w:val="auto"/>
              </w:rPr>
              <w:t>Chief Financial Officer</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Date:</w:t>
            </w:r>
          </w:p>
        </w:tc>
        <w:tc>
          <w:tcPr>
            <w:tcW w:w="3920" w:type="dxa"/>
            <w:vAlign w:val="bottom"/>
          </w:tcPr>
          <w:p>
            <w:pPr>
              <w:ind w:left="180"/>
              <w:spacing w:after="0"/>
              <w:rPr>
                <w:sz w:val="20"/>
                <w:szCs w:val="20"/>
                <w:color w:val="auto"/>
              </w:rPr>
            </w:pPr>
            <w:r>
              <w:rPr>
                <w:rFonts w:ascii="Arial" w:cs="Arial" w:eastAsia="Arial" w:hAnsi="Arial"/>
                <w:sz w:val="14"/>
                <w:szCs w:val="14"/>
                <w:color w:val="auto"/>
              </w:rPr>
              <w:t>November 17, 2021</w:t>
            </w:r>
          </w:p>
        </w:tc>
      </w:tr>
    </w:tbl>
    <w:p>
      <w:pPr>
        <w:sectPr>
          <w:pgSz w:w="11900" w:h="16838" w:orient="portrait"/>
          <w:cols w:equalWidth="0" w:num="1">
            <w:col w:w="11240"/>
          </w:cols>
          <w:pgMar w:left="320" w:top="11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4"/>
          <w:szCs w:val="14"/>
          <w:b w:val="1"/>
          <w:bCs w:val="1"/>
          <w:color w:val="auto"/>
        </w:rPr>
        <w:t>EXHIBIT 99.2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124" w:lineRule="exact"/>
        <w:rPr>
          <w:sz w:val="20"/>
          <w:szCs w:val="20"/>
          <w:color w:val="auto"/>
        </w:rPr>
      </w:pPr>
    </w:p>
    <w:p>
      <w:pPr>
        <w:jc w:val="both"/>
        <w:ind w:right="140"/>
        <w:spacing w:after="0" w:line="238" w:lineRule="auto"/>
        <w:rPr>
          <w:sz w:val="20"/>
          <w:szCs w:val="20"/>
          <w:color w:val="auto"/>
        </w:rPr>
      </w:pPr>
      <w:r>
        <w:rPr>
          <w:rFonts w:ascii="Arial" w:cs="Arial" w:eastAsia="Arial" w:hAnsi="Arial"/>
          <w:sz w:val="14"/>
          <w:szCs w:val="14"/>
          <w:color w:val="auto"/>
        </w:rPr>
        <w:t>Our audits of the consolidated financial statements and internal control over financial reporting referred to in our reports dated November 17, 2021, (appearing in the accompanying Form 10-K) also included an audit of the senior securities table of PennantPark Floating Rate Capital Ltd. and its Subsidiaries (the Company) appearing in Part II, Item 7 in this Form 10-K. This table is the responsibility of the Company’s management. Our responsibility is to express an opinion based on our audits of the consolidated financial statements.</w:t>
      </w:r>
    </w:p>
    <w:p>
      <w:pPr>
        <w:spacing w:after="0" w:line="115"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In our opinion, the senior securities table, when considered in relation to the basic consolidated financial statements taken as a whole, presents fairly in all material respects the information set forth therein.</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17, 2021</w:t>
      </w:r>
    </w:p>
    <w:p>
      <w:pPr>
        <w:sectPr>
          <w:pgSz w:w="11900" w:h="16838" w:orient="portrait"/>
          <w:cols w:equalWidth="0" w:num="1">
            <w:col w:w="11240"/>
          </w:cols>
          <w:pgMar w:left="320" w:top="118"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PennantPark Senior Secured Loan Fund I LLC</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color w:val="auto"/>
        </w:rPr>
        <w:t>Consolidated Financial Statements and</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color w:val="auto"/>
        </w:rPr>
        <w:t>Independent Auditor’s Report</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5"/>
          <w:szCs w:val="25"/>
          <w:color w:val="auto"/>
        </w:rPr>
        <w:t>September 30, 2021</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8"/>
          <w:szCs w:val="18"/>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453"/>
        </w:trPr>
        <w:tc>
          <w:tcPr>
            <w:tcW w:w="9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Financial Statements:</w:t>
            </w:r>
          </w:p>
        </w:tc>
        <w:tc>
          <w:tcPr>
            <w:tcW w:w="1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9480" w:type="dxa"/>
            <w:vAlign w:val="bottom"/>
          </w:tcPr>
          <w:p>
            <w:pPr>
              <w:ind w:left="160"/>
              <w:spacing w:after="0"/>
              <w:rPr>
                <w:sz w:val="20"/>
                <w:szCs w:val="20"/>
                <w:color w:val="auto"/>
              </w:rPr>
            </w:pPr>
            <w:r>
              <w:rPr>
                <w:rFonts w:ascii="Arial" w:cs="Arial" w:eastAsia="Arial" w:hAnsi="Arial"/>
                <w:sz w:val="18"/>
                <w:szCs w:val="18"/>
                <w:color w:val="auto"/>
              </w:rPr>
              <w:t>Consolidated Statements of Assets, Liabilities and Members’ Equity as of September 30, 2021 and 2020</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459"/>
        </w:trPr>
        <w:tc>
          <w:tcPr>
            <w:tcW w:w="9480" w:type="dxa"/>
            <w:vAlign w:val="bottom"/>
          </w:tcPr>
          <w:p>
            <w:pPr>
              <w:ind w:left="160"/>
              <w:spacing w:after="0"/>
              <w:rPr>
                <w:sz w:val="20"/>
                <w:szCs w:val="20"/>
                <w:color w:val="auto"/>
              </w:rPr>
            </w:pPr>
            <w:r>
              <w:rPr>
                <w:rFonts w:ascii="Arial" w:cs="Arial" w:eastAsia="Arial" w:hAnsi="Arial"/>
                <w:sz w:val="18"/>
                <w:szCs w:val="18"/>
                <w:color w:val="auto"/>
              </w:rPr>
              <w:t>Consolidated Statements of Operations for the years ended September 30, 2021 and 2020</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459"/>
        </w:trPr>
        <w:tc>
          <w:tcPr>
            <w:tcW w:w="9480" w:type="dxa"/>
            <w:vAlign w:val="bottom"/>
          </w:tcPr>
          <w:p>
            <w:pPr>
              <w:ind w:left="160"/>
              <w:spacing w:after="0"/>
              <w:rPr>
                <w:sz w:val="20"/>
                <w:szCs w:val="20"/>
                <w:color w:val="auto"/>
              </w:rPr>
            </w:pPr>
            <w:r>
              <w:rPr>
                <w:rFonts w:ascii="Arial" w:cs="Arial" w:eastAsia="Arial" w:hAnsi="Arial"/>
                <w:sz w:val="18"/>
                <w:szCs w:val="18"/>
                <w:color w:val="auto"/>
              </w:rPr>
              <w:t>Consolidated Statements of Changes in Members’ Equity for the years ended September 30, 2021 and 2020</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459"/>
        </w:trPr>
        <w:tc>
          <w:tcPr>
            <w:tcW w:w="9480" w:type="dxa"/>
            <w:vAlign w:val="bottom"/>
          </w:tcPr>
          <w:p>
            <w:pPr>
              <w:ind w:left="160"/>
              <w:spacing w:after="0"/>
              <w:rPr>
                <w:sz w:val="20"/>
                <w:szCs w:val="20"/>
                <w:color w:val="auto"/>
              </w:rPr>
            </w:pPr>
            <w:r>
              <w:rPr>
                <w:rFonts w:ascii="Arial" w:cs="Arial" w:eastAsia="Arial" w:hAnsi="Arial"/>
                <w:sz w:val="18"/>
                <w:szCs w:val="18"/>
                <w:color w:val="auto"/>
              </w:rPr>
              <w:t>Consolidated Statements of Cash Flows for the years ended September 30, 2021 and 2020</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459"/>
        </w:trPr>
        <w:tc>
          <w:tcPr>
            <w:tcW w:w="9480" w:type="dxa"/>
            <w:vAlign w:val="bottom"/>
          </w:tcPr>
          <w:p>
            <w:pPr>
              <w:ind w:left="160"/>
              <w:spacing w:after="0"/>
              <w:rPr>
                <w:sz w:val="20"/>
                <w:szCs w:val="20"/>
                <w:color w:val="auto"/>
              </w:rPr>
            </w:pPr>
            <w:r>
              <w:rPr>
                <w:rFonts w:ascii="Arial" w:cs="Arial" w:eastAsia="Arial" w:hAnsi="Arial"/>
                <w:sz w:val="18"/>
                <w:szCs w:val="18"/>
                <w:color w:val="auto"/>
              </w:rPr>
              <w:t>Consolidated Schedules of Investments as of September 30, 2021 and 2020</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459"/>
        </w:trPr>
        <w:tc>
          <w:tcPr>
            <w:tcW w:w="9480" w:type="dxa"/>
            <w:vAlign w:val="bottom"/>
          </w:tcPr>
          <w:p>
            <w:pPr>
              <w:ind w:left="160"/>
              <w:spacing w:after="0"/>
              <w:rPr>
                <w:sz w:val="20"/>
                <w:szCs w:val="20"/>
                <w:color w:val="auto"/>
              </w:rPr>
            </w:pPr>
            <w:r>
              <w:rPr>
                <w:rFonts w:ascii="Arial" w:cs="Arial" w:eastAsia="Arial" w:hAnsi="Arial"/>
                <w:sz w:val="18"/>
                <w:szCs w:val="18"/>
                <w:color w:val="auto"/>
              </w:rPr>
              <w:t>Notes to Consolidated Financial Statements</w:t>
            </w: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r>
      <w:tr>
        <w:trPr>
          <w:trHeight w:val="243"/>
        </w:trPr>
        <w:tc>
          <w:tcPr>
            <w:tcW w:w="94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027"/>
        </w:trPr>
        <w:tc>
          <w:tcPr>
            <w:tcW w:w="94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110" w:name="page111"/>
    <w:bookmarkEnd w:id="110"/>
    <w:p>
      <w:pPr>
        <w:jc w:val="center"/>
        <w:ind w:right="-79"/>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PennantPark Senior Secured Loan Fund I LLC</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Report on the Financial Statements</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the accompanying consolidated financial statements of PennantPark Senior Secured Loan Fund I LLC and its subsidiaries, which comprise the consolidated statements of assets, liabilities, and members’ equity, including the consolidated schedules of investments, as of September 30, 2021 and 2020, the related consolidated statements of operations, changes in members’ equity and cash flows for the years then ended, and the related notes to the consolidated financial statements (collectively, the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Management's Responsibility for the Financial Statements</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Auditor’s Responsibility</w:t>
      </w:r>
    </w:p>
    <w:p>
      <w:pPr>
        <w:spacing w:after="0" w:line="14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audits to obtain reasonable assurance about whether the financial statements are free from material misstatement.</w:t>
      </w:r>
    </w:p>
    <w:p>
      <w:pPr>
        <w:spacing w:after="0" w:line="11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Opinion</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PennantPark Senior Secured Loan Fund I LLC and its subsidiaries as of September 30, 2021 and 2020, and the results of its operations, changes in members’ equity and its cash flows for the years then ended in accordance with accounting principles generally accepted in the United States of America.</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67" w:right="419" w:bottom="1440" w:gutter="0" w:footer="0" w:header="0"/>
        </w:sectPr>
      </w:pPr>
    </w:p>
    <w:bookmarkStart w:id="111" w:name="page112"/>
    <w:bookmarkEnd w:id="111"/>
    <w:p>
      <w:pPr>
        <w:jc w:val="center"/>
        <w:ind w:right="120"/>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Statements of Assets, Liabilities and Members’ Equity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September 30, 2021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2020</w:t>
            </w:r>
          </w:p>
        </w:tc>
      </w:tr>
      <w:tr>
        <w:trPr>
          <w:trHeight w:val="213"/>
        </w:trPr>
        <w:tc>
          <w:tcPr>
            <w:tcW w:w="61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6"/>
                <w:szCs w:val="16"/>
                <w:b w:val="1"/>
                <w:bCs w:val="1"/>
                <w:color w:val="auto"/>
              </w:rPr>
              <w:t>Assets</w:t>
            </w:r>
          </w:p>
        </w:tc>
        <w:tc>
          <w:tcPr>
            <w:tcW w:w="1100" w:type="dxa"/>
            <w:vAlign w:val="bottom"/>
            <w:tcBorders>
              <w:top w:val="single" w:sz="8" w:color="CCECFF"/>
            </w:tcBorders>
            <w:shd w:val="clear" w:color="auto" w:fill="CCECFF"/>
          </w:tcPr>
          <w:p>
            <w:pPr>
              <w:spacing w:after="0"/>
              <w:rPr>
                <w:sz w:val="18"/>
                <w:szCs w:val="18"/>
                <w:color w:val="auto"/>
              </w:rPr>
            </w:pPr>
          </w:p>
        </w:tc>
        <w:tc>
          <w:tcPr>
            <w:tcW w:w="140" w:type="dxa"/>
            <w:vAlign w:val="bottom"/>
            <w:tcBorders>
              <w:top w:val="single" w:sz="8" w:color="auto"/>
            </w:tcBorders>
            <w:shd w:val="clear" w:color="auto" w:fill="CCECFF"/>
          </w:tcPr>
          <w:p>
            <w:pPr>
              <w:spacing w:after="0"/>
              <w:rPr>
                <w:sz w:val="18"/>
                <w:szCs w:val="18"/>
                <w:color w:val="auto"/>
              </w:rPr>
            </w:pPr>
          </w:p>
        </w:tc>
        <w:tc>
          <w:tcPr>
            <w:tcW w:w="1660" w:type="dxa"/>
            <w:vAlign w:val="bottom"/>
            <w:tcBorders>
              <w:top w:val="single" w:sz="8" w:color="auto"/>
            </w:tcBorders>
            <w:shd w:val="clear" w:color="auto" w:fill="CCECFF"/>
          </w:tcPr>
          <w:p>
            <w:pPr>
              <w:spacing w:after="0"/>
              <w:rPr>
                <w:sz w:val="18"/>
                <w:szCs w:val="18"/>
                <w:color w:val="auto"/>
              </w:rPr>
            </w:pPr>
          </w:p>
        </w:tc>
        <w:tc>
          <w:tcPr>
            <w:tcW w:w="240" w:type="dxa"/>
            <w:vAlign w:val="bottom"/>
            <w:tcBorders>
              <w:top w:val="single" w:sz="8" w:color="CCECFF"/>
            </w:tcBorders>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spacing w:after="0"/>
              <w:rPr>
                <w:sz w:val="18"/>
                <w:szCs w:val="18"/>
                <w:color w:val="auto"/>
              </w:rPr>
            </w:pPr>
          </w:p>
        </w:tc>
        <w:tc>
          <w:tcPr>
            <w:tcW w:w="1680" w:type="dxa"/>
            <w:vAlign w:val="bottom"/>
            <w:tcBorders>
              <w:top w:val="single" w:sz="8" w:color="auto"/>
            </w:tcBorders>
            <w:shd w:val="clear" w:color="auto" w:fill="CCECFF"/>
          </w:tcPr>
          <w:p>
            <w:pPr>
              <w:spacing w:after="0"/>
              <w:rPr>
                <w:sz w:val="18"/>
                <w:szCs w:val="18"/>
                <w:color w:val="auto"/>
              </w:rPr>
            </w:pPr>
          </w:p>
        </w:tc>
        <w:tc>
          <w:tcPr>
            <w:tcW w:w="100" w:type="dxa"/>
            <w:vAlign w:val="bottom"/>
            <w:tcBorders>
              <w:top w:val="single" w:sz="8" w:color="CCECFF"/>
            </w:tcBorders>
            <w:shd w:val="clear" w:color="auto" w:fill="CCECFF"/>
          </w:tcPr>
          <w:p>
            <w:pPr>
              <w:spacing w:after="0"/>
              <w:rPr>
                <w:sz w:val="18"/>
                <w:szCs w:val="18"/>
                <w:color w:val="auto"/>
              </w:rPr>
            </w:pP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Investments at fair value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160" w:type="dxa"/>
            <w:vAlign w:val="bottom"/>
            <w:shd w:val="clear" w:color="auto" w:fill="CCECFF"/>
          </w:tcPr>
          <w:p>
            <w:pPr>
              <w:ind w:left="260"/>
              <w:spacing w:after="0"/>
              <w:rPr>
                <w:sz w:val="20"/>
                <w:szCs w:val="20"/>
                <w:color w:val="auto"/>
              </w:rPr>
            </w:pPr>
            <w:r>
              <w:rPr>
                <w:rFonts w:ascii="Arial" w:cs="Arial" w:eastAsia="Arial" w:hAnsi="Arial"/>
                <w:sz w:val="16"/>
                <w:szCs w:val="16"/>
                <w:color w:val="auto"/>
              </w:rPr>
              <w:t>Investments (cost—$576,262,980 and $408,251,402, respectively)</w:t>
            </w:r>
          </w:p>
        </w:tc>
        <w:tc>
          <w:tcPr>
            <w:tcW w:w="124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564,783,128</w:t>
            </w:r>
          </w:p>
        </w:tc>
        <w:tc>
          <w:tcPr>
            <w:tcW w:w="40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392,986,090</w:t>
            </w:r>
          </w:p>
        </w:tc>
        <w:tc>
          <w:tcPr>
            <w:tcW w:w="100" w:type="dxa"/>
            <w:vAlign w:val="bottom"/>
            <w:shd w:val="clear" w:color="auto" w:fill="CCECFF"/>
          </w:tcPr>
          <w:p>
            <w:pPr>
              <w:spacing w:after="0"/>
              <w:rPr>
                <w:sz w:val="19"/>
                <w:szCs w:val="19"/>
                <w:color w:val="auto"/>
              </w:rPr>
            </w:pP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Cash and cash equivalents (cost—$28,386,681 and $11,115,373, respectively)</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28,373,541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11,121,479</w:t>
            </w:r>
          </w:p>
        </w:tc>
        <w:tc>
          <w:tcPr>
            <w:tcW w:w="100" w:type="dxa"/>
            <w:vAlign w:val="bottom"/>
          </w:tcPr>
          <w:p>
            <w:pPr>
              <w:spacing w:after="0"/>
              <w:rPr>
                <w:sz w:val="18"/>
                <w:szCs w:val="18"/>
                <w:color w:val="auto"/>
              </w:rPr>
            </w:pPr>
          </w:p>
        </w:tc>
      </w:tr>
      <w:tr>
        <w:trPr>
          <w:trHeight w:val="219"/>
        </w:trPr>
        <w:tc>
          <w:tcPr>
            <w:tcW w:w="6160" w:type="dxa"/>
            <w:vAlign w:val="bottom"/>
            <w:shd w:val="clear" w:color="auto" w:fill="CCECFF"/>
          </w:tcPr>
          <w:p>
            <w:pPr>
              <w:spacing w:after="0"/>
              <w:rPr>
                <w:sz w:val="20"/>
                <w:szCs w:val="20"/>
                <w:color w:val="auto"/>
              </w:rPr>
            </w:pPr>
            <w:r>
              <w:rPr>
                <w:rFonts w:ascii="Arial" w:cs="Arial" w:eastAsia="Arial" w:hAnsi="Arial"/>
                <w:sz w:val="16"/>
                <w:szCs w:val="16"/>
                <w:color w:val="auto"/>
              </w:rPr>
              <w:t>Interest receivable</w:t>
            </w:r>
          </w:p>
        </w:tc>
        <w:tc>
          <w:tcPr>
            <w:tcW w:w="11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1,413,529</w:t>
            </w:r>
          </w:p>
        </w:tc>
        <w:tc>
          <w:tcPr>
            <w:tcW w:w="2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2,235,595</w:t>
            </w:r>
          </w:p>
        </w:tc>
        <w:tc>
          <w:tcPr>
            <w:tcW w:w="100" w:type="dxa"/>
            <w:vAlign w:val="bottom"/>
            <w:shd w:val="clear" w:color="auto" w:fill="CCECFF"/>
          </w:tcPr>
          <w:p>
            <w:pPr>
              <w:spacing w:after="0"/>
              <w:rPr>
                <w:sz w:val="19"/>
                <w:szCs w:val="19"/>
                <w:color w:val="auto"/>
              </w:rPr>
            </w:pP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Receivable for investment sold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7,323,360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160" w:type="dxa"/>
            <w:vAlign w:val="bottom"/>
            <w:shd w:val="clear" w:color="auto" w:fill="CCECFF"/>
          </w:tcPr>
          <w:p>
            <w:pPr>
              <w:spacing w:after="0"/>
              <w:rPr>
                <w:sz w:val="20"/>
                <w:szCs w:val="20"/>
                <w:color w:val="auto"/>
              </w:rPr>
            </w:pPr>
            <w:r>
              <w:rPr>
                <w:rFonts w:ascii="Arial" w:cs="Arial" w:eastAsia="Arial" w:hAnsi="Arial"/>
                <w:sz w:val="16"/>
                <w:szCs w:val="16"/>
                <w:color w:val="auto"/>
              </w:rPr>
              <w:t>Prepaid expenses and other assets</w:t>
            </w:r>
          </w:p>
        </w:tc>
        <w:tc>
          <w:tcPr>
            <w:tcW w:w="1100" w:type="dxa"/>
            <w:vAlign w:val="bottom"/>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spacing w:after="0"/>
              <w:rPr>
                <w:sz w:val="19"/>
                <w:szCs w:val="19"/>
                <w:color w:val="auto"/>
              </w:rPr>
            </w:pPr>
          </w:p>
        </w:tc>
        <w:tc>
          <w:tcPr>
            <w:tcW w:w="1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1,665,633</w:t>
            </w:r>
          </w:p>
        </w:tc>
        <w:tc>
          <w:tcPr>
            <w:tcW w:w="240" w:type="dxa"/>
            <w:vAlign w:val="bottom"/>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62,812</w:t>
            </w:r>
          </w:p>
        </w:tc>
        <w:tc>
          <w:tcPr>
            <w:tcW w:w="100" w:type="dxa"/>
            <w:vAlign w:val="bottom"/>
            <w:shd w:val="clear" w:color="auto" w:fill="CCECFF"/>
          </w:tcPr>
          <w:p>
            <w:pPr>
              <w:spacing w:after="0"/>
              <w:rPr>
                <w:sz w:val="19"/>
                <w:szCs w:val="19"/>
                <w:color w:val="auto"/>
              </w:rPr>
            </w:pPr>
          </w:p>
        </w:tc>
      </w:tr>
      <w:tr>
        <w:trPr>
          <w:trHeight w:val="206"/>
        </w:trPr>
        <w:tc>
          <w:tcPr>
            <w:tcW w:w="6160" w:type="dxa"/>
            <w:vAlign w:val="bottom"/>
            <w:tcBorders>
              <w:bottom w:val="single" w:sz="8" w:color="CCECFF"/>
            </w:tcBorders>
          </w:tcPr>
          <w:p>
            <w:pPr>
              <w:ind w:left="620"/>
              <w:spacing w:after="0"/>
              <w:rPr>
                <w:sz w:val="20"/>
                <w:szCs w:val="20"/>
                <w:color w:val="auto"/>
              </w:rPr>
            </w:pPr>
            <w:r>
              <w:rPr>
                <w:rFonts w:ascii="Arial" w:cs="Arial" w:eastAsia="Arial" w:hAnsi="Arial"/>
                <w:sz w:val="16"/>
                <w:szCs w:val="16"/>
                <w:b w:val="1"/>
                <w:bCs w:val="1"/>
                <w:color w:val="auto"/>
              </w:rPr>
              <w:t>Total assets</w:t>
            </w:r>
          </w:p>
        </w:tc>
        <w:tc>
          <w:tcPr>
            <w:tcW w:w="1100" w:type="dxa"/>
            <w:vAlign w:val="bottom"/>
            <w:tcBorders>
              <w:bottom w:val="single" w:sz="8" w:color="CCEC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603,559,191</w:t>
            </w:r>
          </w:p>
        </w:tc>
        <w:tc>
          <w:tcPr>
            <w:tcW w:w="24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406,405,976</w:t>
            </w:r>
          </w:p>
        </w:tc>
        <w:tc>
          <w:tcPr>
            <w:tcW w:w="100" w:type="dxa"/>
            <w:vAlign w:val="bottom"/>
            <w:tcBorders>
              <w:bottom w:val="single" w:sz="8" w:color="CCECFF"/>
            </w:tcBorders>
          </w:tcPr>
          <w:p>
            <w:pPr>
              <w:spacing w:after="0"/>
              <w:rPr>
                <w:sz w:val="17"/>
                <w:szCs w:val="17"/>
                <w:color w:val="auto"/>
              </w:rPr>
            </w:pPr>
          </w:p>
        </w:tc>
      </w:tr>
      <w:tr>
        <w:trPr>
          <w:trHeight w:val="213"/>
        </w:trPr>
        <w:tc>
          <w:tcPr>
            <w:tcW w:w="6160" w:type="dxa"/>
            <w:vAlign w:val="bottom"/>
            <w:shd w:val="clear" w:color="auto" w:fill="CCECFF"/>
          </w:tcPr>
          <w:p>
            <w:pPr>
              <w:spacing w:after="0"/>
              <w:rPr>
                <w:sz w:val="20"/>
                <w:szCs w:val="20"/>
                <w:color w:val="auto"/>
              </w:rPr>
            </w:pPr>
            <w:r>
              <w:rPr>
                <w:rFonts w:ascii="Arial" w:cs="Arial" w:eastAsia="Arial" w:hAnsi="Arial"/>
                <w:sz w:val="16"/>
                <w:szCs w:val="16"/>
                <w:b w:val="1"/>
                <w:bCs w:val="1"/>
                <w:color w:val="auto"/>
              </w:rPr>
              <w:t>Liabilities</w:t>
            </w:r>
          </w:p>
        </w:tc>
        <w:tc>
          <w:tcPr>
            <w:tcW w:w="11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6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6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Payable for investments purchased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31,963,307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160" w:type="dxa"/>
            <w:vAlign w:val="bottom"/>
            <w:shd w:val="clear" w:color="auto" w:fill="CCECFF"/>
          </w:tcPr>
          <w:p>
            <w:pPr>
              <w:spacing w:after="0"/>
              <w:rPr>
                <w:sz w:val="20"/>
                <w:szCs w:val="20"/>
                <w:color w:val="auto"/>
              </w:rPr>
            </w:pPr>
            <w:r>
              <w:rPr>
                <w:rFonts w:ascii="Arial" w:cs="Arial" w:eastAsia="Arial" w:hAnsi="Arial"/>
                <w:sz w:val="16"/>
                <w:szCs w:val="16"/>
                <w:color w:val="auto"/>
              </w:rPr>
              <w:t>Credit facility payable</w:t>
            </w:r>
          </w:p>
        </w:tc>
        <w:tc>
          <w:tcPr>
            <w:tcW w:w="11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112,000,000</w:t>
            </w:r>
          </w:p>
        </w:tc>
        <w:tc>
          <w:tcPr>
            <w:tcW w:w="2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216,969,469</w:t>
            </w:r>
          </w:p>
        </w:tc>
        <w:tc>
          <w:tcPr>
            <w:tcW w:w="100" w:type="dxa"/>
            <w:vAlign w:val="bottom"/>
            <w:shd w:val="clear" w:color="auto" w:fill="CCECFF"/>
          </w:tcPr>
          <w:p>
            <w:pPr>
              <w:spacing w:after="0"/>
              <w:rPr>
                <w:sz w:val="19"/>
                <w:szCs w:val="19"/>
                <w:color w:val="auto"/>
              </w:rPr>
            </w:pP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2032 Asset-backed debt, net (par—246,000,000)</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242,756,901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160" w:type="dxa"/>
            <w:vAlign w:val="bottom"/>
            <w:shd w:val="clear" w:color="auto" w:fill="CCECFF"/>
          </w:tcPr>
          <w:p>
            <w:pPr>
              <w:spacing w:after="0"/>
              <w:rPr>
                <w:sz w:val="20"/>
                <w:szCs w:val="20"/>
                <w:color w:val="auto"/>
              </w:rPr>
            </w:pPr>
            <w:r>
              <w:rPr>
                <w:rFonts w:ascii="Arial" w:cs="Arial" w:eastAsia="Arial" w:hAnsi="Arial"/>
                <w:sz w:val="16"/>
                <w:szCs w:val="16"/>
                <w:color w:val="auto"/>
              </w:rPr>
              <w:t>Notes payable to members</w:t>
            </w:r>
          </w:p>
        </w:tc>
        <w:tc>
          <w:tcPr>
            <w:tcW w:w="11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161,000,000</w:t>
            </w:r>
          </w:p>
        </w:tc>
        <w:tc>
          <w:tcPr>
            <w:tcW w:w="2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143,290,000</w:t>
            </w:r>
          </w:p>
        </w:tc>
        <w:tc>
          <w:tcPr>
            <w:tcW w:w="100" w:type="dxa"/>
            <w:vAlign w:val="bottom"/>
            <w:shd w:val="clear" w:color="auto" w:fill="CCECFF"/>
          </w:tcPr>
          <w:p>
            <w:pPr>
              <w:spacing w:after="0"/>
              <w:rPr>
                <w:sz w:val="19"/>
                <w:szCs w:val="19"/>
                <w:color w:val="auto"/>
              </w:rPr>
            </w:pP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Interest payable on credit facility and asset-backed debt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1,740,807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490,858</w:t>
            </w:r>
          </w:p>
        </w:tc>
        <w:tc>
          <w:tcPr>
            <w:tcW w:w="100" w:type="dxa"/>
            <w:vAlign w:val="bottom"/>
          </w:tcPr>
          <w:p>
            <w:pPr>
              <w:spacing w:after="0"/>
              <w:rPr>
                <w:sz w:val="18"/>
                <w:szCs w:val="18"/>
                <w:color w:val="auto"/>
              </w:rPr>
            </w:pPr>
          </w:p>
        </w:tc>
      </w:tr>
      <w:tr>
        <w:trPr>
          <w:trHeight w:val="219"/>
        </w:trPr>
        <w:tc>
          <w:tcPr>
            <w:tcW w:w="6160" w:type="dxa"/>
            <w:vAlign w:val="bottom"/>
            <w:shd w:val="clear" w:color="auto" w:fill="CCECFF"/>
          </w:tcPr>
          <w:p>
            <w:pPr>
              <w:spacing w:after="0"/>
              <w:rPr>
                <w:sz w:val="20"/>
                <w:szCs w:val="20"/>
                <w:color w:val="auto"/>
              </w:rPr>
            </w:pPr>
            <w:r>
              <w:rPr>
                <w:rFonts w:ascii="Arial" w:cs="Arial" w:eastAsia="Arial" w:hAnsi="Arial"/>
                <w:sz w:val="16"/>
                <w:szCs w:val="16"/>
                <w:color w:val="auto"/>
              </w:rPr>
              <w:t>Interest payable on notes to members</w:t>
            </w:r>
          </w:p>
        </w:tc>
        <w:tc>
          <w:tcPr>
            <w:tcW w:w="11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2,655,607</w:t>
            </w:r>
          </w:p>
        </w:tc>
        <w:tc>
          <w:tcPr>
            <w:tcW w:w="24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32,719</w:t>
            </w:r>
          </w:p>
        </w:tc>
        <w:tc>
          <w:tcPr>
            <w:tcW w:w="100" w:type="dxa"/>
            <w:vAlign w:val="bottom"/>
            <w:shd w:val="clear" w:color="auto" w:fill="CCECFF"/>
          </w:tcPr>
          <w:p>
            <w:pPr>
              <w:spacing w:after="0"/>
              <w:rPr>
                <w:sz w:val="19"/>
                <w:szCs w:val="19"/>
                <w:color w:val="auto"/>
              </w:rPr>
            </w:pPr>
          </w:p>
        </w:tc>
      </w:tr>
      <w:tr>
        <w:trPr>
          <w:trHeight w:val="213"/>
        </w:trPr>
        <w:tc>
          <w:tcPr>
            <w:tcW w:w="6160" w:type="dxa"/>
            <w:vAlign w:val="bottom"/>
            <w:tcBorders>
              <w:bottom w:val="single" w:sz="8" w:color="CCECFF"/>
            </w:tcBorders>
          </w:tcPr>
          <w:p>
            <w:pPr>
              <w:spacing w:after="0"/>
              <w:rPr>
                <w:sz w:val="20"/>
                <w:szCs w:val="20"/>
                <w:color w:val="auto"/>
              </w:rPr>
            </w:pPr>
            <w:r>
              <w:rPr>
                <w:rFonts w:ascii="Arial" w:cs="Arial" w:eastAsia="Arial" w:hAnsi="Arial"/>
                <w:sz w:val="16"/>
                <w:szCs w:val="16"/>
                <w:color w:val="auto"/>
              </w:rPr>
              <w:t>Accrued other expenses</w:t>
            </w:r>
          </w:p>
        </w:tc>
        <w:tc>
          <w:tcPr>
            <w:tcW w:w="1100" w:type="dxa"/>
            <w:vAlign w:val="bottom"/>
            <w:tcBorders>
              <w:bottom w:val="single" w:sz="8" w:color="CCEC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178,438</w:t>
            </w:r>
          </w:p>
        </w:tc>
        <w:tc>
          <w:tcPr>
            <w:tcW w:w="240" w:type="dxa"/>
            <w:vAlign w:val="bottom"/>
            <w:tcBorders>
              <w:bottom w:val="single" w:sz="8" w:color="CCEC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10,845</w:t>
            </w:r>
          </w:p>
        </w:tc>
        <w:tc>
          <w:tcPr>
            <w:tcW w:w="100" w:type="dxa"/>
            <w:vAlign w:val="bottom"/>
            <w:tcBorders>
              <w:bottom w:val="single" w:sz="8" w:color="CCECFF"/>
            </w:tcBorders>
          </w:tcPr>
          <w:p>
            <w:pPr>
              <w:spacing w:after="0"/>
              <w:rPr>
                <w:sz w:val="18"/>
                <w:szCs w:val="18"/>
                <w:color w:val="auto"/>
              </w:rPr>
            </w:pPr>
          </w:p>
        </w:tc>
      </w:tr>
      <w:tr>
        <w:trPr>
          <w:trHeight w:val="212"/>
        </w:trPr>
        <w:tc>
          <w:tcPr>
            <w:tcW w:w="6160" w:type="dxa"/>
            <w:vAlign w:val="bottom"/>
            <w:shd w:val="clear" w:color="auto" w:fill="CCECFF"/>
          </w:tcPr>
          <w:p>
            <w:pPr>
              <w:ind w:left="620"/>
              <w:spacing w:after="0"/>
              <w:rPr>
                <w:sz w:val="20"/>
                <w:szCs w:val="20"/>
                <w:color w:val="auto"/>
              </w:rPr>
            </w:pPr>
            <w:r>
              <w:rPr>
                <w:rFonts w:ascii="Arial" w:cs="Arial" w:eastAsia="Arial" w:hAnsi="Arial"/>
                <w:sz w:val="16"/>
                <w:szCs w:val="16"/>
                <w:b w:val="1"/>
                <w:bCs w:val="1"/>
                <w:color w:val="auto"/>
              </w:rPr>
              <w:t>Total liabilities</w:t>
            </w:r>
          </w:p>
        </w:tc>
        <w:tc>
          <w:tcPr>
            <w:tcW w:w="1100" w:type="dxa"/>
            <w:vAlign w:val="bottom"/>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spacing w:after="0"/>
              <w:rPr>
                <w:sz w:val="18"/>
                <w:szCs w:val="18"/>
                <w:color w:val="auto"/>
              </w:rPr>
            </w:pPr>
          </w:p>
        </w:tc>
        <w:tc>
          <w:tcPr>
            <w:tcW w:w="1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552,295,060</w:t>
            </w:r>
          </w:p>
        </w:tc>
        <w:tc>
          <w:tcPr>
            <w:tcW w:w="240" w:type="dxa"/>
            <w:vAlign w:val="bottom"/>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spacing w:after="0"/>
              <w:rPr>
                <w:sz w:val="18"/>
                <w:szCs w:val="18"/>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360,793,891</w:t>
            </w:r>
          </w:p>
        </w:tc>
        <w:tc>
          <w:tcPr>
            <w:tcW w:w="100" w:type="dxa"/>
            <w:vAlign w:val="bottom"/>
            <w:shd w:val="clear" w:color="auto" w:fill="CCECFF"/>
          </w:tcPr>
          <w:p>
            <w:pPr>
              <w:spacing w:after="0"/>
              <w:rPr>
                <w:sz w:val="18"/>
                <w:szCs w:val="18"/>
                <w:color w:val="auto"/>
              </w:rPr>
            </w:pPr>
          </w:p>
        </w:tc>
      </w:tr>
      <w:tr>
        <w:trPr>
          <w:trHeight w:val="207"/>
        </w:trPr>
        <w:tc>
          <w:tcPr>
            <w:tcW w:w="6160" w:type="dxa"/>
            <w:vAlign w:val="bottom"/>
            <w:tcBorders>
              <w:bottom w:val="single" w:sz="8" w:color="CCECFF"/>
            </w:tcBorders>
          </w:tcPr>
          <w:p>
            <w:pPr>
              <w:ind w:left="620"/>
              <w:spacing w:after="0"/>
              <w:rPr>
                <w:sz w:val="20"/>
                <w:szCs w:val="20"/>
                <w:color w:val="auto"/>
              </w:rPr>
            </w:pPr>
            <w:r>
              <w:rPr>
                <w:rFonts w:ascii="Arial" w:cs="Arial" w:eastAsia="Arial" w:hAnsi="Arial"/>
                <w:sz w:val="16"/>
                <w:szCs w:val="16"/>
                <w:b w:val="1"/>
                <w:bCs w:val="1"/>
                <w:color w:val="auto"/>
              </w:rPr>
              <w:t>Members' equity</w:t>
            </w:r>
          </w:p>
        </w:tc>
        <w:tc>
          <w:tcPr>
            <w:tcW w:w="1100" w:type="dxa"/>
            <w:vAlign w:val="bottom"/>
            <w:tcBorders>
              <w:bottom w:val="single" w:sz="8" w:color="CCEC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51,264,131</w:t>
            </w:r>
          </w:p>
        </w:tc>
        <w:tc>
          <w:tcPr>
            <w:tcW w:w="24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45,612,085</w:t>
            </w:r>
          </w:p>
        </w:tc>
        <w:tc>
          <w:tcPr>
            <w:tcW w:w="100" w:type="dxa"/>
            <w:vAlign w:val="bottom"/>
            <w:tcBorders>
              <w:bottom w:val="single" w:sz="8" w:color="CCECFF"/>
            </w:tcBorders>
          </w:tcPr>
          <w:p>
            <w:pPr>
              <w:spacing w:after="0"/>
              <w:rPr>
                <w:sz w:val="17"/>
                <w:szCs w:val="17"/>
                <w:color w:val="auto"/>
              </w:rPr>
            </w:pPr>
          </w:p>
        </w:tc>
      </w:tr>
      <w:tr>
        <w:trPr>
          <w:trHeight w:val="209"/>
        </w:trPr>
        <w:tc>
          <w:tcPr>
            <w:tcW w:w="6160" w:type="dxa"/>
            <w:vAlign w:val="bottom"/>
            <w:shd w:val="clear" w:color="auto" w:fill="CCECFF"/>
          </w:tcPr>
          <w:p>
            <w:pPr>
              <w:ind w:left="620"/>
              <w:spacing w:after="0"/>
              <w:rPr>
                <w:sz w:val="20"/>
                <w:szCs w:val="20"/>
                <w:color w:val="auto"/>
              </w:rPr>
            </w:pPr>
            <w:r>
              <w:rPr>
                <w:rFonts w:ascii="Arial" w:cs="Arial" w:eastAsia="Arial" w:hAnsi="Arial"/>
                <w:sz w:val="16"/>
                <w:szCs w:val="16"/>
                <w:b w:val="1"/>
                <w:bCs w:val="1"/>
                <w:color w:val="auto"/>
              </w:rPr>
              <w:t>Total liabilities and members’ equity</w:t>
            </w:r>
          </w:p>
        </w:tc>
        <w:tc>
          <w:tcPr>
            <w:tcW w:w="124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603,559,191</w:t>
            </w:r>
          </w:p>
        </w:tc>
        <w:tc>
          <w:tcPr>
            <w:tcW w:w="40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406,405,976</w:t>
            </w:r>
          </w:p>
        </w:tc>
        <w:tc>
          <w:tcPr>
            <w:tcW w:w="100" w:type="dxa"/>
            <w:vAlign w:val="bottom"/>
            <w:shd w:val="clear" w:color="auto" w:fill="CCECFF"/>
          </w:tcPr>
          <w:p>
            <w:pPr>
              <w:spacing w:after="0"/>
              <w:rPr>
                <w:sz w:val="18"/>
                <w:szCs w:val="18"/>
                <w:color w:val="auto"/>
              </w:rPr>
            </w:pPr>
          </w:p>
        </w:tc>
      </w:tr>
      <w:tr>
        <w:trPr>
          <w:trHeight w:val="20"/>
        </w:trPr>
        <w:tc>
          <w:tcPr>
            <w:tcW w:w="6160" w:type="dxa"/>
            <w:vAlign w:val="bottom"/>
            <w:tcBorders>
              <w:top w:val="single" w:sz="8" w:color="CCECFF"/>
            </w:tcBorders>
          </w:tcPr>
          <w:p>
            <w:pPr>
              <w:spacing w:after="0" w:line="20" w:lineRule="exact"/>
              <w:rPr>
                <w:sz w:val="1"/>
                <w:szCs w:val="1"/>
                <w:color w:val="auto"/>
              </w:rPr>
            </w:pPr>
          </w:p>
        </w:tc>
        <w:tc>
          <w:tcPr>
            <w:tcW w:w="110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200" w:lineRule="exact"/>
        <w:rPr>
          <w:sz w:val="20"/>
          <w:szCs w:val="20"/>
          <w:color w:val="auto"/>
        </w:rPr>
      </w:pPr>
    </w:p>
    <w:p>
      <w:pPr>
        <w:spacing w:after="0" w:line="27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gridSpan w:val="2"/>
          </w:tcPr>
          <w:p>
            <w:pPr>
              <w:jc w:val="right"/>
              <w:ind w:right="1000"/>
              <w:spacing w:after="0"/>
              <w:rPr>
                <w:sz w:val="20"/>
                <w:szCs w:val="20"/>
                <w:color w:val="auto"/>
              </w:rPr>
            </w:pPr>
            <w:r>
              <w:rPr>
                <w:rFonts w:ascii="Arial" w:cs="Arial" w:eastAsia="Arial" w:hAnsi="Arial"/>
                <w:sz w:val="16"/>
                <w:szCs w:val="16"/>
                <w:b w:val="1"/>
                <w:bCs w:val="1"/>
                <w:color w:val="auto"/>
              </w:rPr>
              <w:t>Year Ended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9"/>
        </w:trPr>
        <w:tc>
          <w:tcPr>
            <w:tcW w:w="6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4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September 30, 2021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7"/>
              </w:rPr>
              <w:t>September 30, 2020</w:t>
            </w:r>
          </w:p>
        </w:tc>
        <w:tc>
          <w:tcPr>
            <w:tcW w:w="0" w:type="dxa"/>
            <w:vAlign w:val="bottom"/>
          </w:tcPr>
          <w:p>
            <w:pPr>
              <w:spacing w:after="0"/>
              <w:rPr>
                <w:sz w:val="1"/>
                <w:szCs w:val="1"/>
                <w:color w:val="auto"/>
              </w:rPr>
            </w:pPr>
          </w:p>
        </w:tc>
      </w:tr>
      <w:tr>
        <w:trPr>
          <w:trHeight w:val="212"/>
        </w:trPr>
        <w:tc>
          <w:tcPr>
            <w:tcW w:w="63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6"/>
                <w:szCs w:val="16"/>
                <w:b w:val="1"/>
                <w:bCs w:val="1"/>
                <w:color w:val="auto"/>
              </w:rPr>
              <w:t>Investment income:</w:t>
            </w:r>
          </w:p>
        </w:tc>
        <w:tc>
          <w:tcPr>
            <w:tcW w:w="320" w:type="dxa"/>
            <w:vAlign w:val="bottom"/>
            <w:tcBorders>
              <w:top w:val="single" w:sz="8" w:color="auto"/>
            </w:tcBorders>
            <w:shd w:val="clear" w:color="auto" w:fill="CCECFF"/>
          </w:tcPr>
          <w:p>
            <w:pPr>
              <w:spacing w:after="0"/>
              <w:rPr>
                <w:sz w:val="18"/>
                <w:szCs w:val="18"/>
                <w:color w:val="auto"/>
              </w:rPr>
            </w:pPr>
          </w:p>
        </w:tc>
        <w:tc>
          <w:tcPr>
            <w:tcW w:w="2000" w:type="dxa"/>
            <w:vAlign w:val="bottom"/>
            <w:tcBorders>
              <w:top w:val="single" w:sz="8" w:color="auto"/>
            </w:tcBorders>
            <w:shd w:val="clear" w:color="auto" w:fill="CCECFF"/>
          </w:tcPr>
          <w:p>
            <w:pPr>
              <w:spacing w:after="0"/>
              <w:rPr>
                <w:sz w:val="18"/>
                <w:szCs w:val="18"/>
                <w:color w:val="auto"/>
              </w:rPr>
            </w:pPr>
          </w:p>
        </w:tc>
        <w:tc>
          <w:tcPr>
            <w:tcW w:w="240" w:type="dxa"/>
            <w:vAlign w:val="bottom"/>
            <w:tcBorders>
              <w:top w:val="single" w:sz="8" w:color="CCECFF"/>
            </w:tcBorders>
            <w:shd w:val="clear" w:color="auto" w:fill="CCECFF"/>
          </w:tcPr>
          <w:p>
            <w:pPr>
              <w:spacing w:after="0"/>
              <w:rPr>
                <w:sz w:val="18"/>
                <w:szCs w:val="18"/>
                <w:color w:val="auto"/>
              </w:rPr>
            </w:pPr>
          </w:p>
        </w:tc>
        <w:tc>
          <w:tcPr>
            <w:tcW w:w="180" w:type="dxa"/>
            <w:vAlign w:val="bottom"/>
            <w:tcBorders>
              <w:top w:val="single" w:sz="8" w:color="CCECFF"/>
            </w:tcBorders>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spacing w:after="0"/>
              <w:rPr>
                <w:sz w:val="18"/>
                <w:szCs w:val="18"/>
                <w:color w:val="auto"/>
              </w:rPr>
            </w:pPr>
          </w:p>
        </w:tc>
        <w:tc>
          <w:tcPr>
            <w:tcW w:w="1860" w:type="dxa"/>
            <w:vAlign w:val="bottom"/>
            <w:tcBorders>
              <w:top w:val="single" w:sz="8" w:color="auto"/>
            </w:tcBorders>
            <w:shd w:val="clear" w:color="auto" w:fill="CCECFF"/>
          </w:tcPr>
          <w:p>
            <w:pPr>
              <w:spacing w:after="0"/>
              <w:rPr>
                <w:sz w:val="18"/>
                <w:szCs w:val="18"/>
                <w:color w:val="auto"/>
              </w:rPr>
            </w:pPr>
          </w:p>
        </w:tc>
        <w:tc>
          <w:tcPr>
            <w:tcW w:w="120" w:type="dxa"/>
            <w:vAlign w:val="bottom"/>
            <w:tcBorders>
              <w:top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260"/>
              <w:spacing w:after="0"/>
              <w:rPr>
                <w:sz w:val="20"/>
                <w:szCs w:val="20"/>
                <w:color w:val="auto"/>
              </w:rPr>
            </w:pPr>
            <w:r>
              <w:rPr>
                <w:rFonts w:ascii="Arial" w:cs="Arial" w:eastAsia="Arial" w:hAnsi="Arial"/>
                <w:sz w:val="16"/>
                <w:szCs w:val="16"/>
                <w:color w:val="auto"/>
              </w:rPr>
              <w:t>Interest</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33,364,275</w:t>
            </w:r>
          </w:p>
        </w:tc>
        <w:tc>
          <w:tcPr>
            <w:tcW w:w="2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33,260,154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CECFF"/>
          </w:tcPr>
          <w:p>
            <w:pPr>
              <w:ind w:left="26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auto"/>
            </w:tcBorders>
            <w:shd w:val="clear" w:color="auto" w:fill="CCECFF"/>
          </w:tcPr>
          <w:p>
            <w:pPr>
              <w:spacing w:after="0"/>
              <w:rPr>
                <w:sz w:val="19"/>
                <w:szCs w:val="19"/>
                <w:color w:val="auto"/>
              </w:rPr>
            </w:pPr>
          </w:p>
        </w:tc>
        <w:tc>
          <w:tcPr>
            <w:tcW w:w="2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982,118</w:t>
            </w: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spacing w:after="0"/>
              <w:rPr>
                <w:sz w:val="19"/>
                <w:szCs w:val="19"/>
                <w:color w:val="auto"/>
              </w:rPr>
            </w:pPr>
          </w:p>
        </w:tc>
        <w:tc>
          <w:tcPr>
            <w:tcW w:w="1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138,795</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300" w:type="dxa"/>
            <w:vAlign w:val="bottom"/>
            <w:tcBorders>
              <w:bottom w:val="single" w:sz="8" w:color="CCECFF"/>
            </w:tcBorders>
          </w:tcPr>
          <w:p>
            <w:pPr>
              <w:spacing w:after="0"/>
              <w:rPr>
                <w:sz w:val="20"/>
                <w:szCs w:val="20"/>
                <w:color w:val="auto"/>
              </w:rPr>
            </w:pPr>
            <w:r>
              <w:rPr>
                <w:rFonts w:ascii="Arial" w:cs="Arial" w:eastAsia="Arial" w:hAnsi="Arial"/>
                <w:sz w:val="16"/>
                <w:szCs w:val="16"/>
                <w:b w:val="1"/>
                <w:bCs w:val="1"/>
                <w:color w:val="auto"/>
              </w:rPr>
              <w:t>Total investment income</w:t>
            </w: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34,346,393</w:t>
            </w:r>
          </w:p>
        </w:tc>
        <w:tc>
          <w:tcPr>
            <w:tcW w:w="240" w:type="dxa"/>
            <w:vAlign w:val="bottom"/>
            <w:tcBorders>
              <w:bottom w:val="single" w:sz="8" w:color="CCECFF"/>
            </w:tcBorders>
          </w:tcPr>
          <w:p>
            <w:pPr>
              <w:spacing w:after="0"/>
              <w:rPr>
                <w:sz w:val="17"/>
                <w:szCs w:val="17"/>
                <w:color w:val="auto"/>
              </w:rPr>
            </w:pPr>
          </w:p>
        </w:tc>
        <w:tc>
          <w:tcPr>
            <w:tcW w:w="18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33,398,949</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00" w:type="dxa"/>
            <w:vAlign w:val="bottom"/>
            <w:shd w:val="clear" w:color="auto" w:fill="CCECFF"/>
          </w:tcPr>
          <w:p>
            <w:pPr>
              <w:spacing w:after="0"/>
              <w:rPr>
                <w:sz w:val="20"/>
                <w:szCs w:val="20"/>
                <w:color w:val="auto"/>
              </w:rPr>
            </w:pPr>
            <w:r>
              <w:rPr>
                <w:rFonts w:ascii="Arial" w:cs="Arial" w:eastAsia="Arial" w:hAnsi="Arial"/>
                <w:sz w:val="16"/>
                <w:szCs w:val="16"/>
                <w:b w:val="1"/>
                <w:bCs w:val="1"/>
                <w:color w:val="auto"/>
              </w:rPr>
              <w:t>Expenses:</w:t>
            </w:r>
          </w:p>
        </w:tc>
        <w:tc>
          <w:tcPr>
            <w:tcW w:w="320" w:type="dxa"/>
            <w:vAlign w:val="bottom"/>
            <w:shd w:val="clear" w:color="auto" w:fill="CCECFF"/>
          </w:tcPr>
          <w:p>
            <w:pPr>
              <w:spacing w:after="0"/>
              <w:rPr>
                <w:sz w:val="18"/>
                <w:szCs w:val="18"/>
                <w:color w:val="auto"/>
              </w:rPr>
            </w:pPr>
          </w:p>
        </w:tc>
        <w:tc>
          <w:tcPr>
            <w:tcW w:w="20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8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260"/>
              <w:spacing w:after="0"/>
              <w:rPr>
                <w:sz w:val="20"/>
                <w:szCs w:val="20"/>
                <w:color w:val="auto"/>
              </w:rPr>
            </w:pPr>
            <w:r>
              <w:rPr>
                <w:rFonts w:ascii="Arial" w:cs="Arial" w:eastAsia="Arial" w:hAnsi="Arial"/>
                <w:sz w:val="16"/>
                <w:szCs w:val="16"/>
                <w:color w:val="auto"/>
              </w:rPr>
              <w:t>Interest expense on credit facility and asset-backed debt</w:t>
            </w:r>
          </w:p>
        </w:tc>
        <w:tc>
          <w:tcPr>
            <w:tcW w:w="3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9,648,602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11,865,971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CECFF"/>
          </w:tcPr>
          <w:p>
            <w:pPr>
              <w:ind w:left="260"/>
              <w:spacing w:after="0"/>
              <w:rPr>
                <w:sz w:val="20"/>
                <w:szCs w:val="20"/>
                <w:color w:val="auto"/>
              </w:rPr>
            </w:pPr>
            <w:r>
              <w:rPr>
                <w:rFonts w:ascii="Arial" w:cs="Arial" w:eastAsia="Arial" w:hAnsi="Arial"/>
                <w:sz w:val="16"/>
                <w:szCs w:val="16"/>
                <w:color w:val="auto"/>
              </w:rPr>
              <w:t>Interest expense on notes to members</w:t>
            </w:r>
          </w:p>
        </w:tc>
        <w:tc>
          <w:tcPr>
            <w:tcW w:w="320" w:type="dxa"/>
            <w:vAlign w:val="bottom"/>
            <w:shd w:val="clear" w:color="auto" w:fill="CCECFF"/>
          </w:tcPr>
          <w:p>
            <w:pPr>
              <w:spacing w:after="0"/>
              <w:rPr>
                <w:sz w:val="19"/>
                <w:szCs w:val="19"/>
                <w:color w:val="auto"/>
              </w:rPr>
            </w:pPr>
          </w:p>
        </w:tc>
        <w:tc>
          <w:tcPr>
            <w:tcW w:w="20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12,635,490</w:t>
            </w: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8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13,531,037</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260"/>
              <w:spacing w:after="0"/>
              <w:rPr>
                <w:sz w:val="20"/>
                <w:szCs w:val="20"/>
                <w:color w:val="auto"/>
              </w:rPr>
            </w:pPr>
            <w:r>
              <w:rPr>
                <w:rFonts w:ascii="Arial" w:cs="Arial" w:eastAsia="Arial" w:hAnsi="Arial"/>
                <w:sz w:val="16"/>
                <w:szCs w:val="16"/>
                <w:color w:val="auto"/>
              </w:rPr>
              <w:t>Administrative services expenses</w:t>
            </w:r>
          </w:p>
        </w:tc>
        <w:tc>
          <w:tcPr>
            <w:tcW w:w="3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1,200,000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1,200,000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CECFF"/>
          </w:tcPr>
          <w:p>
            <w:pPr>
              <w:ind w:left="260"/>
              <w:spacing w:after="0"/>
              <w:rPr>
                <w:sz w:val="20"/>
                <w:szCs w:val="20"/>
                <w:color w:val="auto"/>
              </w:rPr>
            </w:pPr>
            <w:r>
              <w:rPr>
                <w:rFonts w:ascii="Arial" w:cs="Arial" w:eastAsia="Arial" w:hAnsi="Arial"/>
                <w:sz w:val="16"/>
                <w:szCs w:val="16"/>
                <w:color w:val="auto"/>
              </w:rPr>
              <w:t>Other general and administrative expenses</w:t>
            </w:r>
          </w:p>
        </w:tc>
        <w:tc>
          <w:tcPr>
            <w:tcW w:w="320" w:type="dxa"/>
            <w:vAlign w:val="bottom"/>
            <w:tcBorders>
              <w:bottom w:val="single" w:sz="8" w:color="auto"/>
            </w:tcBorders>
            <w:shd w:val="clear" w:color="auto" w:fill="CCECFF"/>
          </w:tcPr>
          <w:p>
            <w:pPr>
              <w:spacing w:after="0"/>
              <w:rPr>
                <w:sz w:val="19"/>
                <w:szCs w:val="19"/>
                <w:color w:val="auto"/>
              </w:rPr>
            </w:pPr>
          </w:p>
        </w:tc>
        <w:tc>
          <w:tcPr>
            <w:tcW w:w="2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906,134</w:t>
            </w: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spacing w:after="0"/>
              <w:rPr>
                <w:sz w:val="19"/>
                <w:szCs w:val="19"/>
                <w:color w:val="auto"/>
              </w:rPr>
            </w:pPr>
          </w:p>
        </w:tc>
        <w:tc>
          <w:tcPr>
            <w:tcW w:w="1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485,660</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00" w:type="dxa"/>
            <w:vAlign w:val="bottom"/>
            <w:tcBorders>
              <w:bottom w:val="single" w:sz="8" w:color="CCECFF"/>
            </w:tcBorders>
          </w:tcPr>
          <w:p>
            <w:pPr>
              <w:ind w:left="26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24,390,226</w:t>
            </w:r>
          </w:p>
        </w:tc>
        <w:tc>
          <w:tcPr>
            <w:tcW w:w="240" w:type="dxa"/>
            <w:vAlign w:val="bottom"/>
            <w:tcBorders>
              <w:bottom w:val="single" w:sz="8" w:color="CCECFF"/>
            </w:tcBorders>
          </w:tcPr>
          <w:p>
            <w:pPr>
              <w:spacing w:after="0"/>
              <w:rPr>
                <w:sz w:val="17"/>
                <w:szCs w:val="17"/>
                <w:color w:val="auto"/>
              </w:rPr>
            </w:pPr>
          </w:p>
        </w:tc>
        <w:tc>
          <w:tcPr>
            <w:tcW w:w="18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27,082,668</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00" w:type="dxa"/>
            <w:vAlign w:val="bottom"/>
            <w:shd w:val="clear" w:color="auto" w:fill="CCECFF"/>
          </w:tcPr>
          <w:p>
            <w:pPr>
              <w:spacing w:after="0"/>
              <w:rPr>
                <w:sz w:val="20"/>
                <w:szCs w:val="20"/>
                <w:color w:val="auto"/>
              </w:rPr>
            </w:pPr>
            <w:r>
              <w:rPr>
                <w:rFonts w:ascii="Arial" w:cs="Arial" w:eastAsia="Arial" w:hAnsi="Arial"/>
                <w:sz w:val="16"/>
                <w:szCs w:val="16"/>
                <w:b w:val="1"/>
                <w:bCs w:val="1"/>
                <w:color w:val="auto"/>
              </w:rPr>
              <w:t>Net investment income</w:t>
            </w:r>
          </w:p>
        </w:tc>
        <w:tc>
          <w:tcPr>
            <w:tcW w:w="320" w:type="dxa"/>
            <w:vAlign w:val="bottom"/>
            <w:tcBorders>
              <w:bottom w:val="single" w:sz="8" w:color="auto"/>
            </w:tcBorders>
            <w:shd w:val="clear" w:color="auto" w:fill="CCECFF"/>
          </w:tcPr>
          <w:p>
            <w:pPr>
              <w:spacing w:after="0"/>
              <w:rPr>
                <w:sz w:val="18"/>
                <w:szCs w:val="18"/>
                <w:color w:val="auto"/>
              </w:rPr>
            </w:pPr>
          </w:p>
        </w:tc>
        <w:tc>
          <w:tcPr>
            <w:tcW w:w="2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9,956,167</w:t>
            </w: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1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6,316,281</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300" w:type="dxa"/>
            <w:vAlign w:val="bottom"/>
          </w:tcPr>
          <w:p>
            <w:pPr>
              <w:spacing w:after="0"/>
              <w:rPr>
                <w:sz w:val="20"/>
                <w:szCs w:val="20"/>
                <w:color w:val="auto"/>
              </w:rPr>
            </w:pPr>
            <w:r>
              <w:rPr>
                <w:rFonts w:ascii="Arial" w:cs="Arial" w:eastAsia="Arial" w:hAnsi="Arial"/>
                <w:sz w:val="16"/>
                <w:szCs w:val="16"/>
                <w:b w:val="1"/>
                <w:bCs w:val="1"/>
                <w:color w:val="auto"/>
                <w:w w:val="94"/>
              </w:rPr>
              <w:t>Realized and change in unrealized gain (loss) on investments and credit facility foreign</w:t>
            </w:r>
          </w:p>
        </w:tc>
        <w:tc>
          <w:tcPr>
            <w:tcW w:w="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b w:val="1"/>
                <w:bCs w:val="1"/>
                <w:color w:val="auto"/>
              </w:rPr>
              <w:t>currency translation:</w:t>
            </w:r>
          </w:p>
        </w:tc>
        <w:tc>
          <w:tcPr>
            <w:tcW w:w="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CECFF"/>
          </w:tcPr>
          <w:p>
            <w:pPr>
              <w:spacing w:after="0"/>
              <w:rPr>
                <w:sz w:val="20"/>
                <w:szCs w:val="20"/>
                <w:color w:val="auto"/>
              </w:rPr>
            </w:pPr>
            <w:r>
              <w:rPr>
                <w:rFonts w:ascii="Arial" w:cs="Arial" w:eastAsia="Arial" w:hAnsi="Arial"/>
                <w:sz w:val="16"/>
                <w:szCs w:val="16"/>
                <w:color w:val="auto"/>
              </w:rPr>
              <w:t>Net realized loss on investments</w:t>
            </w:r>
          </w:p>
        </w:tc>
        <w:tc>
          <w:tcPr>
            <w:tcW w:w="320" w:type="dxa"/>
            <w:vAlign w:val="bottom"/>
            <w:shd w:val="clear" w:color="auto" w:fill="CCECFF"/>
          </w:tcPr>
          <w:p>
            <w:pPr>
              <w:spacing w:after="0"/>
              <w:rPr>
                <w:sz w:val="19"/>
                <w:szCs w:val="19"/>
                <w:color w:val="auto"/>
              </w:rPr>
            </w:pPr>
          </w:p>
        </w:tc>
        <w:tc>
          <w:tcPr>
            <w:tcW w:w="2240" w:type="dxa"/>
            <w:vAlign w:val="bottom"/>
            <w:gridSpan w:val="2"/>
            <w:shd w:val="clear" w:color="auto" w:fill="CCECFF"/>
          </w:tcPr>
          <w:p>
            <w:pPr>
              <w:jc w:val="right"/>
              <w:ind w:right="180"/>
              <w:spacing w:after="0"/>
              <w:rPr>
                <w:sz w:val="20"/>
                <w:szCs w:val="20"/>
                <w:color w:val="auto"/>
              </w:rPr>
            </w:pPr>
            <w:r>
              <w:rPr>
                <w:rFonts w:ascii="Arial" w:cs="Arial" w:eastAsia="Arial" w:hAnsi="Arial"/>
                <w:sz w:val="16"/>
                <w:szCs w:val="16"/>
                <w:color w:val="auto"/>
              </w:rPr>
              <w:t>(4,732,408)</w:t>
            </w:r>
          </w:p>
        </w:tc>
        <w:tc>
          <w:tcPr>
            <w:tcW w:w="18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98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(992,974)</w:t>
            </w:r>
          </w:p>
        </w:tc>
        <w:tc>
          <w:tcPr>
            <w:tcW w:w="0" w:type="dxa"/>
            <w:vAlign w:val="bottom"/>
          </w:tcPr>
          <w:p>
            <w:pPr>
              <w:spacing w:after="0"/>
              <w:rPr>
                <w:sz w:val="1"/>
                <w:szCs w:val="1"/>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Net change in unrealized appreciation (depreciation) on:</w:t>
            </w:r>
          </w:p>
        </w:tc>
        <w:tc>
          <w:tcPr>
            <w:tcW w:w="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CECFF"/>
          </w:tcPr>
          <w:p>
            <w:pPr>
              <w:ind w:left="260"/>
              <w:spacing w:after="0"/>
              <w:rPr>
                <w:sz w:val="20"/>
                <w:szCs w:val="20"/>
                <w:color w:val="auto"/>
              </w:rPr>
            </w:pPr>
            <w:r>
              <w:rPr>
                <w:rFonts w:ascii="Arial" w:cs="Arial" w:eastAsia="Arial" w:hAnsi="Arial"/>
                <w:sz w:val="16"/>
                <w:szCs w:val="16"/>
                <w:color w:val="auto"/>
              </w:rPr>
              <w:t>Investments</w:t>
            </w:r>
          </w:p>
        </w:tc>
        <w:tc>
          <w:tcPr>
            <w:tcW w:w="320" w:type="dxa"/>
            <w:vAlign w:val="bottom"/>
            <w:shd w:val="clear" w:color="auto" w:fill="CCECFF"/>
          </w:tcPr>
          <w:p>
            <w:pPr>
              <w:spacing w:after="0"/>
              <w:rPr>
                <w:sz w:val="19"/>
                <w:szCs w:val="19"/>
                <w:color w:val="auto"/>
              </w:rPr>
            </w:pPr>
          </w:p>
        </w:tc>
        <w:tc>
          <w:tcPr>
            <w:tcW w:w="20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3,377,322</w:t>
            </w: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98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(9,368,121)</w:t>
            </w:r>
          </w:p>
        </w:tc>
        <w:tc>
          <w:tcPr>
            <w:tcW w:w="0" w:type="dxa"/>
            <w:vAlign w:val="bottom"/>
          </w:tcPr>
          <w:p>
            <w:pPr>
              <w:spacing w:after="0"/>
              <w:rPr>
                <w:sz w:val="1"/>
                <w:szCs w:val="1"/>
                <w:color w:val="auto"/>
              </w:rPr>
            </w:pPr>
          </w:p>
        </w:tc>
      </w:tr>
      <w:tr>
        <w:trPr>
          <w:trHeight w:val="213"/>
        </w:trPr>
        <w:tc>
          <w:tcPr>
            <w:tcW w:w="6300" w:type="dxa"/>
            <w:vAlign w:val="bottom"/>
          </w:tcPr>
          <w:p>
            <w:pPr>
              <w:ind w:left="260"/>
              <w:spacing w:after="0"/>
              <w:rPr>
                <w:sz w:val="20"/>
                <w:szCs w:val="20"/>
                <w:color w:val="auto"/>
              </w:rPr>
            </w:pPr>
            <w:r>
              <w:rPr>
                <w:rFonts w:ascii="Arial" w:cs="Arial" w:eastAsia="Arial" w:hAnsi="Arial"/>
                <w:sz w:val="16"/>
                <w:szCs w:val="16"/>
                <w:color w:val="auto"/>
              </w:rPr>
              <w:t>Credit facility foreign currency translation</w:t>
            </w:r>
          </w:p>
        </w:tc>
        <w:tc>
          <w:tcPr>
            <w:tcW w:w="320" w:type="dxa"/>
            <w:vAlign w:val="bottom"/>
          </w:tcPr>
          <w:p>
            <w:pPr>
              <w:spacing w:after="0"/>
              <w:rPr>
                <w:sz w:val="18"/>
                <w:szCs w:val="18"/>
                <w:color w:val="auto"/>
              </w:rPr>
            </w:pPr>
          </w:p>
        </w:tc>
        <w:tc>
          <w:tcPr>
            <w:tcW w:w="2240" w:type="dxa"/>
            <w:vAlign w:val="bottom"/>
            <w:gridSpan w:val="2"/>
          </w:tcPr>
          <w:p>
            <w:pPr>
              <w:jc w:val="right"/>
              <w:ind w:right="180"/>
              <w:spacing w:after="0"/>
              <w:rPr>
                <w:sz w:val="20"/>
                <w:szCs w:val="20"/>
                <w:color w:val="auto"/>
              </w:rPr>
            </w:pPr>
            <w:r>
              <w:rPr>
                <w:rFonts w:ascii="Arial" w:cs="Arial" w:eastAsia="Arial" w:hAnsi="Arial"/>
                <w:sz w:val="16"/>
                <w:szCs w:val="16"/>
                <w:color w:val="auto"/>
              </w:rPr>
              <w:t>(489,034)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6"/>
                <w:szCs w:val="16"/>
                <w:color w:val="auto"/>
              </w:rPr>
              <w:t>(2,210,907)</w:t>
            </w:r>
          </w:p>
        </w:tc>
        <w:tc>
          <w:tcPr>
            <w:tcW w:w="0" w:type="dxa"/>
            <w:vAlign w:val="bottom"/>
          </w:tcPr>
          <w:p>
            <w:pPr>
              <w:spacing w:after="0"/>
              <w:rPr>
                <w:sz w:val="1"/>
                <w:szCs w:val="1"/>
                <w:color w:val="auto"/>
              </w:rPr>
            </w:pPr>
          </w:p>
        </w:tc>
      </w:tr>
      <w:tr>
        <w:trPr>
          <w:trHeight w:val="20"/>
        </w:trPr>
        <w:tc>
          <w:tcPr>
            <w:tcW w:w="6300" w:type="dxa"/>
            <w:vAlign w:val="bottom"/>
            <w:vMerge w:val="restart"/>
            <w:shd w:val="clear" w:color="auto" w:fill="CCECFF"/>
          </w:tcPr>
          <w:p>
            <w:pPr>
              <w:ind w:left="260"/>
              <w:spacing w:after="0"/>
              <w:rPr>
                <w:sz w:val="20"/>
                <w:szCs w:val="20"/>
                <w:color w:val="auto"/>
              </w:rPr>
            </w:pPr>
            <w:r>
              <w:rPr>
                <w:rFonts w:ascii="Arial" w:cs="Arial" w:eastAsia="Arial" w:hAnsi="Arial"/>
                <w:sz w:val="16"/>
                <w:szCs w:val="16"/>
                <w:b w:val="1"/>
                <w:bCs w:val="1"/>
                <w:color w:val="auto"/>
              </w:rPr>
              <w:t>Net change in unrealized appreciation (depreciation) on investments and credit</w:t>
            </w:r>
          </w:p>
        </w:tc>
        <w:tc>
          <w:tcPr>
            <w:tcW w:w="3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300" w:type="dxa"/>
            <w:vAlign w:val="bottom"/>
            <w:vMerge w:val="continue"/>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200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2,888,288</w:t>
            </w:r>
          </w:p>
        </w:tc>
        <w:tc>
          <w:tcPr>
            <w:tcW w:w="24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980" w:type="dxa"/>
            <w:vAlign w:val="bottom"/>
            <w:gridSpan w:val="2"/>
            <w:vMerge w:val="restart"/>
            <w:shd w:val="clear" w:color="auto" w:fill="CCECFF"/>
          </w:tcPr>
          <w:p>
            <w:pPr>
              <w:jc w:val="right"/>
              <w:ind w:right="60"/>
              <w:spacing w:after="0"/>
              <w:rPr>
                <w:sz w:val="20"/>
                <w:szCs w:val="20"/>
                <w:color w:val="auto"/>
              </w:rPr>
            </w:pPr>
            <w:r>
              <w:rPr>
                <w:rFonts w:ascii="Arial" w:cs="Arial" w:eastAsia="Arial" w:hAnsi="Arial"/>
                <w:sz w:val="16"/>
                <w:szCs w:val="16"/>
                <w:color w:val="auto"/>
              </w:rPr>
              <w:t>(11,579,028)</w:t>
            </w:r>
          </w:p>
        </w:tc>
        <w:tc>
          <w:tcPr>
            <w:tcW w:w="0" w:type="dxa"/>
            <w:vAlign w:val="bottom"/>
          </w:tcPr>
          <w:p>
            <w:pPr>
              <w:spacing w:after="0"/>
              <w:rPr>
                <w:sz w:val="1"/>
                <w:szCs w:val="1"/>
                <w:color w:val="auto"/>
              </w:rPr>
            </w:pPr>
          </w:p>
        </w:tc>
      </w:tr>
      <w:tr>
        <w:trPr>
          <w:trHeight w:val="102"/>
        </w:trPr>
        <w:tc>
          <w:tcPr>
            <w:tcW w:w="6300" w:type="dxa"/>
            <w:vAlign w:val="bottom"/>
            <w:vMerge w:val="restart"/>
            <w:shd w:val="clear" w:color="auto" w:fill="CCECFF"/>
          </w:tcPr>
          <w:p>
            <w:pPr>
              <w:ind w:left="260"/>
              <w:spacing w:after="0"/>
              <w:rPr>
                <w:sz w:val="20"/>
                <w:szCs w:val="20"/>
                <w:color w:val="auto"/>
              </w:rPr>
            </w:pPr>
            <w:r>
              <w:rPr>
                <w:rFonts w:ascii="Arial" w:cs="Arial" w:eastAsia="Arial" w:hAnsi="Arial"/>
                <w:sz w:val="16"/>
                <w:szCs w:val="16"/>
                <w:b w:val="1"/>
                <w:bCs w:val="1"/>
                <w:color w:val="auto"/>
              </w:rPr>
              <w:t>facility foreign currency translation</w:t>
            </w:r>
          </w:p>
        </w:tc>
        <w:tc>
          <w:tcPr>
            <w:tcW w:w="320" w:type="dxa"/>
            <w:vAlign w:val="bottom"/>
            <w:shd w:val="clear" w:color="auto" w:fill="CCECFF"/>
          </w:tcPr>
          <w:p>
            <w:pPr>
              <w:spacing w:after="0"/>
              <w:rPr>
                <w:sz w:val="8"/>
                <w:szCs w:val="8"/>
                <w:color w:val="auto"/>
              </w:rPr>
            </w:pPr>
          </w:p>
        </w:tc>
        <w:tc>
          <w:tcPr>
            <w:tcW w:w="2000" w:type="dxa"/>
            <w:vAlign w:val="bottom"/>
            <w:vMerge w:val="continue"/>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980" w:type="dxa"/>
            <w:vAlign w:val="bottom"/>
            <w:gridSpan w:val="2"/>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6300" w:type="dxa"/>
            <w:vAlign w:val="bottom"/>
            <w:vMerge w:val="continue"/>
            <w:shd w:val="clear" w:color="auto" w:fill="CCECFF"/>
          </w:tcPr>
          <w:p>
            <w:pPr>
              <w:spacing w:after="0"/>
              <w:rPr>
                <w:sz w:val="9"/>
                <w:szCs w:val="9"/>
                <w:color w:val="auto"/>
              </w:rPr>
            </w:pPr>
          </w:p>
        </w:tc>
        <w:tc>
          <w:tcPr>
            <w:tcW w:w="320" w:type="dxa"/>
            <w:vAlign w:val="bottom"/>
            <w:tcBorders>
              <w:bottom w:val="single" w:sz="8" w:color="auto"/>
            </w:tcBorders>
            <w:shd w:val="clear" w:color="auto" w:fill="CCECFF"/>
          </w:tcPr>
          <w:p>
            <w:pPr>
              <w:spacing w:after="0"/>
              <w:rPr>
                <w:sz w:val="9"/>
                <w:szCs w:val="9"/>
                <w:color w:val="auto"/>
              </w:rPr>
            </w:pPr>
          </w:p>
        </w:tc>
        <w:tc>
          <w:tcPr>
            <w:tcW w:w="2000" w:type="dxa"/>
            <w:vAlign w:val="bottom"/>
            <w:tcBorders>
              <w:bottom w:val="single" w:sz="8" w:color="auto"/>
            </w:tcBorders>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220" w:type="dxa"/>
            <w:vAlign w:val="bottom"/>
            <w:tcBorders>
              <w:bottom w:val="single" w:sz="8" w:color="auto"/>
            </w:tcBorders>
            <w:shd w:val="clear" w:color="auto" w:fill="CCECFF"/>
          </w:tcPr>
          <w:p>
            <w:pPr>
              <w:spacing w:after="0"/>
              <w:rPr>
                <w:sz w:val="9"/>
                <w:szCs w:val="9"/>
                <w:color w:val="auto"/>
              </w:rPr>
            </w:pPr>
          </w:p>
        </w:tc>
        <w:tc>
          <w:tcPr>
            <w:tcW w:w="1860" w:type="dxa"/>
            <w:vAlign w:val="bottom"/>
            <w:tcBorders>
              <w:bottom w:val="single" w:sz="8" w:color="auto"/>
            </w:tcBorders>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6300" w:type="dxa"/>
            <w:vAlign w:val="bottom"/>
          </w:tcPr>
          <w:p>
            <w:pPr>
              <w:spacing w:after="0"/>
              <w:rPr>
                <w:sz w:val="20"/>
                <w:szCs w:val="20"/>
                <w:color w:val="auto"/>
              </w:rPr>
            </w:pPr>
            <w:r>
              <w:rPr>
                <w:rFonts w:ascii="Arial" w:cs="Arial" w:eastAsia="Arial" w:hAnsi="Arial"/>
                <w:sz w:val="16"/>
                <w:szCs w:val="16"/>
                <w:b w:val="1"/>
                <w:bCs w:val="1"/>
                <w:color w:val="auto"/>
                <w:w w:val="95"/>
              </w:rPr>
              <w:t>Net realized and change in unrealized loss from investments and credit facility foreign</w:t>
            </w:r>
          </w:p>
        </w:tc>
        <w:tc>
          <w:tcPr>
            <w:tcW w:w="320" w:type="dxa"/>
            <w:vAlign w:val="bottom"/>
          </w:tcPr>
          <w:p>
            <w:pPr>
              <w:spacing w:after="0"/>
              <w:rPr>
                <w:sz w:val="17"/>
                <w:szCs w:val="17"/>
                <w:color w:val="auto"/>
              </w:rPr>
            </w:pPr>
          </w:p>
        </w:tc>
        <w:tc>
          <w:tcPr>
            <w:tcW w:w="2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(1,844,120)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(12,572,002)</w:t>
            </w:r>
          </w:p>
        </w:tc>
        <w:tc>
          <w:tcPr>
            <w:tcW w:w="0" w:type="dxa"/>
            <w:vAlign w:val="bottom"/>
          </w:tcPr>
          <w:p>
            <w:pPr>
              <w:spacing w:after="0"/>
              <w:rPr>
                <w:sz w:val="1"/>
                <w:szCs w:val="1"/>
                <w:color w:val="auto"/>
              </w:rPr>
            </w:pPr>
          </w:p>
        </w:tc>
      </w:tr>
      <w:tr>
        <w:trPr>
          <w:trHeight w:val="102"/>
        </w:trPr>
        <w:tc>
          <w:tcPr>
            <w:tcW w:w="6300" w:type="dxa"/>
            <w:vAlign w:val="bottom"/>
            <w:vMerge w:val="restart"/>
          </w:tcPr>
          <w:p>
            <w:pPr>
              <w:spacing w:after="0"/>
              <w:rPr>
                <w:sz w:val="20"/>
                <w:szCs w:val="20"/>
                <w:color w:val="auto"/>
              </w:rPr>
            </w:pPr>
            <w:r>
              <w:rPr>
                <w:rFonts w:ascii="Arial" w:cs="Arial" w:eastAsia="Arial" w:hAnsi="Arial"/>
                <w:sz w:val="16"/>
                <w:szCs w:val="16"/>
                <w:b w:val="1"/>
                <w:bCs w:val="1"/>
                <w:color w:val="auto"/>
              </w:rPr>
              <w:t>currency translation</w:t>
            </w:r>
          </w:p>
        </w:tc>
        <w:tc>
          <w:tcPr>
            <w:tcW w:w="320" w:type="dxa"/>
            <w:vAlign w:val="bottom"/>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6300" w:type="dxa"/>
            <w:vAlign w:val="bottom"/>
            <w:tcBorders>
              <w:bottom w:val="single" w:sz="8" w:color="CCECFF"/>
            </w:tcBorders>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40" w:type="dxa"/>
            <w:vAlign w:val="bottom"/>
            <w:tcBorders>
              <w:bottom w:val="single" w:sz="8" w:color="CCECFF"/>
            </w:tcBorders>
          </w:tcPr>
          <w:p>
            <w:pPr>
              <w:spacing w:after="0"/>
              <w:rPr>
                <w:sz w:val="9"/>
                <w:szCs w:val="9"/>
                <w:color w:val="auto"/>
              </w:rPr>
            </w:pPr>
          </w:p>
        </w:tc>
        <w:tc>
          <w:tcPr>
            <w:tcW w:w="180" w:type="dxa"/>
            <w:vAlign w:val="bottom"/>
            <w:tcBorders>
              <w:bottom w:val="single" w:sz="8" w:color="CCEC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20" w:type="dxa"/>
            <w:vAlign w:val="bottom"/>
            <w:tcBorders>
              <w:bottom w:val="single" w:sz="8" w:color="CCECFF"/>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CECFF"/>
          </w:tcPr>
          <w:p>
            <w:pPr>
              <w:spacing w:after="0"/>
              <w:rPr>
                <w:sz w:val="20"/>
                <w:szCs w:val="20"/>
                <w:color w:val="auto"/>
              </w:rPr>
            </w:pPr>
            <w:r>
              <w:rPr>
                <w:rFonts w:ascii="Arial" w:cs="Arial" w:eastAsia="Arial" w:hAnsi="Arial"/>
                <w:sz w:val="16"/>
                <w:szCs w:val="16"/>
                <w:b w:val="1"/>
                <w:bCs w:val="1"/>
                <w:color w:val="auto"/>
              </w:rPr>
              <w:t>Net increase (decrease) in members’ equity resulting from operations</w:t>
            </w:r>
          </w:p>
        </w:tc>
        <w:tc>
          <w:tcPr>
            <w:tcW w:w="320" w:type="dxa"/>
            <w:vAlign w:val="bottom"/>
            <w:shd w:val="clear" w:color="auto" w:fill="CCECFF"/>
          </w:tcPr>
          <w:p>
            <w:pPr>
              <w:jc w:val="right"/>
              <w:ind w:right="164"/>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CECFF"/>
          </w:tcPr>
          <w:p>
            <w:pPr>
              <w:jc w:val="right"/>
              <w:spacing w:after="0"/>
              <w:rPr>
                <w:sz w:val="20"/>
                <w:szCs w:val="20"/>
                <w:color w:val="auto"/>
              </w:rPr>
            </w:pPr>
            <w:r>
              <w:rPr>
                <w:rFonts w:ascii="Arial" w:cs="Arial" w:eastAsia="Arial" w:hAnsi="Arial"/>
                <w:sz w:val="16"/>
                <w:szCs w:val="16"/>
                <w:color w:val="auto"/>
              </w:rPr>
              <w:t>8,112,047</w:t>
            </w:r>
          </w:p>
        </w:tc>
        <w:tc>
          <w:tcPr>
            <w:tcW w:w="240" w:type="dxa"/>
            <w:vAlign w:val="bottom"/>
            <w:shd w:val="clear" w:color="auto" w:fill="CCECFF"/>
          </w:tcPr>
          <w:p>
            <w:pPr>
              <w:spacing w:after="0"/>
              <w:rPr>
                <w:sz w:val="18"/>
                <w:szCs w:val="18"/>
                <w:color w:val="auto"/>
              </w:rPr>
            </w:pPr>
          </w:p>
        </w:tc>
        <w:tc>
          <w:tcPr>
            <w:tcW w:w="400" w:type="dxa"/>
            <w:vAlign w:val="bottom"/>
            <w:gridSpan w:val="2"/>
            <w:shd w:val="clear" w:color="auto" w:fill="CCECFF"/>
          </w:tcPr>
          <w:p>
            <w:pPr>
              <w:jc w:val="right"/>
              <w:ind w:right="140"/>
              <w:spacing w:after="0"/>
              <w:rPr>
                <w:sz w:val="20"/>
                <w:szCs w:val="20"/>
                <w:color w:val="auto"/>
              </w:rPr>
            </w:pPr>
            <w:r>
              <w:rPr>
                <w:rFonts w:ascii="Arial" w:cs="Arial" w:eastAsia="Arial" w:hAnsi="Arial"/>
                <w:sz w:val="16"/>
                <w:szCs w:val="16"/>
                <w:color w:val="auto"/>
              </w:rPr>
              <w:t>$</w:t>
            </w:r>
          </w:p>
        </w:tc>
        <w:tc>
          <w:tcPr>
            <w:tcW w:w="198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(6,255,721)</w:t>
            </w:r>
          </w:p>
        </w:tc>
        <w:tc>
          <w:tcPr>
            <w:tcW w:w="0" w:type="dxa"/>
            <w:vAlign w:val="bottom"/>
          </w:tcPr>
          <w:p>
            <w:pPr>
              <w:spacing w:after="0"/>
              <w:rPr>
                <w:sz w:val="1"/>
                <w:szCs w:val="1"/>
                <w:color w:val="auto"/>
              </w:rPr>
            </w:pPr>
          </w:p>
        </w:tc>
      </w:tr>
      <w:tr>
        <w:trPr>
          <w:trHeight w:val="20"/>
        </w:trPr>
        <w:tc>
          <w:tcPr>
            <w:tcW w:w="630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ind w:right="120"/>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Pr>
          <w:p>
            <w:pPr>
              <w:spacing w:after="0"/>
              <w:rPr>
                <w:sz w:val="18"/>
                <w:szCs w:val="18"/>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9"/>
        </w:trPr>
        <w:tc>
          <w:tcPr>
            <w:tcW w:w="6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9"/>
              </w:rPr>
              <w:t>September 30, 2021</w:t>
            </w:r>
          </w:p>
        </w:tc>
        <w:tc>
          <w:tcPr>
            <w:tcW w:w="12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2"/>
              </w:rPr>
              <w:t>September 30, 2020</w:t>
            </w:r>
          </w:p>
        </w:tc>
        <w:tc>
          <w:tcPr>
            <w:tcW w:w="0" w:type="dxa"/>
            <w:vAlign w:val="bottom"/>
          </w:tcPr>
          <w:p>
            <w:pPr>
              <w:spacing w:after="0"/>
              <w:rPr>
                <w:sz w:val="1"/>
                <w:szCs w:val="1"/>
                <w:color w:val="auto"/>
              </w:rPr>
            </w:pPr>
          </w:p>
        </w:tc>
      </w:tr>
      <w:tr>
        <w:trPr>
          <w:trHeight w:val="213"/>
        </w:trPr>
        <w:tc>
          <w:tcPr>
            <w:tcW w:w="698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6"/>
                <w:szCs w:val="16"/>
                <w:b w:val="1"/>
                <w:bCs w:val="1"/>
                <w:color w:val="auto"/>
              </w:rPr>
              <w:t>Net change in members’ equity resulting from operations:</w:t>
            </w:r>
          </w:p>
        </w:tc>
        <w:tc>
          <w:tcPr>
            <w:tcW w:w="300" w:type="dxa"/>
            <w:vAlign w:val="bottom"/>
            <w:tcBorders>
              <w:top w:val="single" w:sz="8" w:color="auto"/>
            </w:tcBorders>
            <w:shd w:val="clear" w:color="auto" w:fill="CCECFF"/>
          </w:tcPr>
          <w:p>
            <w:pPr>
              <w:spacing w:after="0"/>
              <w:rPr>
                <w:sz w:val="18"/>
                <w:szCs w:val="18"/>
                <w:color w:val="auto"/>
              </w:rPr>
            </w:pPr>
          </w:p>
        </w:tc>
        <w:tc>
          <w:tcPr>
            <w:tcW w:w="200" w:type="dxa"/>
            <w:vAlign w:val="bottom"/>
            <w:tcBorders>
              <w:top w:val="single" w:sz="8" w:color="auto"/>
            </w:tcBorders>
            <w:shd w:val="clear" w:color="auto" w:fill="CCECFF"/>
          </w:tcPr>
          <w:p>
            <w:pPr>
              <w:spacing w:after="0"/>
              <w:rPr>
                <w:sz w:val="18"/>
                <w:szCs w:val="18"/>
                <w:color w:val="auto"/>
              </w:rPr>
            </w:pPr>
          </w:p>
        </w:tc>
        <w:tc>
          <w:tcPr>
            <w:tcW w:w="1860" w:type="dxa"/>
            <w:vAlign w:val="bottom"/>
            <w:tcBorders>
              <w:top w:val="single" w:sz="8" w:color="auto"/>
            </w:tcBorders>
            <w:shd w:val="clear" w:color="auto" w:fill="CCECFF"/>
          </w:tcPr>
          <w:p>
            <w:pPr>
              <w:spacing w:after="0"/>
              <w:rPr>
                <w:sz w:val="18"/>
                <w:szCs w:val="18"/>
                <w:color w:val="auto"/>
              </w:rPr>
            </w:pPr>
          </w:p>
        </w:tc>
        <w:tc>
          <w:tcPr>
            <w:tcW w:w="100" w:type="dxa"/>
            <w:vAlign w:val="bottom"/>
            <w:tcBorders>
              <w:top w:val="single" w:sz="8" w:color="CCECFF"/>
            </w:tcBorders>
            <w:shd w:val="clear" w:color="auto" w:fill="CCECFF"/>
          </w:tcPr>
          <w:p>
            <w:pPr>
              <w:spacing w:after="0"/>
              <w:rPr>
                <w:sz w:val="18"/>
                <w:szCs w:val="18"/>
                <w:color w:val="auto"/>
              </w:rPr>
            </w:pPr>
          </w:p>
        </w:tc>
        <w:tc>
          <w:tcPr>
            <w:tcW w:w="120" w:type="dxa"/>
            <w:vAlign w:val="bottom"/>
            <w:tcBorders>
              <w:top w:val="single" w:sz="8" w:color="auto"/>
            </w:tcBorders>
            <w:shd w:val="clear" w:color="auto" w:fill="CCECFF"/>
          </w:tcPr>
          <w:p>
            <w:pPr>
              <w:spacing w:after="0"/>
              <w:rPr>
                <w:sz w:val="18"/>
                <w:szCs w:val="18"/>
                <w:color w:val="auto"/>
              </w:rPr>
            </w:pPr>
          </w:p>
        </w:tc>
        <w:tc>
          <w:tcPr>
            <w:tcW w:w="1580" w:type="dxa"/>
            <w:vAlign w:val="bottom"/>
            <w:tcBorders>
              <w:top w:val="single" w:sz="8" w:color="auto"/>
            </w:tcBorders>
            <w:shd w:val="clear" w:color="auto" w:fill="CCECFF"/>
          </w:tcPr>
          <w:p>
            <w:pPr>
              <w:spacing w:after="0"/>
              <w:rPr>
                <w:sz w:val="18"/>
                <w:szCs w:val="18"/>
                <w:color w:val="auto"/>
              </w:rPr>
            </w:pPr>
          </w:p>
        </w:tc>
        <w:tc>
          <w:tcPr>
            <w:tcW w:w="100" w:type="dxa"/>
            <w:vAlign w:val="bottom"/>
            <w:tcBorders>
              <w:top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80" w:type="dxa"/>
            <w:vAlign w:val="bottom"/>
            <w:gridSpan w:val="2"/>
          </w:tcPr>
          <w:p>
            <w:pPr>
              <w:spacing w:after="0"/>
              <w:rPr>
                <w:sz w:val="20"/>
                <w:szCs w:val="20"/>
                <w:color w:val="auto"/>
              </w:rPr>
            </w:pPr>
            <w:r>
              <w:rPr>
                <w:rFonts w:ascii="Arial" w:cs="Arial" w:eastAsia="Arial" w:hAnsi="Arial"/>
                <w:sz w:val="16"/>
                <w:szCs w:val="16"/>
                <w:color w:val="auto"/>
              </w:rPr>
              <w:t>Net investment income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9,956,167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6,316,281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80" w:type="dxa"/>
            <w:vAlign w:val="bottom"/>
            <w:gridSpan w:val="2"/>
            <w:shd w:val="clear" w:color="auto" w:fill="CCECFF"/>
          </w:tcPr>
          <w:p>
            <w:pPr>
              <w:spacing w:after="0"/>
              <w:rPr>
                <w:sz w:val="20"/>
                <w:szCs w:val="20"/>
                <w:color w:val="auto"/>
              </w:rPr>
            </w:pPr>
            <w:r>
              <w:rPr>
                <w:rFonts w:ascii="Arial" w:cs="Arial" w:eastAsia="Arial" w:hAnsi="Arial"/>
                <w:sz w:val="16"/>
                <w:szCs w:val="16"/>
                <w:color w:val="auto"/>
              </w:rPr>
              <w:t>Net realized loss on investments</w:t>
            </w:r>
          </w:p>
        </w:tc>
        <w:tc>
          <w:tcPr>
            <w:tcW w:w="200" w:type="dxa"/>
            <w:vAlign w:val="bottom"/>
            <w:shd w:val="clear" w:color="auto" w:fill="CCECFF"/>
          </w:tcPr>
          <w:p>
            <w:pPr>
              <w:spacing w:after="0"/>
              <w:rPr>
                <w:sz w:val="19"/>
                <w:szCs w:val="19"/>
                <w:color w:val="auto"/>
              </w:rPr>
            </w:pPr>
          </w:p>
        </w:tc>
        <w:tc>
          <w:tcPr>
            <w:tcW w:w="1960" w:type="dxa"/>
            <w:vAlign w:val="bottom"/>
            <w:gridSpan w:val="2"/>
            <w:shd w:val="clear" w:color="auto" w:fill="CCECFF"/>
          </w:tcPr>
          <w:p>
            <w:pPr>
              <w:jc w:val="right"/>
              <w:ind w:right="40"/>
              <w:spacing w:after="0"/>
              <w:rPr>
                <w:sz w:val="20"/>
                <w:szCs w:val="20"/>
                <w:color w:val="auto"/>
              </w:rPr>
            </w:pPr>
            <w:r>
              <w:rPr>
                <w:rFonts w:ascii="Arial" w:cs="Arial" w:eastAsia="Arial" w:hAnsi="Arial"/>
                <w:sz w:val="16"/>
                <w:szCs w:val="16"/>
                <w:color w:val="auto"/>
              </w:rPr>
              <w:t>(4,732,408)</w:t>
            </w:r>
          </w:p>
        </w:tc>
        <w:tc>
          <w:tcPr>
            <w:tcW w:w="120" w:type="dxa"/>
            <w:vAlign w:val="bottom"/>
            <w:shd w:val="clear" w:color="auto" w:fill="CCECFF"/>
          </w:tcPr>
          <w:p>
            <w:pPr>
              <w:spacing w:after="0"/>
              <w:rPr>
                <w:sz w:val="19"/>
                <w:szCs w:val="19"/>
                <w:color w:val="auto"/>
              </w:rPr>
            </w:pPr>
          </w:p>
        </w:tc>
        <w:tc>
          <w:tcPr>
            <w:tcW w:w="168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(992,974)</w:t>
            </w:r>
          </w:p>
        </w:tc>
        <w:tc>
          <w:tcPr>
            <w:tcW w:w="0" w:type="dxa"/>
            <w:vAlign w:val="bottom"/>
          </w:tcPr>
          <w:p>
            <w:pPr>
              <w:spacing w:after="0"/>
              <w:rPr>
                <w:sz w:val="1"/>
                <w:szCs w:val="1"/>
                <w:color w:val="auto"/>
              </w:rPr>
            </w:pPr>
          </w:p>
        </w:tc>
      </w:tr>
      <w:tr>
        <w:trPr>
          <w:trHeight w:val="213"/>
        </w:trPr>
        <w:tc>
          <w:tcPr>
            <w:tcW w:w="7280" w:type="dxa"/>
            <w:vAlign w:val="bottom"/>
            <w:gridSpan w:val="2"/>
          </w:tcPr>
          <w:p>
            <w:pPr>
              <w:spacing w:after="0"/>
              <w:rPr>
                <w:sz w:val="20"/>
                <w:szCs w:val="20"/>
                <w:color w:val="auto"/>
              </w:rPr>
            </w:pPr>
            <w:r>
              <w:rPr>
                <w:rFonts w:ascii="Arial" w:cs="Arial" w:eastAsia="Arial" w:hAnsi="Arial"/>
                <w:sz w:val="16"/>
                <w:szCs w:val="16"/>
                <w:color w:val="auto"/>
              </w:rPr>
              <w:t>Net change in unrealized appreciation (depreciation) on investments</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3,377,322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(9,368,121)</w:t>
            </w:r>
          </w:p>
        </w:tc>
        <w:tc>
          <w:tcPr>
            <w:tcW w:w="0" w:type="dxa"/>
            <w:vAlign w:val="bottom"/>
          </w:tcPr>
          <w:p>
            <w:pPr>
              <w:spacing w:after="0"/>
              <w:rPr>
                <w:sz w:val="1"/>
                <w:szCs w:val="1"/>
                <w:color w:val="auto"/>
              </w:rPr>
            </w:pPr>
          </w:p>
        </w:tc>
      </w:tr>
      <w:tr>
        <w:trPr>
          <w:trHeight w:val="209"/>
        </w:trPr>
        <w:tc>
          <w:tcPr>
            <w:tcW w:w="7280" w:type="dxa"/>
            <w:vAlign w:val="bottom"/>
            <w:gridSpan w:val="2"/>
            <w:shd w:val="clear" w:color="auto" w:fill="CCECFF"/>
          </w:tcPr>
          <w:p>
            <w:pPr>
              <w:spacing w:after="0"/>
              <w:rPr>
                <w:sz w:val="20"/>
                <w:szCs w:val="20"/>
                <w:color w:val="auto"/>
              </w:rPr>
            </w:pPr>
            <w:r>
              <w:rPr>
                <w:rFonts w:ascii="Arial" w:cs="Arial" w:eastAsia="Arial" w:hAnsi="Arial"/>
                <w:sz w:val="16"/>
                <w:szCs w:val="16"/>
                <w:color w:val="auto"/>
              </w:rPr>
              <w:t>Net change in unrealized (depreciation) appreciation on credit facility foreign</w:t>
            </w:r>
          </w:p>
        </w:tc>
        <w:tc>
          <w:tcPr>
            <w:tcW w:w="200" w:type="dxa"/>
            <w:vAlign w:val="bottom"/>
            <w:shd w:val="clear" w:color="auto" w:fill="CCECFF"/>
          </w:tcPr>
          <w:p>
            <w:pPr>
              <w:spacing w:after="0"/>
              <w:rPr>
                <w:sz w:val="18"/>
                <w:szCs w:val="18"/>
                <w:color w:val="auto"/>
              </w:rPr>
            </w:pPr>
          </w:p>
        </w:tc>
        <w:tc>
          <w:tcPr>
            <w:tcW w:w="196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6"/>
                <w:szCs w:val="16"/>
                <w:color w:val="auto"/>
              </w:rPr>
              <w:t>(489,034)</w:t>
            </w:r>
          </w:p>
        </w:tc>
        <w:tc>
          <w:tcPr>
            <w:tcW w:w="120" w:type="dxa"/>
            <w:vAlign w:val="bottom"/>
            <w:shd w:val="clear" w:color="auto" w:fill="CCECFF"/>
          </w:tcPr>
          <w:p>
            <w:pPr>
              <w:spacing w:after="0"/>
              <w:rPr>
                <w:sz w:val="18"/>
                <w:szCs w:val="18"/>
                <w:color w:val="auto"/>
              </w:rPr>
            </w:pPr>
          </w:p>
        </w:tc>
        <w:tc>
          <w:tcPr>
            <w:tcW w:w="1680" w:type="dxa"/>
            <w:vAlign w:val="bottom"/>
            <w:gridSpan w:val="2"/>
            <w:vMerge w:val="restart"/>
            <w:shd w:val="clear" w:color="auto" w:fill="CCECFF"/>
          </w:tcPr>
          <w:p>
            <w:pPr>
              <w:jc w:val="right"/>
              <w:ind w:right="60"/>
              <w:spacing w:after="0"/>
              <w:rPr>
                <w:sz w:val="20"/>
                <w:szCs w:val="20"/>
                <w:color w:val="auto"/>
              </w:rPr>
            </w:pPr>
            <w:r>
              <w:rPr>
                <w:rFonts w:ascii="Arial" w:cs="Arial" w:eastAsia="Arial" w:hAnsi="Arial"/>
                <w:sz w:val="16"/>
                <w:szCs w:val="16"/>
                <w:color w:val="auto"/>
              </w:rPr>
              <w:t>(2,210,907)</w:t>
            </w:r>
          </w:p>
        </w:tc>
        <w:tc>
          <w:tcPr>
            <w:tcW w:w="0" w:type="dxa"/>
            <w:vAlign w:val="bottom"/>
          </w:tcPr>
          <w:p>
            <w:pPr>
              <w:spacing w:after="0"/>
              <w:rPr>
                <w:sz w:val="1"/>
                <w:szCs w:val="1"/>
                <w:color w:val="auto"/>
              </w:rPr>
            </w:pPr>
          </w:p>
        </w:tc>
      </w:tr>
      <w:tr>
        <w:trPr>
          <w:trHeight w:val="98"/>
        </w:trPr>
        <w:tc>
          <w:tcPr>
            <w:tcW w:w="7280" w:type="dxa"/>
            <w:vAlign w:val="bottom"/>
            <w:gridSpan w:val="2"/>
            <w:vMerge w:val="restart"/>
            <w:shd w:val="clear" w:color="auto" w:fill="CCECFF"/>
          </w:tcPr>
          <w:p>
            <w:pPr>
              <w:ind w:left="300"/>
              <w:spacing w:after="0"/>
              <w:rPr>
                <w:sz w:val="20"/>
                <w:szCs w:val="20"/>
                <w:color w:val="auto"/>
              </w:rPr>
            </w:pPr>
            <w:r>
              <w:rPr>
                <w:rFonts w:ascii="Arial" w:cs="Arial" w:eastAsia="Arial" w:hAnsi="Arial"/>
                <w:sz w:val="16"/>
                <w:szCs w:val="16"/>
                <w:color w:val="auto"/>
              </w:rPr>
              <w:t>currency translation</w:t>
            </w:r>
          </w:p>
        </w:tc>
        <w:tc>
          <w:tcPr>
            <w:tcW w:w="200" w:type="dxa"/>
            <w:vAlign w:val="bottom"/>
            <w:shd w:val="clear" w:color="auto" w:fill="CCECFF"/>
          </w:tcPr>
          <w:p>
            <w:pPr>
              <w:spacing w:after="0"/>
              <w:rPr>
                <w:sz w:val="8"/>
                <w:szCs w:val="8"/>
                <w:color w:val="auto"/>
              </w:rPr>
            </w:pPr>
          </w:p>
        </w:tc>
        <w:tc>
          <w:tcPr>
            <w:tcW w:w="1960" w:type="dxa"/>
            <w:vAlign w:val="bottom"/>
            <w:gridSpan w:val="2"/>
            <w:vMerge w:val="continue"/>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680" w:type="dxa"/>
            <w:vAlign w:val="bottom"/>
            <w:gridSpan w:val="2"/>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7280" w:type="dxa"/>
            <w:vAlign w:val="bottom"/>
            <w:gridSpan w:val="2"/>
            <w:vMerge w:val="continue"/>
            <w:shd w:val="clear" w:color="auto" w:fill="CCECFF"/>
          </w:tcPr>
          <w:p>
            <w:pPr>
              <w:spacing w:after="0"/>
              <w:rPr>
                <w:sz w:val="9"/>
                <w:szCs w:val="9"/>
                <w:color w:val="auto"/>
              </w:rPr>
            </w:pPr>
          </w:p>
        </w:tc>
        <w:tc>
          <w:tcPr>
            <w:tcW w:w="200" w:type="dxa"/>
            <w:vAlign w:val="bottom"/>
            <w:tcBorders>
              <w:bottom w:val="single" w:sz="8" w:color="auto"/>
            </w:tcBorders>
            <w:shd w:val="clear" w:color="auto" w:fill="CCECFF"/>
          </w:tcPr>
          <w:p>
            <w:pPr>
              <w:spacing w:after="0"/>
              <w:rPr>
                <w:sz w:val="9"/>
                <w:szCs w:val="9"/>
                <w:color w:val="auto"/>
              </w:rPr>
            </w:pPr>
          </w:p>
        </w:tc>
        <w:tc>
          <w:tcPr>
            <w:tcW w:w="1860" w:type="dxa"/>
            <w:vAlign w:val="bottom"/>
            <w:tcBorders>
              <w:bottom w:val="single" w:sz="8" w:color="auto"/>
            </w:tcBorders>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20" w:type="dxa"/>
            <w:vAlign w:val="bottom"/>
            <w:tcBorders>
              <w:bottom w:val="single" w:sz="8" w:color="auto"/>
            </w:tcBorders>
            <w:shd w:val="clear" w:color="auto" w:fill="CCECFF"/>
          </w:tcPr>
          <w:p>
            <w:pPr>
              <w:spacing w:after="0"/>
              <w:rPr>
                <w:sz w:val="9"/>
                <w:szCs w:val="9"/>
                <w:color w:val="auto"/>
              </w:rPr>
            </w:pPr>
          </w:p>
        </w:tc>
        <w:tc>
          <w:tcPr>
            <w:tcW w:w="1580" w:type="dxa"/>
            <w:vAlign w:val="bottom"/>
            <w:tcBorders>
              <w:bottom w:val="single" w:sz="8" w:color="auto"/>
            </w:tcBorders>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Net (decrease) increase in members’ equity resulting from operations</w:t>
            </w:r>
          </w:p>
        </w:tc>
        <w:tc>
          <w:tcPr>
            <w:tcW w:w="2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8,112,047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(6,255,721)</w:t>
            </w:r>
          </w:p>
        </w:tc>
        <w:tc>
          <w:tcPr>
            <w:tcW w:w="0" w:type="dxa"/>
            <w:vAlign w:val="bottom"/>
          </w:tcPr>
          <w:p>
            <w:pPr>
              <w:spacing w:after="0"/>
              <w:rPr>
                <w:sz w:val="1"/>
                <w:szCs w:val="1"/>
                <w:color w:val="auto"/>
              </w:rPr>
            </w:pPr>
          </w:p>
        </w:tc>
      </w:tr>
      <w:tr>
        <w:trPr>
          <w:trHeight w:val="219"/>
        </w:trPr>
        <w:tc>
          <w:tcPr>
            <w:tcW w:w="7280" w:type="dxa"/>
            <w:vAlign w:val="bottom"/>
            <w:gridSpan w:val="2"/>
            <w:shd w:val="clear" w:color="auto" w:fill="CCECFF"/>
          </w:tcPr>
          <w:p>
            <w:pPr>
              <w:spacing w:after="0"/>
              <w:rPr>
                <w:sz w:val="20"/>
                <w:szCs w:val="20"/>
                <w:color w:val="auto"/>
              </w:rPr>
            </w:pPr>
            <w:r>
              <w:rPr>
                <w:rFonts w:ascii="Arial" w:cs="Arial" w:eastAsia="Arial" w:hAnsi="Arial"/>
                <w:sz w:val="16"/>
                <w:szCs w:val="16"/>
                <w:b w:val="1"/>
                <w:bCs w:val="1"/>
                <w:color w:val="auto"/>
              </w:rPr>
              <w:t>Capital contributions</w:t>
            </w:r>
          </w:p>
        </w:tc>
        <w:tc>
          <w:tcPr>
            <w:tcW w:w="200" w:type="dxa"/>
            <w:vAlign w:val="bottom"/>
            <w:shd w:val="clear" w:color="auto" w:fill="CCECFF"/>
          </w:tcPr>
          <w:p>
            <w:pPr>
              <w:spacing w:after="0"/>
              <w:rPr>
                <w:sz w:val="19"/>
                <w:szCs w:val="19"/>
                <w:color w:val="auto"/>
              </w:rPr>
            </w:pPr>
          </w:p>
        </w:tc>
        <w:tc>
          <w:tcPr>
            <w:tcW w:w="18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7,590,000</w:t>
            </w:r>
          </w:p>
        </w:tc>
        <w:tc>
          <w:tcPr>
            <w:tcW w:w="1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1,560,000</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Distributions</w:t>
            </w:r>
          </w:p>
        </w:tc>
        <w:tc>
          <w:tcPr>
            <w:tcW w:w="20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6"/>
                <w:szCs w:val="16"/>
                <w:color w:val="auto"/>
              </w:rPr>
              <w:t>(10,050,000)</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(6,800,000)</w:t>
            </w:r>
          </w:p>
        </w:tc>
        <w:tc>
          <w:tcPr>
            <w:tcW w:w="0" w:type="dxa"/>
            <w:vAlign w:val="bottom"/>
          </w:tcPr>
          <w:p>
            <w:pPr>
              <w:spacing w:after="0"/>
              <w:rPr>
                <w:sz w:val="1"/>
                <w:szCs w:val="1"/>
                <w:color w:val="auto"/>
              </w:rPr>
            </w:pPr>
          </w:p>
        </w:tc>
      </w:tr>
      <w:tr>
        <w:trPr>
          <w:trHeight w:val="20"/>
        </w:trPr>
        <w:tc>
          <w:tcPr>
            <w:tcW w:w="7280" w:type="dxa"/>
            <w:vAlign w:val="bottom"/>
            <w:gridSpan w:val="2"/>
            <w:vMerge w:val="restart"/>
            <w:shd w:val="clear" w:color="auto" w:fill="CCECFF"/>
          </w:tcPr>
          <w:p>
            <w:pPr>
              <w:spacing w:after="0"/>
              <w:rPr>
                <w:sz w:val="20"/>
                <w:szCs w:val="20"/>
                <w:color w:val="auto"/>
              </w:rPr>
            </w:pPr>
            <w:r>
              <w:rPr>
                <w:rFonts w:ascii="Arial" w:cs="Arial" w:eastAsia="Arial" w:hAnsi="Arial"/>
                <w:sz w:val="16"/>
                <w:szCs w:val="16"/>
                <w:b w:val="1"/>
                <w:bCs w:val="1"/>
                <w:color w:val="auto"/>
              </w:rPr>
              <w:t>Net (decrease) increase in members’ equity</w:t>
            </w:r>
          </w:p>
        </w:tc>
        <w:tc>
          <w:tcPr>
            <w:tcW w:w="2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280" w:type="dxa"/>
            <w:vAlign w:val="bottom"/>
            <w:gridSpan w:val="2"/>
            <w:vMerge w:val="continue"/>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8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5,652,047</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68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(11,495,721)</w:t>
            </w:r>
          </w:p>
        </w:tc>
        <w:tc>
          <w:tcPr>
            <w:tcW w:w="0" w:type="dxa"/>
            <w:vAlign w:val="bottom"/>
          </w:tcPr>
          <w:p>
            <w:pPr>
              <w:spacing w:after="0"/>
              <w:rPr>
                <w:sz w:val="1"/>
                <w:szCs w:val="1"/>
                <w:color w:val="auto"/>
              </w:rPr>
            </w:pPr>
          </w:p>
        </w:tc>
      </w:tr>
      <w:tr>
        <w:trPr>
          <w:trHeight w:val="213"/>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Members’ equity</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80" w:type="dxa"/>
            <w:vAlign w:val="bottom"/>
            <w:gridSpan w:val="2"/>
            <w:shd w:val="clear" w:color="auto" w:fill="CCECFF"/>
          </w:tcPr>
          <w:p>
            <w:pPr>
              <w:spacing w:after="0"/>
              <w:rPr>
                <w:sz w:val="20"/>
                <w:szCs w:val="20"/>
                <w:color w:val="auto"/>
              </w:rPr>
            </w:pPr>
            <w:r>
              <w:rPr>
                <w:rFonts w:ascii="Arial" w:cs="Arial" w:eastAsia="Arial" w:hAnsi="Arial"/>
                <w:sz w:val="16"/>
                <w:szCs w:val="16"/>
                <w:color w:val="auto"/>
              </w:rPr>
              <w:t>Beginning of year</w:t>
            </w:r>
          </w:p>
        </w:tc>
        <w:tc>
          <w:tcPr>
            <w:tcW w:w="200" w:type="dxa"/>
            <w:vAlign w:val="bottom"/>
            <w:tcBorders>
              <w:bottom w:val="single" w:sz="8" w:color="auto"/>
            </w:tcBorders>
            <w:shd w:val="clear" w:color="auto" w:fill="CCECFF"/>
          </w:tcPr>
          <w:p>
            <w:pPr>
              <w:spacing w:after="0"/>
              <w:rPr>
                <w:sz w:val="19"/>
                <w:szCs w:val="19"/>
                <w:color w:val="auto"/>
              </w:rPr>
            </w:pPr>
          </w:p>
        </w:tc>
        <w:tc>
          <w:tcPr>
            <w:tcW w:w="1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45,612,085</w:t>
            </w:r>
          </w:p>
        </w:tc>
        <w:tc>
          <w:tcPr>
            <w:tcW w:w="100" w:type="dxa"/>
            <w:vAlign w:val="bottom"/>
            <w:shd w:val="clear" w:color="auto" w:fill="CCECFF"/>
          </w:tcPr>
          <w:p>
            <w:pPr>
              <w:spacing w:after="0"/>
              <w:rPr>
                <w:sz w:val="19"/>
                <w:szCs w:val="19"/>
                <w:color w:val="auto"/>
              </w:rPr>
            </w:pPr>
          </w:p>
        </w:tc>
        <w:tc>
          <w:tcPr>
            <w:tcW w:w="120" w:type="dxa"/>
            <w:vAlign w:val="bottom"/>
            <w:tcBorders>
              <w:bottom w:val="single" w:sz="8" w:color="auto"/>
            </w:tcBorders>
            <w:shd w:val="clear" w:color="auto" w:fill="CCECFF"/>
          </w:tcPr>
          <w:p>
            <w:pPr>
              <w:spacing w:after="0"/>
              <w:rPr>
                <w:sz w:val="19"/>
                <w:szCs w:val="19"/>
                <w:color w:val="auto"/>
              </w:rPr>
            </w:pPr>
          </w:p>
        </w:tc>
        <w:tc>
          <w:tcPr>
            <w:tcW w:w="1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57,107,806</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280" w:type="dxa"/>
            <w:vAlign w:val="bottom"/>
            <w:gridSpan w:val="2"/>
          </w:tcPr>
          <w:p>
            <w:pPr>
              <w:spacing w:after="0"/>
              <w:rPr>
                <w:sz w:val="20"/>
                <w:szCs w:val="20"/>
                <w:color w:val="auto"/>
              </w:rPr>
            </w:pPr>
            <w:r>
              <w:rPr>
                <w:rFonts w:ascii="Arial" w:cs="Arial" w:eastAsia="Arial" w:hAnsi="Arial"/>
                <w:sz w:val="16"/>
                <w:szCs w:val="16"/>
                <w:color w:val="auto"/>
              </w:rPr>
              <w:t>End of year</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51,264,131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45,612,085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p>
      <w:pPr>
        <w:jc w:val="center"/>
        <w:ind w:right="120"/>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Year Ended</w:t>
            </w:r>
          </w:p>
        </w:tc>
        <w:tc>
          <w:tcPr>
            <w:tcW w:w="14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03"/>
        </w:trPr>
        <w:tc>
          <w:tcPr>
            <w:tcW w:w="7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CFF"/>
            </w:tcBorders>
          </w:tcPr>
          <w:p>
            <w:pPr>
              <w:spacing w:after="0"/>
              <w:rPr>
                <w:sz w:val="18"/>
                <w:szCs w:val="18"/>
                <w:color w:val="auto"/>
              </w:rPr>
            </w:pPr>
          </w:p>
        </w:tc>
        <w:tc>
          <w:tcPr>
            <w:tcW w:w="200" w:type="dxa"/>
            <w:vAlign w:val="bottom"/>
            <w:tcBorders>
              <w:bottom w:val="single" w:sz="8" w:color="CCEC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Borders>
              <w:bottom w:val="single" w:sz="8" w:color="CCEC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80" w:type="dxa"/>
            <w:vAlign w:val="bottom"/>
            <w:shd w:val="clear" w:color="auto" w:fill="CCEC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Net increase (decrease) in members’ equity resulting from operations</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8,112,047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(6,255,721)</w:t>
            </w:r>
          </w:p>
        </w:tc>
        <w:tc>
          <w:tcPr>
            <w:tcW w:w="0" w:type="dxa"/>
            <w:vAlign w:val="bottom"/>
          </w:tcPr>
          <w:p>
            <w:pPr>
              <w:spacing w:after="0"/>
              <w:rPr>
                <w:sz w:val="1"/>
                <w:szCs w:val="1"/>
                <w:color w:val="auto"/>
              </w:rPr>
            </w:pPr>
          </w:p>
        </w:tc>
      </w:tr>
      <w:tr>
        <w:trPr>
          <w:trHeight w:val="209"/>
        </w:trPr>
        <w:tc>
          <w:tcPr>
            <w:tcW w:w="7980" w:type="dxa"/>
            <w:vAlign w:val="bottom"/>
            <w:shd w:val="clear" w:color="auto" w:fill="CCECFF"/>
          </w:tcPr>
          <w:p>
            <w:pPr>
              <w:ind w:left="140"/>
              <w:spacing w:after="0"/>
              <w:rPr>
                <w:sz w:val="20"/>
                <w:szCs w:val="20"/>
                <w:color w:val="auto"/>
              </w:rPr>
            </w:pPr>
            <w:r>
              <w:rPr>
                <w:rFonts w:ascii="Arial" w:cs="Arial" w:eastAsia="Arial" w:hAnsi="Arial"/>
                <w:sz w:val="16"/>
                <w:szCs w:val="16"/>
                <w:color w:val="auto"/>
                <w:w w:val="93"/>
              </w:rPr>
              <w:t>Adjustments to reconcile net (decrease) increase in members’ equity resulting from operations to net cash provided by</w:t>
            </w:r>
          </w:p>
        </w:tc>
        <w:tc>
          <w:tcPr>
            <w:tcW w:w="2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980" w:type="dxa"/>
            <w:vAlign w:val="bottom"/>
            <w:shd w:val="clear" w:color="auto" w:fill="CCECFF"/>
          </w:tcPr>
          <w:p>
            <w:pPr>
              <w:ind w:left="140"/>
              <w:spacing w:after="0"/>
              <w:rPr>
                <w:sz w:val="20"/>
                <w:szCs w:val="20"/>
                <w:color w:val="auto"/>
              </w:rPr>
            </w:pPr>
            <w:r>
              <w:rPr>
                <w:rFonts w:ascii="Arial" w:cs="Arial" w:eastAsia="Arial" w:hAnsi="Arial"/>
                <w:sz w:val="16"/>
                <w:szCs w:val="16"/>
                <w:color w:val="auto"/>
              </w:rPr>
              <w:t>(used in) operating activities:</w:t>
            </w:r>
          </w:p>
        </w:tc>
        <w:tc>
          <w:tcPr>
            <w:tcW w:w="2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380"/>
              <w:spacing w:after="0"/>
              <w:rPr>
                <w:sz w:val="20"/>
                <w:szCs w:val="20"/>
                <w:color w:val="auto"/>
              </w:rPr>
            </w:pPr>
            <w:r>
              <w:rPr>
                <w:rFonts w:ascii="Arial" w:cs="Arial" w:eastAsia="Arial" w:hAnsi="Arial"/>
                <w:sz w:val="16"/>
                <w:szCs w:val="16"/>
                <w:color w:val="auto"/>
              </w:rPr>
              <w:t>Net change in unrealized (appreciation) depreciation on investments and cash equivalents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(3,377,322)</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9,368,121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CECFF"/>
          </w:tcPr>
          <w:p>
            <w:pPr>
              <w:ind w:left="380"/>
              <w:spacing w:after="0"/>
              <w:rPr>
                <w:sz w:val="20"/>
                <w:szCs w:val="20"/>
                <w:color w:val="auto"/>
              </w:rPr>
            </w:pPr>
            <w:r>
              <w:rPr>
                <w:rFonts w:ascii="Arial" w:cs="Arial" w:eastAsia="Arial" w:hAnsi="Arial"/>
                <w:sz w:val="16"/>
                <w:szCs w:val="16"/>
                <w:color w:val="auto"/>
              </w:rPr>
              <w:t>Net change in unrealized (appreciation) depreciation on credit facility foreign</w:t>
            </w:r>
          </w:p>
        </w:tc>
        <w:tc>
          <w:tcPr>
            <w:tcW w:w="2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2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980" w:type="dxa"/>
            <w:vAlign w:val="bottom"/>
            <w:shd w:val="clear" w:color="auto" w:fill="CCECFF"/>
          </w:tcPr>
          <w:p>
            <w:pPr>
              <w:ind w:left="540"/>
              <w:spacing w:after="0"/>
              <w:rPr>
                <w:sz w:val="20"/>
                <w:szCs w:val="20"/>
                <w:color w:val="auto"/>
              </w:rPr>
            </w:pPr>
            <w:r>
              <w:rPr>
                <w:rFonts w:ascii="Arial" w:cs="Arial" w:eastAsia="Arial" w:hAnsi="Arial"/>
                <w:sz w:val="16"/>
                <w:szCs w:val="16"/>
                <w:color w:val="auto"/>
              </w:rPr>
              <w:t>currency translations</w:t>
            </w:r>
          </w:p>
        </w:tc>
        <w:tc>
          <w:tcPr>
            <w:tcW w:w="2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489,034</w:t>
            </w:r>
          </w:p>
        </w:tc>
        <w:tc>
          <w:tcPr>
            <w:tcW w:w="2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2,210,907</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380"/>
              <w:spacing w:after="0"/>
              <w:rPr>
                <w:sz w:val="20"/>
                <w:szCs w:val="20"/>
                <w:color w:val="auto"/>
              </w:rPr>
            </w:pPr>
            <w:r>
              <w:rPr>
                <w:rFonts w:ascii="Arial" w:cs="Arial" w:eastAsia="Arial" w:hAnsi="Arial"/>
                <w:sz w:val="16"/>
                <w:szCs w:val="16"/>
                <w:color w:val="auto"/>
              </w:rPr>
              <w:t>Net realized loss on investments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4,732,408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992,974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CFF"/>
          </w:tcPr>
          <w:p>
            <w:pPr>
              <w:ind w:left="380"/>
              <w:spacing w:after="0"/>
              <w:rPr>
                <w:sz w:val="20"/>
                <w:szCs w:val="20"/>
                <w:color w:val="auto"/>
              </w:rPr>
            </w:pPr>
            <w:r>
              <w:rPr>
                <w:rFonts w:ascii="Arial" w:cs="Arial" w:eastAsia="Arial" w:hAnsi="Arial"/>
                <w:sz w:val="16"/>
                <w:szCs w:val="16"/>
                <w:color w:val="auto"/>
              </w:rPr>
              <w:t>Net accretion of discount and amortization of premium</w:t>
            </w:r>
          </w:p>
        </w:tc>
        <w:tc>
          <w:tcPr>
            <w:tcW w:w="2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200"/>
              <w:spacing w:after="0"/>
              <w:rPr>
                <w:sz w:val="20"/>
                <w:szCs w:val="20"/>
                <w:color w:val="auto"/>
              </w:rPr>
            </w:pPr>
            <w:r>
              <w:rPr>
                <w:rFonts w:ascii="Arial" w:cs="Arial" w:eastAsia="Arial" w:hAnsi="Arial"/>
                <w:sz w:val="16"/>
                <w:szCs w:val="16"/>
                <w:color w:val="auto"/>
              </w:rPr>
              <w:t>(1,934,340)</w:t>
            </w:r>
          </w:p>
        </w:tc>
        <w:tc>
          <w:tcPr>
            <w:tcW w:w="140" w:type="dxa"/>
            <w:vAlign w:val="bottom"/>
            <w:shd w:val="clear" w:color="auto" w:fill="CCECFF"/>
          </w:tcPr>
          <w:p>
            <w:pPr>
              <w:spacing w:after="0"/>
              <w:rPr>
                <w:sz w:val="19"/>
                <w:szCs w:val="19"/>
                <w:color w:val="auto"/>
              </w:rPr>
            </w:pPr>
          </w:p>
        </w:tc>
        <w:tc>
          <w:tcPr>
            <w:tcW w:w="134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(703,578)</w:t>
            </w:r>
          </w:p>
        </w:tc>
        <w:tc>
          <w:tcPr>
            <w:tcW w:w="0" w:type="dxa"/>
            <w:vAlign w:val="bottom"/>
          </w:tcPr>
          <w:p>
            <w:pPr>
              <w:spacing w:after="0"/>
              <w:rPr>
                <w:sz w:val="1"/>
                <w:szCs w:val="1"/>
                <w:color w:val="auto"/>
              </w:rPr>
            </w:pPr>
          </w:p>
        </w:tc>
      </w:tr>
      <w:tr>
        <w:trPr>
          <w:trHeight w:val="213"/>
        </w:trPr>
        <w:tc>
          <w:tcPr>
            <w:tcW w:w="7980" w:type="dxa"/>
            <w:vAlign w:val="bottom"/>
          </w:tcPr>
          <w:p>
            <w:pPr>
              <w:ind w:left="380"/>
              <w:spacing w:after="0"/>
              <w:rPr>
                <w:sz w:val="20"/>
                <w:szCs w:val="20"/>
                <w:color w:val="auto"/>
              </w:rPr>
            </w:pPr>
            <w:r>
              <w:rPr>
                <w:rFonts w:ascii="Arial" w:cs="Arial" w:eastAsia="Arial" w:hAnsi="Arial"/>
                <w:sz w:val="16"/>
                <w:szCs w:val="16"/>
                <w:color w:val="auto"/>
              </w:rPr>
              <w:t>Purchases of investments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(354,412,115)</w:t>
            </w: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(87,059,309)</w:t>
            </w:r>
          </w:p>
        </w:tc>
        <w:tc>
          <w:tcPr>
            <w:tcW w:w="0" w:type="dxa"/>
            <w:vAlign w:val="bottom"/>
          </w:tcPr>
          <w:p>
            <w:pPr>
              <w:spacing w:after="0"/>
              <w:rPr>
                <w:sz w:val="1"/>
                <w:szCs w:val="1"/>
                <w:color w:val="auto"/>
              </w:rPr>
            </w:pPr>
          </w:p>
        </w:tc>
      </w:tr>
      <w:tr>
        <w:trPr>
          <w:trHeight w:val="219"/>
        </w:trPr>
        <w:tc>
          <w:tcPr>
            <w:tcW w:w="7980" w:type="dxa"/>
            <w:vAlign w:val="bottom"/>
            <w:shd w:val="clear" w:color="auto" w:fill="CCECFF"/>
          </w:tcPr>
          <w:p>
            <w:pPr>
              <w:ind w:left="380"/>
              <w:spacing w:after="0"/>
              <w:rPr>
                <w:sz w:val="20"/>
                <w:szCs w:val="20"/>
                <w:color w:val="auto"/>
              </w:rPr>
            </w:pPr>
            <w:r>
              <w:rPr>
                <w:rFonts w:ascii="Arial" w:cs="Arial" w:eastAsia="Arial" w:hAnsi="Arial"/>
                <w:sz w:val="16"/>
                <w:szCs w:val="16"/>
                <w:color w:val="auto"/>
              </w:rPr>
              <w:t>Payment-in-kind interest</w:t>
            </w:r>
          </w:p>
        </w:tc>
        <w:tc>
          <w:tcPr>
            <w:tcW w:w="2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200"/>
              <w:spacing w:after="0"/>
              <w:rPr>
                <w:sz w:val="20"/>
                <w:szCs w:val="20"/>
                <w:color w:val="auto"/>
              </w:rPr>
            </w:pPr>
            <w:r>
              <w:rPr>
                <w:rFonts w:ascii="Arial" w:cs="Arial" w:eastAsia="Arial" w:hAnsi="Arial"/>
                <w:sz w:val="16"/>
                <w:szCs w:val="16"/>
                <w:color w:val="auto"/>
              </w:rPr>
              <w:t>(1,914,215)</w:t>
            </w:r>
          </w:p>
        </w:tc>
        <w:tc>
          <w:tcPr>
            <w:tcW w:w="140" w:type="dxa"/>
            <w:vAlign w:val="bottom"/>
            <w:shd w:val="clear" w:color="auto" w:fill="CCECFF"/>
          </w:tcPr>
          <w:p>
            <w:pPr>
              <w:spacing w:after="0"/>
              <w:rPr>
                <w:sz w:val="19"/>
                <w:szCs w:val="19"/>
                <w:color w:val="auto"/>
              </w:rPr>
            </w:pPr>
          </w:p>
        </w:tc>
        <w:tc>
          <w:tcPr>
            <w:tcW w:w="134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(761,512)</w:t>
            </w:r>
          </w:p>
        </w:tc>
        <w:tc>
          <w:tcPr>
            <w:tcW w:w="0" w:type="dxa"/>
            <w:vAlign w:val="bottom"/>
          </w:tcPr>
          <w:p>
            <w:pPr>
              <w:spacing w:after="0"/>
              <w:rPr>
                <w:sz w:val="1"/>
                <w:szCs w:val="1"/>
                <w:color w:val="auto"/>
              </w:rPr>
            </w:pPr>
          </w:p>
        </w:tc>
      </w:tr>
      <w:tr>
        <w:trPr>
          <w:trHeight w:val="213"/>
        </w:trPr>
        <w:tc>
          <w:tcPr>
            <w:tcW w:w="7980" w:type="dxa"/>
            <w:vAlign w:val="bottom"/>
          </w:tcPr>
          <w:p>
            <w:pPr>
              <w:ind w:left="380"/>
              <w:spacing w:after="0"/>
              <w:rPr>
                <w:sz w:val="20"/>
                <w:szCs w:val="20"/>
                <w:color w:val="auto"/>
              </w:rPr>
            </w:pPr>
            <w:r>
              <w:rPr>
                <w:rFonts w:ascii="Arial" w:cs="Arial" w:eastAsia="Arial" w:hAnsi="Arial"/>
                <w:sz w:val="16"/>
                <w:szCs w:val="16"/>
                <w:color w:val="auto"/>
              </w:rPr>
              <w:t>Proceeds from disposition of investments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185,725,006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172,587,943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CFF"/>
          </w:tcPr>
          <w:p>
            <w:pPr>
              <w:ind w:left="380"/>
              <w:spacing w:after="0"/>
              <w:rPr>
                <w:sz w:val="20"/>
                <w:szCs w:val="20"/>
                <w:color w:val="auto"/>
              </w:rPr>
            </w:pPr>
            <w:r>
              <w:rPr>
                <w:rFonts w:ascii="Arial" w:cs="Arial" w:eastAsia="Arial" w:hAnsi="Arial"/>
                <w:sz w:val="16"/>
                <w:szCs w:val="16"/>
                <w:color w:val="auto"/>
              </w:rPr>
              <w:t>Ammortization of deferred financing costs</w:t>
            </w:r>
          </w:p>
        </w:tc>
        <w:tc>
          <w:tcPr>
            <w:tcW w:w="2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200"/>
              <w:spacing w:after="0"/>
              <w:rPr>
                <w:sz w:val="20"/>
                <w:szCs w:val="20"/>
                <w:color w:val="auto"/>
              </w:rPr>
            </w:pPr>
            <w:r>
              <w:rPr>
                <w:rFonts w:ascii="Arial" w:cs="Arial" w:eastAsia="Arial" w:hAnsi="Arial"/>
                <w:sz w:val="16"/>
                <w:szCs w:val="16"/>
                <w:color w:val="auto"/>
              </w:rPr>
              <w:t>(3,243,099)</w:t>
            </w:r>
          </w:p>
        </w:tc>
        <w:tc>
          <w:tcPr>
            <w:tcW w:w="140" w:type="dxa"/>
            <w:vAlign w:val="bottom"/>
            <w:shd w:val="clear" w:color="auto" w:fill="CCECFF"/>
          </w:tcPr>
          <w:p>
            <w:pPr>
              <w:spacing w:after="0"/>
              <w:rPr>
                <w:sz w:val="19"/>
                <w:szCs w:val="19"/>
                <w:color w:val="auto"/>
              </w:rPr>
            </w:pPr>
          </w:p>
        </w:tc>
        <w:tc>
          <w:tcPr>
            <w:tcW w:w="1340" w:type="dxa"/>
            <w:vAlign w:val="bottom"/>
            <w:gridSpan w:val="2"/>
            <w:shd w:val="clear" w:color="auto" w:fill="CCEC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tcPr>
          <w:p>
            <w:pPr>
              <w:ind w:left="380"/>
              <w:spacing w:after="0"/>
              <w:rPr>
                <w:sz w:val="20"/>
                <w:szCs w:val="20"/>
                <w:color w:val="auto"/>
              </w:rPr>
            </w:pPr>
            <w:r>
              <w:rPr>
                <w:rFonts w:ascii="Arial" w:cs="Arial" w:eastAsia="Arial" w:hAnsi="Arial"/>
                <w:sz w:val="16"/>
                <w:szCs w:val="16"/>
                <w:color w:val="auto"/>
              </w:rPr>
              <w:t>Increase in receivable for investments sold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(7,323,360)</w:t>
            </w: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80" w:type="dxa"/>
            <w:vAlign w:val="bottom"/>
            <w:shd w:val="clear" w:color="auto" w:fill="CCECFF"/>
          </w:tcPr>
          <w:p>
            <w:pPr>
              <w:ind w:left="380"/>
              <w:spacing w:after="0"/>
              <w:rPr>
                <w:sz w:val="20"/>
                <w:szCs w:val="20"/>
                <w:color w:val="auto"/>
              </w:rPr>
            </w:pPr>
            <w:r>
              <w:rPr>
                <w:rFonts w:ascii="Arial" w:cs="Arial" w:eastAsia="Arial" w:hAnsi="Arial"/>
                <w:sz w:val="16"/>
                <w:szCs w:val="16"/>
                <w:color w:val="auto"/>
              </w:rPr>
              <w:t>Decrease (Increase) in interest receivable</w:t>
            </w:r>
          </w:p>
        </w:tc>
        <w:tc>
          <w:tcPr>
            <w:tcW w:w="2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822,066</w:t>
            </w:r>
          </w:p>
        </w:tc>
        <w:tc>
          <w:tcPr>
            <w:tcW w:w="2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34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(380,050)</w:t>
            </w:r>
          </w:p>
        </w:tc>
        <w:tc>
          <w:tcPr>
            <w:tcW w:w="0" w:type="dxa"/>
            <w:vAlign w:val="bottom"/>
          </w:tcPr>
          <w:p>
            <w:pPr>
              <w:spacing w:after="0"/>
              <w:rPr>
                <w:sz w:val="1"/>
                <w:szCs w:val="1"/>
                <w:color w:val="auto"/>
              </w:rPr>
            </w:pPr>
          </w:p>
        </w:tc>
      </w:tr>
      <w:tr>
        <w:trPr>
          <w:trHeight w:val="213"/>
        </w:trPr>
        <w:tc>
          <w:tcPr>
            <w:tcW w:w="7980" w:type="dxa"/>
            <w:vAlign w:val="bottom"/>
          </w:tcPr>
          <w:p>
            <w:pPr>
              <w:ind w:left="380"/>
              <w:spacing w:after="0"/>
              <w:rPr>
                <w:sz w:val="20"/>
                <w:szCs w:val="20"/>
                <w:color w:val="auto"/>
              </w:rPr>
            </w:pPr>
            <w:r>
              <w:rPr>
                <w:rFonts w:ascii="Arial" w:cs="Arial" w:eastAsia="Arial" w:hAnsi="Arial"/>
                <w:sz w:val="16"/>
                <w:szCs w:val="16"/>
                <w:color w:val="auto"/>
              </w:rPr>
              <w:t>(Increase) Decrease in prepaid expenses and other 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(1,602,821)</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933,521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CFF"/>
          </w:tcPr>
          <w:p>
            <w:pPr>
              <w:ind w:left="380"/>
              <w:spacing w:after="0"/>
              <w:rPr>
                <w:sz w:val="20"/>
                <w:szCs w:val="20"/>
                <w:color w:val="auto"/>
              </w:rPr>
            </w:pPr>
            <w:r>
              <w:rPr>
                <w:rFonts w:ascii="Arial" w:cs="Arial" w:eastAsia="Arial" w:hAnsi="Arial"/>
                <w:sz w:val="16"/>
                <w:szCs w:val="16"/>
                <w:color w:val="auto"/>
              </w:rPr>
              <w:t>Increase in payables for investments purchased</w:t>
            </w:r>
          </w:p>
        </w:tc>
        <w:tc>
          <w:tcPr>
            <w:tcW w:w="2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31,963,307</w:t>
            </w:r>
          </w:p>
        </w:tc>
        <w:tc>
          <w:tcPr>
            <w:tcW w:w="2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340" w:type="dxa"/>
            <w:vAlign w:val="bottom"/>
            <w:gridSpan w:val="2"/>
            <w:shd w:val="clear" w:color="auto" w:fill="CCEC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80" w:type="dxa"/>
            <w:vAlign w:val="bottom"/>
          </w:tcPr>
          <w:p>
            <w:pPr>
              <w:ind w:left="380"/>
              <w:spacing w:after="0"/>
              <w:rPr>
                <w:sz w:val="20"/>
                <w:szCs w:val="20"/>
                <w:color w:val="auto"/>
              </w:rPr>
            </w:pPr>
            <w:r>
              <w:rPr>
                <w:rFonts w:ascii="Arial" w:cs="Arial" w:eastAsia="Arial" w:hAnsi="Arial"/>
                <w:sz w:val="16"/>
                <w:szCs w:val="16"/>
                <w:color w:val="auto"/>
              </w:rPr>
              <w:t>Increase (Decrease) in interest payable on credit facility and asset-backed debt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1,249,949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(661,686)</w:t>
            </w:r>
          </w:p>
        </w:tc>
        <w:tc>
          <w:tcPr>
            <w:tcW w:w="0" w:type="dxa"/>
            <w:vAlign w:val="bottom"/>
          </w:tcPr>
          <w:p>
            <w:pPr>
              <w:spacing w:after="0"/>
              <w:rPr>
                <w:sz w:val="1"/>
                <w:szCs w:val="1"/>
                <w:color w:val="auto"/>
              </w:rPr>
            </w:pPr>
          </w:p>
        </w:tc>
      </w:tr>
      <w:tr>
        <w:trPr>
          <w:trHeight w:val="219"/>
        </w:trPr>
        <w:tc>
          <w:tcPr>
            <w:tcW w:w="7980" w:type="dxa"/>
            <w:vAlign w:val="bottom"/>
            <w:shd w:val="clear" w:color="auto" w:fill="CCECFF"/>
          </w:tcPr>
          <w:p>
            <w:pPr>
              <w:ind w:left="380"/>
              <w:spacing w:after="0"/>
              <w:rPr>
                <w:sz w:val="20"/>
                <w:szCs w:val="20"/>
                <w:color w:val="auto"/>
              </w:rPr>
            </w:pPr>
            <w:r>
              <w:rPr>
                <w:rFonts w:ascii="Arial" w:cs="Arial" w:eastAsia="Arial" w:hAnsi="Arial"/>
                <w:sz w:val="16"/>
                <w:szCs w:val="16"/>
                <w:color w:val="auto"/>
              </w:rPr>
              <w:t>Increase (Decrease) in interest payable on notes to members</w:t>
            </w:r>
          </w:p>
        </w:tc>
        <w:tc>
          <w:tcPr>
            <w:tcW w:w="2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2,622,888</w:t>
            </w:r>
          </w:p>
        </w:tc>
        <w:tc>
          <w:tcPr>
            <w:tcW w:w="2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34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(6,478)</w:t>
            </w:r>
          </w:p>
        </w:tc>
        <w:tc>
          <w:tcPr>
            <w:tcW w:w="0" w:type="dxa"/>
            <w:vAlign w:val="bottom"/>
          </w:tcPr>
          <w:p>
            <w:pPr>
              <w:spacing w:after="0"/>
              <w:rPr>
                <w:sz w:val="1"/>
                <w:szCs w:val="1"/>
                <w:color w:val="auto"/>
              </w:rPr>
            </w:pPr>
          </w:p>
        </w:tc>
      </w:tr>
      <w:tr>
        <w:trPr>
          <w:trHeight w:val="213"/>
        </w:trPr>
        <w:tc>
          <w:tcPr>
            <w:tcW w:w="7980" w:type="dxa"/>
            <w:vAlign w:val="bottom"/>
          </w:tcPr>
          <w:p>
            <w:pPr>
              <w:ind w:left="380"/>
              <w:spacing w:after="0"/>
              <w:rPr>
                <w:sz w:val="20"/>
                <w:szCs w:val="20"/>
                <w:color w:val="auto"/>
              </w:rPr>
            </w:pPr>
            <w:r>
              <w:rPr>
                <w:rFonts w:ascii="Arial" w:cs="Arial" w:eastAsia="Arial" w:hAnsi="Arial"/>
                <w:sz w:val="16"/>
                <w:szCs w:val="16"/>
                <w:color w:val="auto"/>
              </w:rPr>
              <w:t>Increase in accrued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167,593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(11,909)</w:t>
            </w:r>
          </w:p>
        </w:tc>
        <w:tc>
          <w:tcPr>
            <w:tcW w:w="0" w:type="dxa"/>
            <w:vAlign w:val="bottom"/>
          </w:tcPr>
          <w:p>
            <w:pPr>
              <w:spacing w:after="0"/>
              <w:rPr>
                <w:sz w:val="1"/>
                <w:szCs w:val="1"/>
                <w:color w:val="auto"/>
              </w:rPr>
            </w:pPr>
          </w:p>
        </w:tc>
      </w:tr>
      <w:tr>
        <w:trPr>
          <w:trHeight w:val="20"/>
        </w:trPr>
        <w:tc>
          <w:tcPr>
            <w:tcW w:w="7980" w:type="dxa"/>
            <w:vAlign w:val="bottom"/>
            <w:vMerge w:val="restart"/>
            <w:shd w:val="clear" w:color="auto" w:fill="CCECFF"/>
          </w:tcPr>
          <w:p>
            <w:pPr>
              <w:ind w:left="380"/>
              <w:spacing w:after="0"/>
              <w:rPr>
                <w:sz w:val="20"/>
                <w:szCs w:val="20"/>
                <w:color w:val="auto"/>
              </w:rPr>
            </w:pPr>
            <w:r>
              <w:rPr>
                <w:rFonts w:ascii="Arial" w:cs="Arial" w:eastAsia="Arial" w:hAnsi="Arial"/>
                <w:sz w:val="16"/>
                <w:szCs w:val="16"/>
                <w:color w:val="auto"/>
              </w:rPr>
              <w:t>Net cash provided by (used in) operating activities</w:t>
            </w:r>
          </w:p>
        </w:tc>
        <w:tc>
          <w:tcPr>
            <w:tcW w:w="20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980" w:type="dxa"/>
            <w:vAlign w:val="bottom"/>
            <w:vMerge w:val="continue"/>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460" w:type="dxa"/>
            <w:vAlign w:val="bottom"/>
            <w:gridSpan w:val="2"/>
            <w:shd w:val="clear" w:color="auto" w:fill="CCECFF"/>
          </w:tcPr>
          <w:p>
            <w:pPr>
              <w:jc w:val="right"/>
              <w:ind w:right="200"/>
              <w:spacing w:after="0"/>
              <w:rPr>
                <w:sz w:val="20"/>
                <w:szCs w:val="20"/>
                <w:color w:val="auto"/>
              </w:rPr>
            </w:pPr>
            <w:r>
              <w:rPr>
                <w:rFonts w:ascii="Arial" w:cs="Arial" w:eastAsia="Arial" w:hAnsi="Arial"/>
                <w:sz w:val="16"/>
                <w:szCs w:val="16"/>
                <w:color w:val="auto"/>
              </w:rPr>
              <w:t>(137,922,973)</w:t>
            </w:r>
          </w:p>
        </w:tc>
        <w:tc>
          <w:tcPr>
            <w:tcW w:w="14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90,253,223</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98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CFF"/>
          </w:tcPr>
          <w:p>
            <w:pPr>
              <w:ind w:left="380"/>
              <w:spacing w:after="0"/>
              <w:rPr>
                <w:sz w:val="20"/>
                <w:szCs w:val="20"/>
                <w:color w:val="auto"/>
              </w:rPr>
            </w:pPr>
            <w:r>
              <w:rPr>
                <w:rFonts w:ascii="Arial" w:cs="Arial" w:eastAsia="Arial" w:hAnsi="Arial"/>
                <w:sz w:val="16"/>
                <w:szCs w:val="16"/>
                <w:color w:val="auto"/>
              </w:rPr>
              <w:t>Members’ capital contributions</w:t>
            </w:r>
          </w:p>
        </w:tc>
        <w:tc>
          <w:tcPr>
            <w:tcW w:w="2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7,590,000</w:t>
            </w:r>
          </w:p>
        </w:tc>
        <w:tc>
          <w:tcPr>
            <w:tcW w:w="2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1,560,000</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380"/>
              <w:spacing w:after="0"/>
              <w:rPr>
                <w:sz w:val="20"/>
                <w:szCs w:val="20"/>
                <w:color w:val="auto"/>
              </w:rPr>
            </w:pPr>
            <w:r>
              <w:rPr>
                <w:rFonts w:ascii="Arial" w:cs="Arial" w:eastAsia="Arial" w:hAnsi="Arial"/>
                <w:sz w:val="16"/>
                <w:szCs w:val="16"/>
                <w:color w:val="auto"/>
              </w:rPr>
              <w:t>Distributions to members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(10,050,000)</w:t>
            </w: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(6,800,000)</w:t>
            </w:r>
          </w:p>
        </w:tc>
        <w:tc>
          <w:tcPr>
            <w:tcW w:w="0" w:type="dxa"/>
            <w:vAlign w:val="bottom"/>
          </w:tcPr>
          <w:p>
            <w:pPr>
              <w:spacing w:after="0"/>
              <w:rPr>
                <w:sz w:val="1"/>
                <w:szCs w:val="1"/>
                <w:color w:val="auto"/>
              </w:rPr>
            </w:pPr>
          </w:p>
        </w:tc>
      </w:tr>
      <w:tr>
        <w:trPr>
          <w:trHeight w:val="219"/>
        </w:trPr>
        <w:tc>
          <w:tcPr>
            <w:tcW w:w="7980" w:type="dxa"/>
            <w:vAlign w:val="bottom"/>
            <w:shd w:val="clear" w:color="auto" w:fill="CCECFF"/>
          </w:tcPr>
          <w:p>
            <w:pPr>
              <w:ind w:left="380"/>
              <w:spacing w:after="0"/>
              <w:rPr>
                <w:sz w:val="20"/>
                <w:szCs w:val="20"/>
                <w:color w:val="auto"/>
              </w:rPr>
            </w:pPr>
            <w:r>
              <w:rPr>
                <w:rFonts w:ascii="Arial" w:cs="Arial" w:eastAsia="Arial" w:hAnsi="Arial"/>
                <w:sz w:val="16"/>
                <w:szCs w:val="16"/>
                <w:color w:val="auto"/>
              </w:rPr>
              <w:t>Notes issued to members</w:t>
            </w:r>
          </w:p>
        </w:tc>
        <w:tc>
          <w:tcPr>
            <w:tcW w:w="2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17,710,000</w:t>
            </w:r>
          </w:p>
        </w:tc>
        <w:tc>
          <w:tcPr>
            <w:tcW w:w="2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3,640,000</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380"/>
              <w:spacing w:after="0"/>
              <w:rPr>
                <w:sz w:val="20"/>
                <w:szCs w:val="20"/>
                <w:color w:val="auto"/>
              </w:rPr>
            </w:pPr>
            <w:r>
              <w:rPr>
                <w:rFonts w:ascii="Arial" w:cs="Arial" w:eastAsia="Arial" w:hAnsi="Arial"/>
                <w:sz w:val="16"/>
                <w:szCs w:val="16"/>
                <w:color w:val="auto"/>
              </w:rPr>
              <w:t>Proceeds from asset backed debt issued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246,000,000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80" w:type="dxa"/>
            <w:vAlign w:val="bottom"/>
            <w:shd w:val="clear" w:color="auto" w:fill="CCECFF"/>
          </w:tcPr>
          <w:p>
            <w:pPr>
              <w:ind w:left="380"/>
              <w:spacing w:after="0"/>
              <w:rPr>
                <w:sz w:val="20"/>
                <w:szCs w:val="20"/>
                <w:color w:val="auto"/>
              </w:rPr>
            </w:pPr>
            <w:r>
              <w:rPr>
                <w:rFonts w:ascii="Arial" w:cs="Arial" w:eastAsia="Arial" w:hAnsi="Arial"/>
                <w:sz w:val="16"/>
                <w:szCs w:val="16"/>
                <w:color w:val="auto"/>
              </w:rPr>
              <w:t>Borrowings under credit facility</w:t>
            </w:r>
          </w:p>
        </w:tc>
        <w:tc>
          <w:tcPr>
            <w:tcW w:w="2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220,000,000</w:t>
            </w:r>
          </w:p>
        </w:tc>
        <w:tc>
          <w:tcPr>
            <w:tcW w:w="24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70,000,000</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380"/>
              <w:spacing w:after="0"/>
              <w:rPr>
                <w:sz w:val="20"/>
                <w:szCs w:val="20"/>
                <w:color w:val="auto"/>
              </w:rPr>
            </w:pPr>
            <w:r>
              <w:rPr>
                <w:rFonts w:ascii="Arial" w:cs="Arial" w:eastAsia="Arial" w:hAnsi="Arial"/>
                <w:sz w:val="16"/>
                <w:szCs w:val="16"/>
                <w:color w:val="auto"/>
              </w:rPr>
              <w:t>Repayments under credit facility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(325,553,031)</w:t>
            </w: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(163,965,743)</w:t>
            </w:r>
          </w:p>
        </w:tc>
        <w:tc>
          <w:tcPr>
            <w:tcW w:w="0" w:type="dxa"/>
            <w:vAlign w:val="bottom"/>
          </w:tcPr>
          <w:p>
            <w:pPr>
              <w:spacing w:after="0"/>
              <w:rPr>
                <w:sz w:val="1"/>
                <w:szCs w:val="1"/>
                <w:color w:val="auto"/>
              </w:rPr>
            </w:pPr>
          </w:p>
        </w:tc>
      </w:tr>
      <w:tr>
        <w:trPr>
          <w:trHeight w:val="20"/>
        </w:trPr>
        <w:tc>
          <w:tcPr>
            <w:tcW w:w="7980" w:type="dxa"/>
            <w:vAlign w:val="bottom"/>
            <w:vMerge w:val="restart"/>
            <w:shd w:val="clear" w:color="auto" w:fill="CCECFF"/>
          </w:tcPr>
          <w:p>
            <w:pPr>
              <w:ind w:left="380"/>
              <w:spacing w:after="0"/>
              <w:rPr>
                <w:sz w:val="20"/>
                <w:szCs w:val="20"/>
                <w:color w:val="auto"/>
              </w:rPr>
            </w:pPr>
            <w:r>
              <w:rPr>
                <w:rFonts w:ascii="Arial" w:cs="Arial" w:eastAsia="Arial" w:hAnsi="Arial"/>
                <w:sz w:val="16"/>
                <w:szCs w:val="16"/>
                <w:color w:val="auto"/>
              </w:rPr>
              <w:t>Net cash (used in) provided by financing activities</w:t>
            </w:r>
          </w:p>
        </w:tc>
        <w:tc>
          <w:tcPr>
            <w:tcW w:w="20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980" w:type="dxa"/>
            <w:vAlign w:val="bottom"/>
            <w:vMerge w:val="continue"/>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155,696,969</w:t>
            </w:r>
          </w:p>
        </w:tc>
        <w:tc>
          <w:tcPr>
            <w:tcW w:w="2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340" w:type="dxa"/>
            <w:vAlign w:val="bottom"/>
            <w:gridSpan w:val="2"/>
            <w:shd w:val="clear" w:color="auto" w:fill="CCECFF"/>
          </w:tcPr>
          <w:p>
            <w:pPr>
              <w:jc w:val="right"/>
              <w:ind w:right="60"/>
              <w:spacing w:after="0"/>
              <w:rPr>
                <w:sz w:val="20"/>
                <w:szCs w:val="20"/>
                <w:color w:val="auto"/>
              </w:rPr>
            </w:pPr>
            <w:r>
              <w:rPr>
                <w:rFonts w:ascii="Arial" w:cs="Arial" w:eastAsia="Arial" w:hAnsi="Arial"/>
                <w:sz w:val="16"/>
                <w:szCs w:val="16"/>
                <w:color w:val="auto"/>
              </w:rPr>
              <w:t>(95,565,743)</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17,773,996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(5,312,520)</w:t>
            </w:r>
          </w:p>
        </w:tc>
        <w:tc>
          <w:tcPr>
            <w:tcW w:w="0" w:type="dxa"/>
            <w:vAlign w:val="bottom"/>
          </w:tcPr>
          <w:p>
            <w:pPr>
              <w:spacing w:after="0"/>
              <w:rPr>
                <w:sz w:val="1"/>
                <w:szCs w:val="1"/>
                <w:color w:val="auto"/>
              </w:rPr>
            </w:pPr>
          </w:p>
        </w:tc>
      </w:tr>
      <w:tr>
        <w:trPr>
          <w:trHeight w:val="219"/>
        </w:trPr>
        <w:tc>
          <w:tcPr>
            <w:tcW w:w="7980" w:type="dxa"/>
            <w:vAlign w:val="bottom"/>
            <w:shd w:val="clear" w:color="auto" w:fill="CCEC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2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60" w:type="dxa"/>
            <w:vAlign w:val="bottom"/>
            <w:gridSpan w:val="2"/>
            <w:shd w:val="clear" w:color="auto" w:fill="CCECFF"/>
          </w:tcPr>
          <w:p>
            <w:pPr>
              <w:jc w:val="right"/>
              <w:ind w:right="200"/>
              <w:spacing w:after="0"/>
              <w:rPr>
                <w:sz w:val="20"/>
                <w:szCs w:val="20"/>
                <w:color w:val="auto"/>
              </w:rPr>
            </w:pPr>
            <w:r>
              <w:rPr>
                <w:rFonts w:ascii="Arial" w:cs="Arial" w:eastAsia="Arial" w:hAnsi="Arial"/>
                <w:sz w:val="16"/>
                <w:szCs w:val="16"/>
                <w:color w:val="auto"/>
              </w:rPr>
              <w:t>(521,934)</w:t>
            </w:r>
          </w:p>
        </w:tc>
        <w:tc>
          <w:tcPr>
            <w:tcW w:w="140" w:type="dxa"/>
            <w:vAlign w:val="bottom"/>
            <w:shd w:val="clear" w:color="auto" w:fill="CCECFF"/>
          </w:tcPr>
          <w:p>
            <w:pPr>
              <w:spacing w:after="0"/>
              <w:rPr>
                <w:sz w:val="19"/>
                <w:szCs w:val="19"/>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1,139,118</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Borders>
              <w:bottom w:val="single" w:sz="8" w:color="CCECFF"/>
            </w:tcBorders>
          </w:tcPr>
          <w:p>
            <w:pPr>
              <w:spacing w:after="0"/>
              <w:rPr>
                <w:sz w:val="20"/>
                <w:szCs w:val="20"/>
                <w:color w:val="auto"/>
              </w:rPr>
            </w:pPr>
            <w:r>
              <w:rPr>
                <w:rFonts w:ascii="Arial" w:cs="Arial" w:eastAsia="Arial" w:hAnsi="Arial"/>
                <w:sz w:val="16"/>
                <w:szCs w:val="16"/>
                <w:b w:val="1"/>
                <w:bCs w:val="1"/>
                <w:color w:val="auto"/>
              </w:rPr>
              <w:t>Cash and cash equivalents, beginning of year</w:t>
            </w:r>
          </w:p>
        </w:tc>
        <w:tc>
          <w:tcPr>
            <w:tcW w:w="200" w:type="dxa"/>
            <w:vAlign w:val="bottom"/>
            <w:tcBorders>
              <w:bottom w:val="single" w:sz="8" w:color="CCEC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11,121,479</w:t>
            </w:r>
          </w:p>
        </w:tc>
        <w:tc>
          <w:tcPr>
            <w:tcW w:w="240" w:type="dxa"/>
            <w:vAlign w:val="bottom"/>
            <w:tcBorders>
              <w:bottom w:val="single" w:sz="8" w:color="CCEC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15,294,881</w:t>
            </w:r>
          </w:p>
        </w:tc>
        <w:tc>
          <w:tcPr>
            <w:tcW w:w="120" w:type="dxa"/>
            <w:vAlign w:val="bottom"/>
            <w:tcBorders>
              <w:bottom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CECFF"/>
          </w:tcPr>
          <w:p>
            <w:pPr>
              <w:spacing w:after="0"/>
              <w:rPr>
                <w:sz w:val="20"/>
                <w:szCs w:val="20"/>
                <w:color w:val="auto"/>
              </w:rPr>
            </w:pPr>
            <w:r>
              <w:rPr>
                <w:rFonts w:ascii="Arial" w:cs="Arial" w:eastAsia="Arial" w:hAnsi="Arial"/>
                <w:sz w:val="16"/>
                <w:szCs w:val="16"/>
                <w:b w:val="1"/>
                <w:bCs w:val="1"/>
                <w:color w:val="auto"/>
              </w:rPr>
              <w:t>Cash and cash equivalents, end of year</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28,373,541</w:t>
            </w:r>
          </w:p>
        </w:tc>
        <w:tc>
          <w:tcPr>
            <w:tcW w:w="240" w:type="dxa"/>
            <w:vAlign w:val="bottom"/>
            <w:shd w:val="clear" w:color="auto" w:fill="CCECFF"/>
          </w:tcPr>
          <w:p>
            <w:pPr>
              <w:spacing w:after="0"/>
              <w:rPr>
                <w:sz w:val="18"/>
                <w:szCs w:val="18"/>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11,121,479</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CECFF"/>
            </w:tcBorders>
            <w:vMerge w:val="continue"/>
          </w:tcPr>
          <w:p>
            <w:pPr>
              <w:spacing w:after="0"/>
              <w:rPr>
                <w:sz w:val="20"/>
                <w:szCs w:val="20"/>
                <w:color w:val="auto"/>
              </w:rPr>
            </w:pPr>
          </w:p>
        </w:tc>
        <w:tc>
          <w:tcPr>
            <w:tcW w:w="200" w:type="dxa"/>
            <w:vAlign w:val="bottom"/>
            <w:tcBorders>
              <w:bottom w:val="single" w:sz="8" w:color="CCEC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40" w:type="dxa"/>
            <w:vAlign w:val="bottom"/>
            <w:tcBorders>
              <w:bottom w:val="single" w:sz="8" w:color="CCEC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CCEC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980" w:type="dxa"/>
            <w:vAlign w:val="bottom"/>
            <w:shd w:val="clear" w:color="auto" w:fill="CCECFF"/>
          </w:tcPr>
          <w:p>
            <w:pPr>
              <w:ind w:left="380"/>
              <w:spacing w:after="0"/>
              <w:rPr>
                <w:sz w:val="20"/>
                <w:szCs w:val="20"/>
                <w:color w:val="auto"/>
              </w:rPr>
            </w:pPr>
            <w:r>
              <w:rPr>
                <w:rFonts w:ascii="Arial" w:cs="Arial" w:eastAsia="Arial" w:hAnsi="Arial"/>
                <w:sz w:val="16"/>
                <w:szCs w:val="16"/>
                <w:color w:val="auto"/>
              </w:rPr>
              <w:t>Interest paid on credit facility and asset-backed debt</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7,616,250</w:t>
            </w:r>
          </w:p>
        </w:tc>
        <w:tc>
          <w:tcPr>
            <w:tcW w:w="240" w:type="dxa"/>
            <w:vAlign w:val="bottom"/>
            <w:shd w:val="clear" w:color="auto" w:fill="CCECFF"/>
          </w:tcPr>
          <w:p>
            <w:pPr>
              <w:spacing w:after="0"/>
              <w:rPr>
                <w:sz w:val="17"/>
                <w:szCs w:val="17"/>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12,527,657</w:t>
            </w: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80" w:type="dxa"/>
            <w:vAlign w:val="bottom"/>
            <w:tcBorders>
              <w:top w:val="single" w:sz="8" w:color="CCECFF"/>
              <w:bottom w:val="single" w:sz="8" w:color="CCECFF"/>
            </w:tcBorders>
            <w:vMerge w:val="restart"/>
          </w:tcPr>
          <w:p>
            <w:pPr>
              <w:ind w:left="380"/>
              <w:spacing w:after="0"/>
              <w:rPr>
                <w:sz w:val="20"/>
                <w:szCs w:val="20"/>
                <w:color w:val="auto"/>
              </w:rPr>
            </w:pPr>
            <w:r>
              <w:rPr>
                <w:rFonts w:ascii="Arial" w:cs="Arial" w:eastAsia="Arial" w:hAnsi="Arial"/>
                <w:sz w:val="16"/>
                <w:szCs w:val="16"/>
                <w:color w:val="auto"/>
              </w:rPr>
              <w:t>Interest paid on notes to members</w:t>
            </w:r>
          </w:p>
        </w:tc>
        <w:tc>
          <w:tcPr>
            <w:tcW w:w="2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vMerge w:val="continue"/>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10,012,602</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13,537,515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Fair Value as a</w:t>
            </w:r>
          </w:p>
        </w:tc>
        <w:tc>
          <w:tcPr>
            <w:tcW w:w="0" w:type="dxa"/>
            <w:vAlign w:val="bottom"/>
          </w:tcPr>
          <w:p>
            <w:pPr>
              <w:spacing w:after="0"/>
              <w:rPr>
                <w:sz w:val="1"/>
                <w:szCs w:val="1"/>
                <w:color w:val="auto"/>
              </w:rPr>
            </w:pPr>
          </w:p>
        </w:tc>
      </w:tr>
      <w:tr>
        <w:trPr>
          <w:trHeight w:val="126"/>
        </w:trPr>
        <w:tc>
          <w:tcPr>
            <w:tcW w:w="3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460"/>
              <w:spacing w:after="0" w:line="126" w:lineRule="exact"/>
              <w:rPr>
                <w:sz w:val="20"/>
                <w:szCs w:val="20"/>
                <w:color w:val="auto"/>
              </w:rPr>
            </w:pPr>
            <w:r>
              <w:rPr>
                <w:rFonts w:ascii="Arial" w:cs="Arial" w:eastAsia="Arial" w:hAnsi="Arial"/>
                <w:sz w:val="12"/>
                <w:szCs w:val="12"/>
                <w:b w:val="1"/>
                <w:bCs w:val="1"/>
                <w:color w:val="auto"/>
                <w:w w:val="92"/>
              </w:rPr>
              <w:t>Current</w:t>
            </w:r>
          </w:p>
        </w:tc>
        <w:tc>
          <w:tcPr>
            <w:tcW w:w="8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gridSpan w:val="2"/>
          </w:tcPr>
          <w:p>
            <w:pPr>
              <w:jc w:val="center"/>
              <w:spacing w:after="0" w:line="126" w:lineRule="exact"/>
              <w:rPr>
                <w:sz w:val="20"/>
                <w:szCs w:val="20"/>
                <w:color w:val="auto"/>
              </w:rPr>
            </w:pPr>
            <w:r>
              <w:rPr>
                <w:rFonts w:ascii="Arial" w:cs="Arial" w:eastAsia="Arial" w:hAnsi="Arial"/>
                <w:sz w:val="12"/>
                <w:szCs w:val="12"/>
                <w:b w:val="1"/>
                <w:bCs w:val="1"/>
                <w:color w:val="auto"/>
                <w:w w:val="85"/>
              </w:rPr>
              <w:t>Percentage of</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1060" w:type="dxa"/>
            <w:vAlign w:val="bottom"/>
            <w:gridSpan w:val="2"/>
          </w:tcPr>
          <w:p>
            <w:pPr>
              <w:ind w:left="220"/>
              <w:spacing w:after="0"/>
              <w:rPr>
                <w:sz w:val="20"/>
                <w:szCs w:val="20"/>
                <w:color w:val="auto"/>
              </w:rPr>
            </w:pPr>
            <w:r>
              <w:rPr>
                <w:rFonts w:ascii="Arial" w:cs="Arial" w:eastAsia="Arial" w:hAnsi="Arial"/>
                <w:sz w:val="12"/>
                <w:szCs w:val="12"/>
                <w:b w:val="1"/>
                <w:bCs w:val="1"/>
                <w:color w:val="auto"/>
              </w:rPr>
              <w:t>Maturity</w:t>
            </w:r>
          </w:p>
        </w:tc>
        <w:tc>
          <w:tcPr>
            <w:tcW w:w="1260" w:type="dxa"/>
            <w:vAlign w:val="bottom"/>
            <w:gridSpan w:val="2"/>
          </w:tcPr>
          <w:p>
            <w:pPr>
              <w:jc w:val="center"/>
              <w:ind w:right="440"/>
              <w:spacing w:after="0" w:line="153" w:lineRule="exact"/>
              <w:rPr>
                <w:sz w:val="20"/>
                <w:szCs w:val="20"/>
                <w:color w:val="auto"/>
              </w:rPr>
            </w:pPr>
            <w:r>
              <w:rPr>
                <w:rFonts w:ascii="Arial" w:cs="Arial" w:eastAsia="Arial" w:hAnsi="Arial"/>
                <w:sz w:val="11"/>
                <w:szCs w:val="11"/>
                <w:b w:val="1"/>
                <w:bCs w:val="1"/>
                <w:color w:val="auto"/>
                <w:w w:val="92"/>
              </w:rPr>
              <w:t xml:space="preserve">Coupon </w:t>
            </w:r>
            <w:r>
              <w:rPr>
                <w:rFonts w:ascii="Arial" w:cs="Arial" w:eastAsia="Arial" w:hAnsi="Arial"/>
                <w:sz w:val="17"/>
                <w:szCs w:val="17"/>
                <w:b w:val="1"/>
                <w:bCs w:val="1"/>
                <w:color w:val="auto"/>
                <w:w w:val="92"/>
                <w:vertAlign w:val="superscript"/>
              </w:rPr>
              <w:t>(1)</w:t>
            </w:r>
          </w:p>
        </w:tc>
        <w:tc>
          <w:tcPr>
            <w:tcW w:w="860" w:type="dxa"/>
            <w:vAlign w:val="bottom"/>
          </w:tcPr>
          <w:p>
            <w:pPr>
              <w:ind w:left="320"/>
              <w:spacing w:after="0"/>
              <w:rPr>
                <w:sz w:val="20"/>
                <w:szCs w:val="20"/>
                <w:color w:val="auto"/>
              </w:rPr>
            </w:pPr>
            <w:r>
              <w:rPr>
                <w:rFonts w:ascii="Arial" w:cs="Arial" w:eastAsia="Arial" w:hAnsi="Arial"/>
                <w:sz w:val="12"/>
                <w:szCs w:val="12"/>
                <w:b w:val="1"/>
                <w:bCs w:val="1"/>
                <w:color w:val="auto"/>
              </w:rPr>
              <w:t>Par</w:t>
            </w:r>
          </w:p>
        </w:tc>
        <w:tc>
          <w:tcPr>
            <w:tcW w:w="620" w:type="dxa"/>
            <w:vAlign w:val="bottom"/>
          </w:tcPr>
          <w:p>
            <w:pPr>
              <w:spacing w:after="0"/>
              <w:rPr>
                <w:sz w:val="13"/>
                <w:szCs w:val="13"/>
                <w:color w:val="auto"/>
              </w:rPr>
            </w:pPr>
          </w:p>
        </w:tc>
        <w:tc>
          <w:tcPr>
            <w:tcW w:w="860" w:type="dxa"/>
            <w:vAlign w:val="bottom"/>
          </w:tcPr>
          <w:p>
            <w:pPr>
              <w:jc w:val="right"/>
              <w:ind w:right="262"/>
              <w:spacing w:after="0"/>
              <w:rPr>
                <w:sz w:val="20"/>
                <w:szCs w:val="20"/>
                <w:color w:val="auto"/>
              </w:rPr>
            </w:pPr>
            <w:r>
              <w:rPr>
                <w:rFonts w:ascii="Arial" w:cs="Arial" w:eastAsia="Arial" w:hAnsi="Arial"/>
                <w:sz w:val="12"/>
                <w:szCs w:val="12"/>
                <w:b w:val="1"/>
                <w:bCs w:val="1"/>
                <w:color w:val="auto"/>
              </w:rPr>
              <w:t>Cost</w:t>
            </w:r>
          </w:p>
        </w:tc>
        <w:tc>
          <w:tcPr>
            <w:tcW w:w="62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Fair Value</w:t>
            </w:r>
          </w:p>
        </w:tc>
        <w:tc>
          <w:tcPr>
            <w:tcW w:w="1060" w:type="dxa"/>
            <w:vAlign w:val="bottom"/>
            <w:gridSpan w:val="2"/>
          </w:tcPr>
          <w:p>
            <w:pPr>
              <w:jc w:val="center"/>
              <w:spacing w:after="0" w:line="153" w:lineRule="exact"/>
              <w:rPr>
                <w:sz w:val="20"/>
                <w:szCs w:val="20"/>
                <w:color w:val="auto"/>
              </w:rPr>
            </w:pPr>
            <w:r>
              <w:rPr>
                <w:rFonts w:ascii="Arial" w:cs="Arial" w:eastAsia="Arial" w:hAnsi="Arial"/>
                <w:sz w:val="11"/>
                <w:szCs w:val="11"/>
                <w:b w:val="1"/>
                <w:bCs w:val="1"/>
                <w:color w:val="auto"/>
                <w:w w:val="97"/>
              </w:rPr>
              <w:t xml:space="preserve">Members’ Equity </w:t>
            </w:r>
            <w:r>
              <w:rPr>
                <w:rFonts w:ascii="Arial" w:cs="Arial" w:eastAsia="Arial" w:hAnsi="Arial"/>
                <w:sz w:val="17"/>
                <w:szCs w:val="17"/>
                <w:b w:val="1"/>
                <w:bCs w:val="1"/>
                <w:color w:val="auto"/>
                <w:w w:val="97"/>
                <w:vertAlign w:val="superscript"/>
              </w:rPr>
              <w:t>(2)</w:t>
            </w:r>
          </w:p>
        </w:tc>
        <w:tc>
          <w:tcPr>
            <w:tcW w:w="0" w:type="dxa"/>
            <w:vAlign w:val="bottom"/>
          </w:tcPr>
          <w:p>
            <w:pPr>
              <w:spacing w:after="0"/>
              <w:rPr>
                <w:sz w:val="1"/>
                <w:szCs w:val="1"/>
                <w:color w:val="auto"/>
              </w:rPr>
            </w:pPr>
          </w:p>
        </w:tc>
      </w:tr>
      <w:tr>
        <w:trPr>
          <w:trHeight w:val="142"/>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First Lien Secured Debt - 1088.0%</w:t>
            </w:r>
          </w:p>
        </w:tc>
        <w:tc>
          <w:tcPr>
            <w:tcW w:w="9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2"/>
                <w:szCs w:val="12"/>
                <w:color w:val="auto"/>
              </w:rPr>
              <w:t>Aerospace and Defense</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Cadence Aerospace, LLC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11/14/2023</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9.50%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42"/>
              <w:spacing w:after="0"/>
              <w:rPr>
                <w:sz w:val="20"/>
                <w:szCs w:val="20"/>
                <w:color w:val="auto"/>
              </w:rPr>
            </w:pPr>
            <w:r>
              <w:rPr>
                <w:rFonts w:ascii="Arial" w:cs="Arial" w:eastAsia="Arial" w:hAnsi="Arial"/>
                <w:sz w:val="12"/>
                <w:szCs w:val="12"/>
                <w:color w:val="auto"/>
                <w:w w:val="86"/>
              </w:rPr>
              <w:t>12,281,867</w:t>
            </w:r>
          </w:p>
        </w:tc>
        <w:tc>
          <w:tcPr>
            <w:tcW w:w="1480" w:type="dxa"/>
            <w:vAlign w:val="bottom"/>
            <w:gridSpan w:val="2"/>
            <w:shd w:val="clear" w:color="auto" w:fill="CFF0FC"/>
          </w:tcPr>
          <w:p>
            <w:pPr>
              <w:jc w:val="right"/>
              <w:ind w:right="62"/>
              <w:spacing w:after="0"/>
              <w:rPr>
                <w:sz w:val="20"/>
                <w:szCs w:val="20"/>
                <w:color w:val="auto"/>
              </w:rPr>
            </w:pPr>
            <w:r>
              <w:rPr>
                <w:rFonts w:ascii="Arial" w:cs="Arial" w:eastAsia="Arial" w:hAnsi="Arial"/>
                <w:sz w:val="12"/>
                <w:szCs w:val="12"/>
                <w:color w:val="auto"/>
              </w:rPr>
              <w:t>$   12,231,080</w:t>
            </w:r>
          </w:p>
        </w:tc>
        <w:tc>
          <w:tcPr>
            <w:tcW w:w="1460" w:type="dxa"/>
            <w:vAlign w:val="bottom"/>
            <w:gridSpan w:val="2"/>
            <w:shd w:val="clear" w:color="auto" w:fill="CFF0FC"/>
          </w:tcPr>
          <w:p>
            <w:pPr>
              <w:jc w:val="right"/>
              <w:ind w:right="42"/>
              <w:spacing w:after="0"/>
              <w:rPr>
                <w:sz w:val="20"/>
                <w:szCs w:val="20"/>
                <w:color w:val="auto"/>
              </w:rPr>
            </w:pPr>
            <w:r>
              <w:rPr>
                <w:rFonts w:ascii="Arial" w:cs="Arial" w:eastAsia="Arial" w:hAnsi="Arial"/>
                <w:sz w:val="12"/>
                <w:szCs w:val="12"/>
                <w:color w:val="auto"/>
              </w:rPr>
              <w:t>$   11,980,961</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23.4</w:t>
            </w:r>
          </w:p>
        </w:tc>
        <w:tc>
          <w:tcPr>
            <w:tcW w:w="3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2"/>
                <w:szCs w:val="12"/>
                <w:color w:val="auto"/>
              </w:rPr>
              <w:t>Fairbanks More Defense</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06/17/2028</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5.50%</w:t>
            </w:r>
          </w:p>
        </w:tc>
        <w:tc>
          <w:tcPr>
            <w:tcW w:w="440" w:type="dxa"/>
            <w:vAlign w:val="bottom"/>
          </w:tcPr>
          <w:p>
            <w:pPr>
              <w:spacing w:after="0"/>
              <w:rPr>
                <w:sz w:val="12"/>
                <w:szCs w:val="12"/>
                <w:color w:val="auto"/>
              </w:rPr>
            </w:pPr>
          </w:p>
        </w:tc>
        <w:tc>
          <w:tcPr>
            <w:tcW w:w="860" w:type="dxa"/>
            <w:vAlign w:val="bottom"/>
          </w:tcPr>
          <w:p>
            <w:pPr>
              <w:jc w:val="center"/>
              <w:ind w:left="42"/>
              <w:spacing w:after="0"/>
              <w:rPr>
                <w:sz w:val="20"/>
                <w:szCs w:val="20"/>
                <w:color w:val="auto"/>
              </w:rPr>
            </w:pPr>
            <w:r>
              <w:rPr>
                <w:rFonts w:ascii="Arial" w:cs="Arial" w:eastAsia="Arial" w:hAnsi="Arial"/>
                <w:sz w:val="12"/>
                <w:szCs w:val="12"/>
                <w:color w:val="auto"/>
                <w:w w:val="86"/>
              </w:rPr>
              <w:t>10,000,000</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9,954,660</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10,000,000</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19.5</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Holdco Sands Intermediate, LLC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12/19/2025</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7.50%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6,473,725</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6,407,142</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6,441,356</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12.6</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2"/>
                <w:szCs w:val="12"/>
                <w:color w:val="auto"/>
              </w:rPr>
              <w:t>IMIA Holdings, Inc.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04/09/2027</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6.75%</w:t>
            </w:r>
          </w:p>
        </w:tc>
        <w:tc>
          <w:tcPr>
            <w:tcW w:w="440" w:type="dxa"/>
            <w:vAlign w:val="bottom"/>
          </w:tcPr>
          <w:p>
            <w:pPr>
              <w:spacing w:after="0"/>
              <w:rPr>
                <w:sz w:val="12"/>
                <w:szCs w:val="12"/>
                <w:color w:val="auto"/>
              </w:rPr>
            </w:pPr>
          </w:p>
        </w:tc>
        <w:tc>
          <w:tcPr>
            <w:tcW w:w="860" w:type="dxa"/>
            <w:vAlign w:val="bottom"/>
          </w:tcPr>
          <w:p>
            <w:pPr>
              <w:jc w:val="center"/>
              <w:ind w:left="42"/>
              <w:spacing w:after="0"/>
              <w:rPr>
                <w:sz w:val="20"/>
                <w:szCs w:val="20"/>
                <w:color w:val="auto"/>
              </w:rPr>
            </w:pPr>
            <w:r>
              <w:rPr>
                <w:rFonts w:ascii="Arial" w:cs="Arial" w:eastAsia="Arial" w:hAnsi="Arial"/>
                <w:sz w:val="12"/>
                <w:szCs w:val="12"/>
                <w:color w:val="auto"/>
                <w:w w:val="86"/>
              </w:rPr>
              <w:t>13,589,144</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13,338,397</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13,317,361</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26.0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TAC LifePort Purchaser, LLC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03/01/2026</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7.00%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4,950,000</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4,860,463</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4,948,403</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9.7</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2"/>
                <w:szCs w:val="12"/>
                <w:color w:val="auto"/>
              </w:rPr>
              <w:t>The Aegis Technologies Group, LLC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10/31/2025</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6.77%</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5,713,461</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5,633,702</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5,656,327</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11.0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spacing w:after="0"/>
              <w:rPr>
                <w:sz w:val="20"/>
                <w:szCs w:val="20"/>
                <w:color w:val="auto"/>
              </w:rPr>
            </w:pPr>
            <w:r>
              <w:rPr>
                <w:rFonts w:ascii="Arial" w:cs="Arial" w:eastAsia="Arial" w:hAnsi="Arial"/>
                <w:sz w:val="12"/>
                <w:szCs w:val="12"/>
                <w:color w:val="auto"/>
              </w:rPr>
              <w:t>Air Freight and Logistics</w:t>
            </w: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2"/>
                <w:szCs w:val="12"/>
                <w:color w:val="auto"/>
              </w:rPr>
              <w:t>One Stop Mailing, LLC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05/07/2027</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7.25%</w:t>
            </w:r>
          </w:p>
        </w:tc>
        <w:tc>
          <w:tcPr>
            <w:tcW w:w="440" w:type="dxa"/>
            <w:vAlign w:val="bottom"/>
          </w:tcPr>
          <w:p>
            <w:pPr>
              <w:spacing w:after="0"/>
              <w:rPr>
                <w:sz w:val="12"/>
                <w:szCs w:val="12"/>
                <w:color w:val="auto"/>
              </w:rPr>
            </w:pPr>
          </w:p>
        </w:tc>
        <w:tc>
          <w:tcPr>
            <w:tcW w:w="860" w:type="dxa"/>
            <w:vAlign w:val="bottom"/>
          </w:tcPr>
          <w:p>
            <w:pPr>
              <w:jc w:val="center"/>
              <w:ind w:left="42"/>
              <w:spacing w:after="0"/>
              <w:rPr>
                <w:sz w:val="20"/>
                <w:szCs w:val="20"/>
                <w:color w:val="auto"/>
              </w:rPr>
            </w:pPr>
            <w:r>
              <w:rPr>
                <w:rFonts w:ascii="Arial" w:cs="Arial" w:eastAsia="Arial" w:hAnsi="Arial"/>
                <w:sz w:val="12"/>
                <w:szCs w:val="12"/>
                <w:color w:val="auto"/>
                <w:w w:val="86"/>
              </w:rPr>
              <w:t>14,919,643</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14,631,178</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14,658,549</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28.6</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spacing w:after="0"/>
              <w:rPr>
                <w:sz w:val="20"/>
                <w:szCs w:val="20"/>
                <w:color w:val="auto"/>
              </w:rPr>
            </w:pPr>
            <w:r>
              <w:rPr>
                <w:rFonts w:ascii="Arial" w:cs="Arial" w:eastAsia="Arial" w:hAnsi="Arial"/>
                <w:sz w:val="12"/>
                <w:szCs w:val="12"/>
                <w:color w:val="auto"/>
              </w:rPr>
              <w:t>Automobiles</w:t>
            </w: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60"/>
              <w:spacing w:after="0"/>
              <w:rPr>
                <w:sz w:val="20"/>
                <w:szCs w:val="20"/>
                <w:color w:val="auto"/>
              </w:rPr>
            </w:pPr>
            <w:r>
              <w:rPr>
                <w:rFonts w:ascii="Arial" w:cs="Arial" w:eastAsia="Arial" w:hAnsi="Arial"/>
                <w:sz w:val="12"/>
                <w:szCs w:val="12"/>
                <w:color w:val="auto"/>
              </w:rPr>
              <w:t>Crash Champions, LLC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08/05/25</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6.00%</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8,977,500</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8,801,543</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8,797,950</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17.2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2"/>
                <w:szCs w:val="12"/>
                <w:color w:val="auto"/>
              </w:rPr>
              <w:t>Snak Club, LLC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07/19/2022</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7.00%</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4,388,056</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4,361,678</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4,388,056</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8.6</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spacing w:after="0"/>
              <w:rPr>
                <w:sz w:val="20"/>
                <w:szCs w:val="20"/>
                <w:color w:val="auto"/>
              </w:rPr>
            </w:pPr>
            <w:r>
              <w:rPr>
                <w:rFonts w:ascii="Arial" w:cs="Arial" w:eastAsia="Arial" w:hAnsi="Arial"/>
                <w:sz w:val="12"/>
                <w:szCs w:val="12"/>
                <w:color w:val="auto"/>
              </w:rPr>
              <w:t>Building Products</w:t>
            </w: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2"/>
                <w:szCs w:val="12"/>
                <w:color w:val="auto"/>
              </w:rPr>
              <w:t>American Insulated Glass, LLC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12/21/2023</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6.50%</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5,720,691</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5,653,291</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5,663,484</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11.0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spacing w:after="0"/>
              <w:rPr>
                <w:sz w:val="20"/>
                <w:szCs w:val="20"/>
                <w:color w:val="auto"/>
              </w:rPr>
            </w:pPr>
            <w:r>
              <w:rPr>
                <w:rFonts w:ascii="Arial" w:cs="Arial" w:eastAsia="Arial" w:hAnsi="Arial"/>
                <w:sz w:val="12"/>
                <w:szCs w:val="12"/>
                <w:color w:val="auto"/>
              </w:rPr>
              <w:t>Business Services</w:t>
            </w: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2"/>
                <w:szCs w:val="12"/>
                <w:color w:val="auto"/>
              </w:rPr>
              <w:t>Altamira Technologies, LLC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07/24/2025</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8.00%</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5,525,093</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5,375,682</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5,179,775</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10.1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Challenger Performance Optimization, Inc.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08/31/2023</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8.00%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9,500,705</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9,453,659</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9,215,683</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18.0</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2"/>
                <w:szCs w:val="12"/>
                <w:color w:val="auto"/>
              </w:rPr>
              <w:t>CoolSys, Inc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08/04/2028</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5.50%</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1,909,091</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1,890,159</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1,913,864</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3.7</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Output Services Group, Inc.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03/27/2024</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5.50%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7,743,419</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7,732,934</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7,046,511</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13.7</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2"/>
                <w:szCs w:val="12"/>
                <w:color w:val="auto"/>
              </w:rPr>
              <w:t>Schlesinger Global, Inc.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07/14/2025</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8.00%</w:t>
            </w:r>
          </w:p>
        </w:tc>
        <w:tc>
          <w:tcPr>
            <w:tcW w:w="440" w:type="dxa"/>
            <w:vAlign w:val="bottom"/>
          </w:tcPr>
          <w:p>
            <w:pPr>
              <w:spacing w:after="0"/>
              <w:rPr>
                <w:sz w:val="12"/>
                <w:szCs w:val="12"/>
                <w:color w:val="auto"/>
              </w:rPr>
            </w:pPr>
          </w:p>
        </w:tc>
        <w:tc>
          <w:tcPr>
            <w:tcW w:w="860" w:type="dxa"/>
            <w:vAlign w:val="bottom"/>
          </w:tcPr>
          <w:p>
            <w:pPr>
              <w:jc w:val="center"/>
              <w:ind w:left="42"/>
              <w:spacing w:after="0"/>
              <w:rPr>
                <w:sz w:val="20"/>
                <w:szCs w:val="20"/>
                <w:color w:val="auto"/>
              </w:rPr>
            </w:pPr>
            <w:r>
              <w:rPr>
                <w:rFonts w:ascii="Arial" w:cs="Arial" w:eastAsia="Arial" w:hAnsi="Arial"/>
                <w:sz w:val="12"/>
                <w:szCs w:val="12"/>
                <w:color w:val="auto"/>
                <w:w w:val="86"/>
              </w:rPr>
              <w:t>11,784,634</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11,760,259</w:t>
            </w:r>
          </w:p>
        </w:tc>
        <w:tc>
          <w:tcPr>
            <w:tcW w:w="1460" w:type="dxa"/>
            <w:vAlign w:val="bottom"/>
            <w:gridSpan w:val="2"/>
          </w:tcPr>
          <w:p>
            <w:pPr>
              <w:jc w:val="center"/>
              <w:ind w:left="682"/>
              <w:spacing w:after="0"/>
              <w:rPr>
                <w:sz w:val="20"/>
                <w:szCs w:val="20"/>
                <w:color w:val="auto"/>
              </w:rPr>
            </w:pPr>
            <w:r>
              <w:rPr>
                <w:rFonts w:ascii="Arial" w:cs="Arial" w:eastAsia="Arial" w:hAnsi="Arial"/>
                <w:sz w:val="12"/>
                <w:szCs w:val="12"/>
                <w:color w:val="auto"/>
                <w:w w:val="86"/>
              </w:rPr>
              <w:t>11,254,326</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22.0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Teneo Holdings LLC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07/18/2025</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6.25%</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2,309,486</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2,306,149</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2,296,969</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4.5</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2"/>
                <w:szCs w:val="12"/>
                <w:color w:val="auto"/>
              </w:rPr>
              <w:t>Capital Equipment</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LAV Gear Holdings, Inc.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10/31/2024</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8.50%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42"/>
              <w:spacing w:after="0"/>
              <w:rPr>
                <w:sz w:val="20"/>
                <w:szCs w:val="20"/>
                <w:color w:val="auto"/>
              </w:rPr>
            </w:pPr>
            <w:r>
              <w:rPr>
                <w:rFonts w:ascii="Arial" w:cs="Arial" w:eastAsia="Arial" w:hAnsi="Arial"/>
                <w:sz w:val="12"/>
                <w:szCs w:val="12"/>
                <w:color w:val="auto"/>
                <w:w w:val="86"/>
              </w:rPr>
              <w:t>10,491,277</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10,435,348</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9,833,474</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19.2</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2"/>
                <w:szCs w:val="12"/>
                <w:color w:val="auto"/>
              </w:rPr>
              <w:t>Mission Critical Electronics, Inc.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09/28/2022</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6.00%</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5,889,949</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5,877,013</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5,889,949</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11.5</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UBEO, LLC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04/03/2024</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5.50%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42"/>
              <w:spacing w:after="0"/>
              <w:rPr>
                <w:sz w:val="20"/>
                <w:szCs w:val="20"/>
                <w:color w:val="auto"/>
              </w:rPr>
            </w:pPr>
            <w:r>
              <w:rPr>
                <w:rFonts w:ascii="Arial" w:cs="Arial" w:eastAsia="Arial" w:hAnsi="Arial"/>
                <w:sz w:val="12"/>
                <w:szCs w:val="12"/>
                <w:color w:val="auto"/>
                <w:w w:val="86"/>
              </w:rPr>
              <w:t>17,571,320</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17,457,179</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17,483,464</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34.1</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20"/>
                <w:szCs w:val="20"/>
                <w:color w:val="auto"/>
              </w:rPr>
            </w:pPr>
            <w:r>
              <w:rPr>
                <w:rFonts w:ascii="Arial" w:cs="Arial" w:eastAsia="Arial" w:hAnsi="Arial"/>
                <w:sz w:val="12"/>
                <w:szCs w:val="12"/>
                <w:color w:val="auto"/>
              </w:rPr>
              <w:t>Chemicals, Plastics and Rubber</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Douglas Products and Packaging Company LLC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10/19/2022</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6.75%</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8,746,050</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8,694,764</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8,746,050</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17.1</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2"/>
                <w:szCs w:val="12"/>
                <w:color w:val="auto"/>
              </w:rPr>
              <w:t>Douglas Sewer Intermediate, LLC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10/19/2022</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6.75%</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7,323,008</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7,278,084</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7,323,008</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14.3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K2 Pure Solutions NoCal, L.P.</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12/20/2023</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8.00%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42"/>
              <w:spacing w:after="0"/>
              <w:rPr>
                <w:sz w:val="20"/>
                <w:szCs w:val="20"/>
                <w:color w:val="auto"/>
              </w:rPr>
            </w:pPr>
            <w:r>
              <w:rPr>
                <w:rFonts w:ascii="Arial" w:cs="Arial" w:eastAsia="Arial" w:hAnsi="Arial"/>
                <w:sz w:val="12"/>
                <w:szCs w:val="12"/>
                <w:color w:val="auto"/>
                <w:w w:val="86"/>
              </w:rPr>
              <w:t>19,450,000</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19,192,725</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18,932,630</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36.9</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60"/>
              <w:spacing w:after="0"/>
              <w:rPr>
                <w:sz w:val="20"/>
                <w:szCs w:val="20"/>
                <w:color w:val="auto"/>
              </w:rPr>
            </w:pPr>
            <w:r>
              <w:rPr>
                <w:rFonts w:ascii="Arial" w:cs="Arial" w:eastAsia="Arial" w:hAnsi="Arial"/>
                <w:sz w:val="12"/>
                <w:szCs w:val="12"/>
                <w:color w:val="auto"/>
              </w:rPr>
              <w:t>Plant Health Intermediate, Inc.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10/19/2022</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6.75%</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1,577,806</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1,568,099</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1,577,806</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3.1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spacing w:after="0"/>
              <w:rPr>
                <w:sz w:val="20"/>
                <w:szCs w:val="20"/>
                <w:color w:val="auto"/>
              </w:rPr>
            </w:pPr>
            <w:r>
              <w:rPr>
                <w:rFonts w:ascii="Arial" w:cs="Arial" w:eastAsia="Arial" w:hAnsi="Arial"/>
                <w:sz w:val="12"/>
                <w:szCs w:val="12"/>
                <w:color w:val="auto"/>
              </w:rPr>
              <w:t>Commercial Services &amp; Supplies</w:t>
            </w: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2"/>
                <w:szCs w:val="12"/>
                <w:color w:val="auto"/>
              </w:rPr>
              <w:t>Applied Technical Services, LLC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12/29/2026</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6.75%</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4,511,364</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4,419,019</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4,421,136</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8.6</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Crane 1 Services Inc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08/16/2027</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6.75%</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2,131,579</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2,100,271</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2,110,264</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4.1</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2"/>
                <w:szCs w:val="12"/>
                <w:color w:val="auto"/>
              </w:rPr>
              <w:t>Digital Room Holdings, Inc.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05/22/2026</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5.08%</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3,228,001</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2"/>
              </w:rPr>
              <w:t>3,111,026</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3,186,037</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6.2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FlexPrint, LLC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01/02/2024</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6.02%</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4,769,595</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4,732,000</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4,745,747</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9.3</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20"/>
                <w:szCs w:val="20"/>
                <w:color w:val="auto"/>
              </w:rPr>
            </w:pPr>
            <w:r>
              <w:rPr>
                <w:rFonts w:ascii="Arial" w:cs="Arial" w:eastAsia="Arial" w:hAnsi="Arial"/>
                <w:sz w:val="12"/>
                <w:szCs w:val="12"/>
                <w:color w:val="auto"/>
              </w:rPr>
              <w:t>Construction and Building</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STV Group Incorporated</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12/11/2026</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5.33%</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9,075,412</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9,003,666</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9,030,035</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17.6</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60"/>
              <w:spacing w:after="0"/>
              <w:rPr>
                <w:sz w:val="20"/>
                <w:szCs w:val="20"/>
                <w:color w:val="auto"/>
              </w:rPr>
            </w:pPr>
            <w:r>
              <w:rPr>
                <w:rFonts w:ascii="Arial" w:cs="Arial" w:eastAsia="Arial" w:hAnsi="Arial"/>
                <w:sz w:val="12"/>
                <w:szCs w:val="12"/>
                <w:color w:val="auto"/>
              </w:rPr>
              <w:t>Ox Two, LLC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05/18/2026</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7.00%</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4,975,000</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4,901,154</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4,875,500</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9.5</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spacing w:after="0"/>
              <w:rPr>
                <w:sz w:val="20"/>
                <w:szCs w:val="20"/>
                <w:color w:val="auto"/>
              </w:rPr>
            </w:pPr>
            <w:r>
              <w:rPr>
                <w:rFonts w:ascii="Arial" w:cs="Arial" w:eastAsia="Arial" w:hAnsi="Arial"/>
                <w:sz w:val="12"/>
                <w:szCs w:val="12"/>
                <w:color w:val="auto"/>
              </w:rPr>
              <w:t>Construction and Engineering</w:t>
            </w: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2"/>
                <w:szCs w:val="12"/>
                <w:color w:val="auto"/>
              </w:rPr>
              <w:t>CHA Holdings, Inc.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04/10/2025</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5.50%</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5,614,627</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5,518,856</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5,530,408</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10.8</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The Vertex Companies, LLC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08/30/2027</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6.50%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5,634,134</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5,523,212</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5,528,647</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10.8</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2"/>
                <w:szCs w:val="12"/>
                <w:color w:val="auto"/>
              </w:rPr>
              <w:t>Consumer Goods: Durable</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DRS Holdings III, Inc.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11/03/2025</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7.25%</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42"/>
              <w:spacing w:after="0"/>
              <w:rPr>
                <w:sz w:val="20"/>
                <w:szCs w:val="20"/>
                <w:color w:val="auto"/>
              </w:rPr>
            </w:pPr>
            <w:r>
              <w:rPr>
                <w:rFonts w:ascii="Arial" w:cs="Arial" w:eastAsia="Arial" w:hAnsi="Arial"/>
                <w:sz w:val="12"/>
                <w:szCs w:val="12"/>
                <w:color w:val="auto"/>
                <w:w w:val="86"/>
              </w:rPr>
              <w:t>15,675,682</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15,584,366</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15,565,952</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30.4</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60"/>
              <w:spacing w:after="0"/>
              <w:rPr>
                <w:sz w:val="20"/>
                <w:szCs w:val="20"/>
                <w:color w:val="auto"/>
              </w:rPr>
            </w:pPr>
            <w:r>
              <w:rPr>
                <w:rFonts w:ascii="Arial" w:cs="Arial" w:eastAsia="Arial" w:hAnsi="Arial"/>
                <w:sz w:val="12"/>
                <w:szCs w:val="12"/>
                <w:color w:val="auto"/>
              </w:rPr>
              <w:t>PlayPower, Inc.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05/8/2026</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5.63%</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3,805,440</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3,719,648</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3,735,687</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7.3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spacing w:after="0"/>
              <w:rPr>
                <w:sz w:val="20"/>
                <w:szCs w:val="20"/>
                <w:color w:val="auto"/>
              </w:rPr>
            </w:pPr>
            <w:r>
              <w:rPr>
                <w:rFonts w:ascii="Arial" w:cs="Arial" w:eastAsia="Arial" w:hAnsi="Arial"/>
                <w:sz w:val="12"/>
                <w:szCs w:val="12"/>
                <w:color w:val="auto"/>
              </w:rPr>
              <w:t>Consumer Goods: Non-Durable</w:t>
            </w: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60"/>
              <w:spacing w:after="0"/>
              <w:rPr>
                <w:sz w:val="20"/>
                <w:szCs w:val="20"/>
                <w:color w:val="auto"/>
              </w:rPr>
            </w:pPr>
            <w:r>
              <w:rPr>
                <w:rFonts w:ascii="Arial" w:cs="Arial" w:eastAsia="Arial" w:hAnsi="Arial"/>
                <w:sz w:val="12"/>
                <w:szCs w:val="12"/>
                <w:color w:val="auto"/>
              </w:rPr>
              <w:t>New Milani Group LLC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06/06/2024</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6.50%</w:t>
            </w:r>
          </w:p>
        </w:tc>
        <w:tc>
          <w:tcPr>
            <w:tcW w:w="440" w:type="dxa"/>
            <w:vAlign w:val="bottom"/>
          </w:tcPr>
          <w:p>
            <w:pPr>
              <w:spacing w:after="0"/>
              <w:rPr>
                <w:sz w:val="12"/>
                <w:szCs w:val="12"/>
                <w:color w:val="auto"/>
              </w:rPr>
            </w:pPr>
          </w:p>
        </w:tc>
        <w:tc>
          <w:tcPr>
            <w:tcW w:w="860" w:type="dxa"/>
            <w:vAlign w:val="bottom"/>
          </w:tcPr>
          <w:p>
            <w:pPr>
              <w:jc w:val="center"/>
              <w:ind w:left="42"/>
              <w:spacing w:after="0"/>
              <w:rPr>
                <w:sz w:val="20"/>
                <w:szCs w:val="20"/>
                <w:color w:val="auto"/>
              </w:rPr>
            </w:pPr>
            <w:r>
              <w:rPr>
                <w:rFonts w:ascii="Arial" w:cs="Arial" w:eastAsia="Arial" w:hAnsi="Arial"/>
                <w:sz w:val="12"/>
                <w:szCs w:val="12"/>
                <w:color w:val="auto"/>
                <w:w w:val="86"/>
              </w:rPr>
              <w:t>14,550,000</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14,481,129</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13,895,250</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27.1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TPC Canada Parent, Inc. and TPC US Parent, LLC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11/24/2025</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6.25%</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8,834,066</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8,654,973</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8,569,044</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16.7</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2"/>
                <w:szCs w:val="12"/>
                <w:color w:val="auto"/>
              </w:rPr>
              <w:t>Diversified Consumer Services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Apex Service Partners, LLC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07/31/2025</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6.25%</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1,020,636</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1,020,636</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1,010,430</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2.0</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rPr>
                <w:sz w:val="20"/>
                <w:szCs w:val="20"/>
                <w:color w:val="auto"/>
              </w:rPr>
            </w:pPr>
            <w:r>
              <w:rPr>
                <w:rFonts w:ascii="Arial" w:cs="Arial" w:eastAsia="Arial" w:hAnsi="Arial"/>
                <w:sz w:val="12"/>
                <w:szCs w:val="12"/>
                <w:color w:val="auto"/>
              </w:rPr>
              <w:t>Apex Service Partners, LLC Term Loan B</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07/31/2025</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6.50%</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2,222,284</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2,222,284</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2,200,061</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4.3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Apex Service Partners, LLC Term Loan 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07/31/2025</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6.25%</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4,173,913</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4,103,292</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4,132,174</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8.1</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60"/>
              <w:spacing w:after="0"/>
              <w:rPr>
                <w:sz w:val="20"/>
                <w:szCs w:val="20"/>
                <w:color w:val="auto"/>
              </w:rPr>
            </w:pPr>
            <w:r>
              <w:rPr>
                <w:rFonts w:ascii="Arial" w:cs="Arial" w:eastAsia="Arial" w:hAnsi="Arial"/>
                <w:sz w:val="12"/>
                <w:szCs w:val="12"/>
                <w:color w:val="auto"/>
              </w:rPr>
              <w:t>Integrative Nutrition, LLC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09/29/2023</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5.50%</w:t>
            </w:r>
          </w:p>
        </w:tc>
        <w:tc>
          <w:tcPr>
            <w:tcW w:w="440" w:type="dxa"/>
            <w:vAlign w:val="bottom"/>
          </w:tcPr>
          <w:p>
            <w:pPr>
              <w:spacing w:after="0"/>
              <w:rPr>
                <w:sz w:val="12"/>
                <w:szCs w:val="12"/>
                <w:color w:val="auto"/>
              </w:rPr>
            </w:pPr>
          </w:p>
        </w:tc>
        <w:tc>
          <w:tcPr>
            <w:tcW w:w="860" w:type="dxa"/>
            <w:vAlign w:val="bottom"/>
          </w:tcPr>
          <w:p>
            <w:pPr>
              <w:jc w:val="center"/>
              <w:ind w:left="42"/>
              <w:spacing w:after="0"/>
              <w:rPr>
                <w:sz w:val="20"/>
                <w:szCs w:val="20"/>
                <w:color w:val="auto"/>
              </w:rPr>
            </w:pPr>
            <w:r>
              <w:rPr>
                <w:rFonts w:ascii="Arial" w:cs="Arial" w:eastAsia="Arial" w:hAnsi="Arial"/>
                <w:sz w:val="12"/>
                <w:szCs w:val="12"/>
                <w:color w:val="auto"/>
                <w:w w:val="86"/>
              </w:rPr>
              <w:t>11,566,905</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11,527,975</w:t>
            </w:r>
          </w:p>
        </w:tc>
        <w:tc>
          <w:tcPr>
            <w:tcW w:w="1460" w:type="dxa"/>
            <w:vAlign w:val="bottom"/>
            <w:gridSpan w:val="2"/>
          </w:tcPr>
          <w:p>
            <w:pPr>
              <w:jc w:val="center"/>
              <w:ind w:left="682"/>
              <w:spacing w:after="0"/>
              <w:rPr>
                <w:sz w:val="20"/>
                <w:szCs w:val="20"/>
                <w:color w:val="auto"/>
              </w:rPr>
            </w:pPr>
            <w:r>
              <w:rPr>
                <w:rFonts w:ascii="Arial" w:cs="Arial" w:eastAsia="Arial" w:hAnsi="Arial"/>
                <w:sz w:val="12"/>
                <w:szCs w:val="12"/>
                <w:color w:val="auto"/>
                <w:w w:val="86"/>
              </w:rPr>
              <w:t>11,566,905</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22.6</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Research Now Group, Inc. and Survey Sampling International</w:t>
            </w: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2"/>
              <w:spacing w:after="0"/>
              <w:rPr>
                <w:sz w:val="20"/>
                <w:szCs w:val="20"/>
                <w:color w:val="auto"/>
              </w:rPr>
            </w:pPr>
            <w:r>
              <w:rPr>
                <w:rFonts w:ascii="Arial" w:cs="Arial" w:eastAsia="Arial" w:hAnsi="Arial"/>
                <w:sz w:val="12"/>
                <w:szCs w:val="12"/>
                <w:color w:val="auto"/>
              </w:rPr>
              <w:t>20.6</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700" w:type="dxa"/>
            <w:vAlign w:val="bottom"/>
            <w:vMerge w:val="restart"/>
            <w:shd w:val="clear" w:color="auto" w:fill="CFF0FC"/>
          </w:tcPr>
          <w:p>
            <w:pPr>
              <w:ind w:left="260"/>
              <w:spacing w:after="0"/>
              <w:rPr>
                <w:sz w:val="20"/>
                <w:szCs w:val="20"/>
                <w:color w:val="auto"/>
              </w:rPr>
            </w:pPr>
            <w:r>
              <w:rPr>
                <w:rFonts w:ascii="Arial" w:cs="Arial" w:eastAsia="Arial" w:hAnsi="Arial"/>
                <w:sz w:val="12"/>
                <w:szCs w:val="12"/>
                <w:color w:val="auto"/>
              </w:rPr>
              <w:t>LLC</w:t>
            </w:r>
          </w:p>
        </w:tc>
        <w:tc>
          <w:tcPr>
            <w:tcW w:w="900" w:type="dxa"/>
            <w:vAlign w:val="bottom"/>
            <w:vMerge w:val="restart"/>
            <w:shd w:val="clear" w:color="auto" w:fill="CFF0FC"/>
          </w:tcPr>
          <w:p>
            <w:pPr>
              <w:jc w:val="center"/>
              <w:spacing w:after="0"/>
              <w:rPr>
                <w:sz w:val="20"/>
                <w:szCs w:val="20"/>
                <w:color w:val="auto"/>
              </w:rPr>
            </w:pPr>
            <w:r>
              <w:rPr>
                <w:rFonts w:ascii="Arial" w:cs="Arial" w:eastAsia="Arial" w:hAnsi="Arial"/>
                <w:sz w:val="12"/>
                <w:szCs w:val="12"/>
                <w:color w:val="auto"/>
                <w:w w:val="89"/>
              </w:rPr>
              <w:t>12/20/2024</w:t>
            </w:r>
          </w:p>
        </w:tc>
        <w:tc>
          <w:tcPr>
            <w:tcW w:w="160" w:type="dxa"/>
            <w:vAlign w:val="bottom"/>
            <w:shd w:val="clear" w:color="auto" w:fill="CFF0FC"/>
          </w:tcPr>
          <w:p>
            <w:pPr>
              <w:spacing w:after="0"/>
              <w:rPr>
                <w:sz w:val="7"/>
                <w:szCs w:val="7"/>
                <w:color w:val="auto"/>
              </w:rPr>
            </w:pPr>
          </w:p>
        </w:tc>
        <w:tc>
          <w:tcPr>
            <w:tcW w:w="820" w:type="dxa"/>
            <w:vAlign w:val="bottom"/>
            <w:vMerge w:val="restart"/>
            <w:shd w:val="clear" w:color="auto" w:fill="CFF0FC"/>
          </w:tcPr>
          <w:p>
            <w:pPr>
              <w:jc w:val="right"/>
              <w:ind w:right="342"/>
              <w:spacing w:after="0"/>
              <w:rPr>
                <w:sz w:val="20"/>
                <w:szCs w:val="20"/>
                <w:color w:val="auto"/>
              </w:rPr>
            </w:pPr>
            <w:r>
              <w:rPr>
                <w:rFonts w:ascii="Arial" w:cs="Arial" w:eastAsia="Arial" w:hAnsi="Arial"/>
                <w:sz w:val="12"/>
                <w:szCs w:val="12"/>
                <w:color w:val="auto"/>
              </w:rPr>
              <w:t>6.50%</w:t>
            </w:r>
          </w:p>
        </w:tc>
        <w:tc>
          <w:tcPr>
            <w:tcW w:w="440" w:type="dxa"/>
            <w:vAlign w:val="bottom"/>
            <w:shd w:val="clear" w:color="auto" w:fill="CFF0FC"/>
          </w:tcPr>
          <w:p>
            <w:pPr>
              <w:spacing w:after="0"/>
              <w:rPr>
                <w:sz w:val="7"/>
                <w:szCs w:val="7"/>
                <w:color w:val="auto"/>
              </w:rPr>
            </w:pPr>
          </w:p>
        </w:tc>
        <w:tc>
          <w:tcPr>
            <w:tcW w:w="860" w:type="dxa"/>
            <w:vAlign w:val="bottom"/>
            <w:vMerge w:val="restart"/>
            <w:shd w:val="clear" w:color="auto" w:fill="CFF0FC"/>
          </w:tcPr>
          <w:p>
            <w:pPr>
              <w:jc w:val="center"/>
              <w:ind w:left="42"/>
              <w:spacing w:after="0"/>
              <w:rPr>
                <w:sz w:val="20"/>
                <w:szCs w:val="20"/>
                <w:color w:val="auto"/>
              </w:rPr>
            </w:pPr>
            <w:r>
              <w:rPr>
                <w:rFonts w:ascii="Arial" w:cs="Arial" w:eastAsia="Arial" w:hAnsi="Arial"/>
                <w:sz w:val="12"/>
                <w:szCs w:val="12"/>
                <w:color w:val="auto"/>
                <w:w w:val="86"/>
              </w:rPr>
              <w:t>10,679,701</w:t>
            </w:r>
          </w:p>
        </w:tc>
        <w:tc>
          <w:tcPr>
            <w:tcW w:w="1480" w:type="dxa"/>
            <w:vAlign w:val="bottom"/>
            <w:gridSpan w:val="2"/>
            <w:vMerge w:val="restart"/>
            <w:shd w:val="clear" w:color="auto" w:fill="CFF0FC"/>
          </w:tcPr>
          <w:p>
            <w:pPr>
              <w:jc w:val="center"/>
              <w:ind w:left="662"/>
              <w:spacing w:after="0"/>
              <w:rPr>
                <w:sz w:val="20"/>
                <w:szCs w:val="20"/>
                <w:color w:val="auto"/>
              </w:rPr>
            </w:pPr>
            <w:r>
              <w:rPr>
                <w:rFonts w:ascii="Arial" w:cs="Arial" w:eastAsia="Arial" w:hAnsi="Arial"/>
                <w:sz w:val="12"/>
                <w:szCs w:val="12"/>
                <w:color w:val="auto"/>
                <w:w w:val="86"/>
              </w:rPr>
              <w:t>10,591,506</w:t>
            </w:r>
          </w:p>
        </w:tc>
        <w:tc>
          <w:tcPr>
            <w:tcW w:w="1460" w:type="dxa"/>
            <w:vAlign w:val="bottom"/>
            <w:gridSpan w:val="2"/>
            <w:vMerge w:val="restart"/>
            <w:shd w:val="clear" w:color="auto" w:fill="CFF0FC"/>
          </w:tcPr>
          <w:p>
            <w:pPr>
              <w:jc w:val="center"/>
              <w:ind w:left="662"/>
              <w:spacing w:after="0"/>
              <w:rPr>
                <w:sz w:val="20"/>
                <w:szCs w:val="20"/>
                <w:color w:val="auto"/>
              </w:rPr>
            </w:pPr>
            <w:r>
              <w:rPr>
                <w:rFonts w:ascii="Arial" w:cs="Arial" w:eastAsia="Arial" w:hAnsi="Arial"/>
                <w:sz w:val="12"/>
                <w:szCs w:val="12"/>
                <w:color w:val="auto"/>
                <w:w w:val="89"/>
              </w:rPr>
              <w:t>10,543,962</w:t>
            </w:r>
          </w:p>
        </w:tc>
        <w:tc>
          <w:tcPr>
            <w:tcW w:w="360" w:type="dxa"/>
            <w:vAlign w:val="bottom"/>
            <w:shd w:val="clear" w:color="auto" w:fill="CFF0FC"/>
          </w:tcPr>
          <w:p>
            <w:pPr>
              <w:spacing w:after="0"/>
              <w:rPr>
                <w:sz w:val="7"/>
                <w:szCs w:val="7"/>
                <w:color w:val="auto"/>
              </w:rPr>
            </w:pPr>
          </w:p>
        </w:tc>
        <w:tc>
          <w:tcPr>
            <w:tcW w:w="720" w:type="dxa"/>
            <w:vAlign w:val="bottom"/>
            <w:vMerge w:val="continue"/>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700" w:type="dxa"/>
            <w:vAlign w:val="bottom"/>
            <w:vMerge w:val="continue"/>
            <w:shd w:val="clear" w:color="auto" w:fill="CFF0FC"/>
          </w:tcPr>
          <w:p>
            <w:pPr>
              <w:spacing w:after="0"/>
              <w:rPr>
                <w:sz w:val="5"/>
                <w:szCs w:val="5"/>
                <w:color w:val="auto"/>
              </w:rPr>
            </w:pPr>
          </w:p>
        </w:tc>
        <w:tc>
          <w:tcPr>
            <w:tcW w:w="900" w:type="dxa"/>
            <w:vAlign w:val="bottom"/>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20" w:type="dxa"/>
            <w:vAlign w:val="bottom"/>
            <w:vMerge w:val="continue"/>
            <w:shd w:val="clear" w:color="auto" w:fill="CFF0FC"/>
          </w:tcPr>
          <w:p>
            <w:pPr>
              <w:spacing w:after="0"/>
              <w:rPr>
                <w:sz w:val="5"/>
                <w:szCs w:val="5"/>
                <w:color w:val="auto"/>
              </w:rPr>
            </w:pPr>
          </w:p>
        </w:tc>
        <w:tc>
          <w:tcPr>
            <w:tcW w:w="440" w:type="dxa"/>
            <w:vAlign w:val="bottom"/>
            <w:shd w:val="clear" w:color="auto" w:fill="CFF0FC"/>
          </w:tcPr>
          <w:p>
            <w:pPr>
              <w:spacing w:after="0"/>
              <w:rPr>
                <w:sz w:val="5"/>
                <w:szCs w:val="5"/>
                <w:color w:val="auto"/>
              </w:rPr>
            </w:pPr>
          </w:p>
        </w:tc>
        <w:tc>
          <w:tcPr>
            <w:tcW w:w="860" w:type="dxa"/>
            <w:vAlign w:val="bottom"/>
            <w:vMerge w:val="continue"/>
            <w:shd w:val="clear" w:color="auto" w:fill="CFF0FC"/>
          </w:tcPr>
          <w:p>
            <w:pPr>
              <w:spacing w:after="0"/>
              <w:rPr>
                <w:sz w:val="5"/>
                <w:szCs w:val="5"/>
                <w:color w:val="auto"/>
              </w:rPr>
            </w:pPr>
          </w:p>
        </w:tc>
        <w:tc>
          <w:tcPr>
            <w:tcW w:w="1480" w:type="dxa"/>
            <w:vAlign w:val="bottom"/>
            <w:gridSpan w:val="2"/>
            <w:vMerge w:val="continue"/>
            <w:shd w:val="clear" w:color="auto" w:fill="CFF0FC"/>
          </w:tcPr>
          <w:p>
            <w:pPr>
              <w:spacing w:after="0"/>
              <w:rPr>
                <w:sz w:val="5"/>
                <w:szCs w:val="5"/>
                <w:color w:val="auto"/>
              </w:rPr>
            </w:pPr>
          </w:p>
        </w:tc>
        <w:tc>
          <w:tcPr>
            <w:tcW w:w="1460" w:type="dxa"/>
            <w:vAlign w:val="bottom"/>
            <w:gridSpan w:val="2"/>
            <w:vMerge w:val="continue"/>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34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60"/>
              <w:spacing w:after="0"/>
              <w:rPr>
                <w:sz w:val="20"/>
                <w:szCs w:val="20"/>
                <w:color w:val="auto"/>
              </w:rPr>
            </w:pPr>
            <w:r>
              <w:rPr>
                <w:rFonts w:ascii="Arial" w:cs="Arial" w:eastAsia="Arial" w:hAnsi="Arial"/>
                <w:sz w:val="12"/>
                <w:szCs w:val="12"/>
                <w:color w:val="auto"/>
              </w:rPr>
              <w:t>TVC Enterprises, LLC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03/26/2026</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6.75%</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8,558,226</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8,593,467</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8,558,226</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16.7</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TWS Acquisition Corporation</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06/16/2025</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7.25%</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6,636,062</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6,598,947</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6,636,062</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12.9</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2"/>
                <w:szCs w:val="12"/>
                <w:color w:val="auto"/>
              </w:rPr>
              <w:t>Diversified Financial Services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Global Holdings InterCo LLC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03/16/2026</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7.00%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3,967,531</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3,947,994</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3,947,694</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7.7</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20"/>
                <w:szCs w:val="20"/>
                <w:color w:val="auto"/>
              </w:rPr>
            </w:pPr>
            <w:r>
              <w:rPr>
                <w:rFonts w:ascii="Arial" w:cs="Arial" w:eastAsia="Arial" w:hAnsi="Arial"/>
                <w:sz w:val="12"/>
                <w:szCs w:val="12"/>
                <w:color w:val="auto"/>
              </w:rPr>
              <w:t>Electronic Equipment, Instruments, and Components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ECM Industries, LLC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12/23/2025</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5.50%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4,994,355</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4,994,355</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4,894,468</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9.5</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60"/>
              <w:spacing w:after="0"/>
              <w:rPr>
                <w:sz w:val="20"/>
                <w:szCs w:val="20"/>
                <w:color w:val="auto"/>
              </w:rPr>
            </w:pPr>
            <w:r>
              <w:rPr>
                <w:rFonts w:ascii="Arial" w:cs="Arial" w:eastAsia="Arial" w:hAnsi="Arial"/>
                <w:sz w:val="12"/>
                <w:szCs w:val="12"/>
                <w:color w:val="auto"/>
              </w:rPr>
              <w:t>Wildcat Buyerco, Inc.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02/27/2026</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6.00%</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5,705,549</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5,655,884</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5,678,016</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11.1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spacing w:after="0"/>
              <w:rPr>
                <w:sz w:val="20"/>
                <w:szCs w:val="20"/>
                <w:color w:val="auto"/>
              </w:rPr>
            </w:pPr>
            <w:r>
              <w:rPr>
                <w:rFonts w:ascii="Arial" w:cs="Arial" w:eastAsia="Arial" w:hAnsi="Arial"/>
                <w:sz w:val="12"/>
                <w:szCs w:val="12"/>
                <w:color w:val="auto"/>
              </w:rPr>
              <w:t>Healthcare and Pharmaceuticals</w:t>
            </w: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60"/>
              <w:spacing w:after="0"/>
              <w:rPr>
                <w:sz w:val="20"/>
                <w:szCs w:val="20"/>
                <w:color w:val="auto"/>
              </w:rPr>
            </w:pPr>
            <w:r>
              <w:rPr>
                <w:rFonts w:ascii="Arial" w:cs="Arial" w:eastAsia="Arial" w:hAnsi="Arial"/>
                <w:sz w:val="12"/>
                <w:szCs w:val="12"/>
                <w:color w:val="auto"/>
              </w:rPr>
              <w:t>Smile Brands Inc.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10/14/2024</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5.32%</w:t>
            </w:r>
          </w:p>
        </w:tc>
        <w:tc>
          <w:tcPr>
            <w:tcW w:w="440" w:type="dxa"/>
            <w:vAlign w:val="bottom"/>
          </w:tcPr>
          <w:p>
            <w:pPr>
              <w:spacing w:after="0"/>
              <w:rPr>
                <w:sz w:val="12"/>
                <w:szCs w:val="12"/>
                <w:color w:val="auto"/>
              </w:rPr>
            </w:pPr>
          </w:p>
        </w:tc>
        <w:tc>
          <w:tcPr>
            <w:tcW w:w="860" w:type="dxa"/>
            <w:vAlign w:val="bottom"/>
          </w:tcPr>
          <w:p>
            <w:pPr>
              <w:jc w:val="center"/>
              <w:ind w:left="42"/>
              <w:spacing w:after="0"/>
              <w:rPr>
                <w:sz w:val="20"/>
                <w:szCs w:val="20"/>
                <w:color w:val="auto"/>
              </w:rPr>
            </w:pPr>
            <w:r>
              <w:rPr>
                <w:rFonts w:ascii="Arial" w:cs="Arial" w:eastAsia="Arial" w:hAnsi="Arial"/>
                <w:sz w:val="12"/>
                <w:szCs w:val="12"/>
                <w:color w:val="auto"/>
                <w:w w:val="86"/>
              </w:rPr>
              <w:t>12,576,323</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12,458,672</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12,450,560</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24.3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Solutionreach, Inc.</w:t>
            </w:r>
          </w:p>
        </w:tc>
        <w:tc>
          <w:tcPr>
            <w:tcW w:w="9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01/17/2024</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342"/>
              <w:spacing w:after="0"/>
              <w:rPr>
                <w:sz w:val="20"/>
                <w:szCs w:val="20"/>
                <w:color w:val="auto"/>
              </w:rPr>
            </w:pPr>
            <w:r>
              <w:rPr>
                <w:rFonts w:ascii="Arial" w:cs="Arial" w:eastAsia="Arial" w:hAnsi="Arial"/>
                <w:sz w:val="12"/>
                <w:szCs w:val="12"/>
                <w:color w:val="auto"/>
              </w:rPr>
              <w:t>6.75%</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5,892,286</w:t>
            </w:r>
          </w:p>
        </w:tc>
        <w:tc>
          <w:tcPr>
            <w:tcW w:w="148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9"/>
              </w:rPr>
              <w:t>5,854,034</w:t>
            </w:r>
          </w:p>
        </w:tc>
        <w:tc>
          <w:tcPr>
            <w:tcW w:w="1460" w:type="dxa"/>
            <w:vAlign w:val="bottom"/>
            <w:gridSpan w:val="2"/>
            <w:shd w:val="clear" w:color="auto" w:fill="CFF0FC"/>
          </w:tcPr>
          <w:p>
            <w:pPr>
              <w:jc w:val="center"/>
              <w:ind w:left="662"/>
              <w:spacing w:after="0"/>
              <w:rPr>
                <w:sz w:val="20"/>
                <w:szCs w:val="20"/>
                <w:color w:val="auto"/>
              </w:rPr>
            </w:pPr>
            <w:r>
              <w:rPr>
                <w:rFonts w:ascii="Arial" w:cs="Arial" w:eastAsia="Arial" w:hAnsi="Arial"/>
                <w:sz w:val="12"/>
                <w:szCs w:val="12"/>
                <w:color w:val="auto"/>
                <w:w w:val="86"/>
              </w:rPr>
              <w:t>5,892,286</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11.5</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60"/>
              <w:spacing w:after="0"/>
              <w:rPr>
                <w:sz w:val="20"/>
                <w:szCs w:val="20"/>
                <w:color w:val="auto"/>
              </w:rPr>
            </w:pPr>
            <w:r>
              <w:rPr>
                <w:rFonts w:ascii="Arial" w:cs="Arial" w:eastAsia="Arial" w:hAnsi="Arial"/>
                <w:sz w:val="12"/>
                <w:szCs w:val="12"/>
                <w:color w:val="auto"/>
              </w:rPr>
              <w:t>Urology Management Associates, LLC</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08/30/2024</w:t>
            </w:r>
          </w:p>
        </w:tc>
        <w:tc>
          <w:tcPr>
            <w:tcW w:w="160" w:type="dxa"/>
            <w:vAlign w:val="bottom"/>
          </w:tcPr>
          <w:p>
            <w:pPr>
              <w:spacing w:after="0"/>
              <w:rPr>
                <w:sz w:val="12"/>
                <w:szCs w:val="12"/>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5.50%</w:t>
            </w:r>
          </w:p>
        </w:tc>
        <w:tc>
          <w:tcPr>
            <w:tcW w:w="440" w:type="dxa"/>
            <w:vAlign w:val="bottom"/>
          </w:tcPr>
          <w:p>
            <w:pPr>
              <w:spacing w:after="0"/>
              <w:rPr>
                <w:sz w:val="12"/>
                <w:szCs w:val="12"/>
                <w:color w:val="auto"/>
              </w:rPr>
            </w:pPr>
          </w:p>
        </w:tc>
        <w:tc>
          <w:tcPr>
            <w:tcW w:w="860" w:type="dxa"/>
            <w:vAlign w:val="bottom"/>
          </w:tcPr>
          <w:p>
            <w:pPr>
              <w:jc w:val="center"/>
              <w:ind w:left="42"/>
              <w:spacing w:after="0"/>
              <w:rPr>
                <w:sz w:val="20"/>
                <w:szCs w:val="20"/>
                <w:color w:val="auto"/>
              </w:rPr>
            </w:pPr>
            <w:r>
              <w:rPr>
                <w:rFonts w:ascii="Arial" w:cs="Arial" w:eastAsia="Arial" w:hAnsi="Arial"/>
                <w:sz w:val="12"/>
                <w:szCs w:val="12"/>
                <w:color w:val="auto"/>
                <w:w w:val="86"/>
              </w:rPr>
              <w:t>11,030,410</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10,848,799</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10,975,256</w:t>
            </w:r>
          </w:p>
        </w:tc>
        <w:tc>
          <w:tcPr>
            <w:tcW w:w="3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21.4</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FF0FC"/>
          </w:tcPr>
          <w:p>
            <w:pPr>
              <w:spacing w:after="0"/>
              <w:rPr>
                <w:sz w:val="20"/>
                <w:szCs w:val="20"/>
                <w:color w:val="auto"/>
              </w:rPr>
            </w:pPr>
            <w:r>
              <w:rPr>
                <w:rFonts w:ascii="Arial" w:cs="Arial" w:eastAsia="Arial" w:hAnsi="Arial"/>
                <w:sz w:val="12"/>
                <w:szCs w:val="12"/>
                <w:color w:val="auto"/>
              </w:rPr>
              <w:t>Healthcare, Education &amp; Childcare</w:t>
            </w: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700" w:type="dxa"/>
            <w:vAlign w:val="bottom"/>
          </w:tcPr>
          <w:p>
            <w:pPr>
              <w:ind w:left="260"/>
              <w:spacing w:after="0"/>
              <w:rPr>
                <w:sz w:val="20"/>
                <w:szCs w:val="20"/>
                <w:color w:val="auto"/>
              </w:rPr>
            </w:pPr>
            <w:r>
              <w:rPr>
                <w:rFonts w:ascii="Arial" w:cs="Arial" w:eastAsia="Arial" w:hAnsi="Arial"/>
                <w:sz w:val="12"/>
                <w:szCs w:val="12"/>
                <w:color w:val="auto"/>
              </w:rPr>
              <w:t>Cano Health</w:t>
            </w:r>
          </w:p>
        </w:tc>
        <w:tc>
          <w:tcPr>
            <w:tcW w:w="900" w:type="dxa"/>
            <w:vAlign w:val="bottom"/>
          </w:tcPr>
          <w:p>
            <w:pPr>
              <w:jc w:val="center"/>
              <w:spacing w:after="0"/>
              <w:rPr>
                <w:sz w:val="20"/>
                <w:szCs w:val="20"/>
                <w:color w:val="auto"/>
              </w:rPr>
            </w:pPr>
            <w:r>
              <w:rPr>
                <w:rFonts w:ascii="Arial" w:cs="Arial" w:eastAsia="Arial" w:hAnsi="Arial"/>
                <w:sz w:val="12"/>
                <w:szCs w:val="12"/>
                <w:color w:val="auto"/>
                <w:w w:val="86"/>
              </w:rPr>
              <w:t>11/23/2027</w:t>
            </w:r>
          </w:p>
        </w:tc>
        <w:tc>
          <w:tcPr>
            <w:tcW w:w="160" w:type="dxa"/>
            <w:vAlign w:val="bottom"/>
          </w:tcPr>
          <w:p>
            <w:pPr>
              <w:spacing w:after="0"/>
              <w:rPr>
                <w:sz w:val="13"/>
                <w:szCs w:val="13"/>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color w:val="auto"/>
              </w:rPr>
              <w:t>5.25%</w:t>
            </w:r>
          </w:p>
        </w:tc>
        <w:tc>
          <w:tcPr>
            <w:tcW w:w="440" w:type="dxa"/>
            <w:vAlign w:val="bottom"/>
          </w:tcPr>
          <w:p>
            <w:pPr>
              <w:spacing w:after="0"/>
              <w:rPr>
                <w:sz w:val="13"/>
                <w:szCs w:val="13"/>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2,653,333</w:t>
            </w:r>
          </w:p>
        </w:tc>
        <w:tc>
          <w:tcPr>
            <w:tcW w:w="1480" w:type="dxa"/>
            <w:vAlign w:val="bottom"/>
            <w:gridSpan w:val="2"/>
          </w:tcPr>
          <w:p>
            <w:pPr>
              <w:jc w:val="center"/>
              <w:ind w:left="662"/>
              <w:spacing w:after="0"/>
              <w:rPr>
                <w:sz w:val="20"/>
                <w:szCs w:val="20"/>
                <w:color w:val="auto"/>
              </w:rPr>
            </w:pPr>
            <w:r>
              <w:rPr>
                <w:rFonts w:ascii="Arial" w:cs="Arial" w:eastAsia="Arial" w:hAnsi="Arial"/>
                <w:sz w:val="12"/>
                <w:szCs w:val="12"/>
                <w:color w:val="auto"/>
                <w:w w:val="89"/>
              </w:rPr>
              <w:t>2,646,700</w:t>
            </w:r>
          </w:p>
        </w:tc>
        <w:tc>
          <w:tcPr>
            <w:tcW w:w="1460" w:type="dxa"/>
            <w:vAlign w:val="bottom"/>
            <w:gridSpan w:val="2"/>
          </w:tcPr>
          <w:p>
            <w:pPr>
              <w:jc w:val="center"/>
              <w:ind w:left="662"/>
              <w:spacing w:after="0"/>
              <w:rPr>
                <w:sz w:val="20"/>
                <w:szCs w:val="20"/>
                <w:color w:val="auto"/>
              </w:rPr>
            </w:pPr>
            <w:r>
              <w:rPr>
                <w:rFonts w:ascii="Arial" w:cs="Arial" w:eastAsia="Arial" w:hAnsi="Arial"/>
                <w:sz w:val="12"/>
                <w:szCs w:val="12"/>
                <w:color w:val="auto"/>
                <w:w w:val="86"/>
              </w:rPr>
              <w:t>2,654,448</w:t>
            </w:r>
          </w:p>
        </w:tc>
        <w:tc>
          <w:tcPr>
            <w:tcW w:w="36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5.2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Fair Value as a</w:t>
            </w:r>
          </w:p>
        </w:tc>
        <w:tc>
          <w:tcPr>
            <w:tcW w:w="0" w:type="dxa"/>
            <w:vAlign w:val="bottom"/>
          </w:tcPr>
          <w:p>
            <w:pPr>
              <w:spacing w:after="0"/>
              <w:rPr>
                <w:sz w:val="1"/>
                <w:szCs w:val="1"/>
                <w:color w:val="auto"/>
              </w:rPr>
            </w:pPr>
          </w:p>
        </w:tc>
      </w:tr>
      <w:tr>
        <w:trPr>
          <w:trHeight w:val="126"/>
        </w:trPr>
        <w:tc>
          <w:tcPr>
            <w:tcW w:w="3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460"/>
              <w:spacing w:after="0" w:line="126" w:lineRule="exact"/>
              <w:rPr>
                <w:sz w:val="20"/>
                <w:szCs w:val="20"/>
                <w:color w:val="auto"/>
              </w:rPr>
            </w:pPr>
            <w:r>
              <w:rPr>
                <w:rFonts w:ascii="Arial" w:cs="Arial" w:eastAsia="Arial" w:hAnsi="Arial"/>
                <w:sz w:val="12"/>
                <w:szCs w:val="12"/>
                <w:b w:val="1"/>
                <w:bCs w:val="1"/>
                <w:color w:val="auto"/>
                <w:w w:val="92"/>
              </w:rPr>
              <w:t>Current</w:t>
            </w:r>
          </w:p>
        </w:tc>
        <w:tc>
          <w:tcPr>
            <w:tcW w:w="8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gridSpan w:val="2"/>
          </w:tcPr>
          <w:p>
            <w:pPr>
              <w:jc w:val="center"/>
              <w:spacing w:after="0" w:line="126" w:lineRule="exact"/>
              <w:rPr>
                <w:sz w:val="20"/>
                <w:szCs w:val="20"/>
                <w:color w:val="auto"/>
              </w:rPr>
            </w:pPr>
            <w:r>
              <w:rPr>
                <w:rFonts w:ascii="Arial" w:cs="Arial" w:eastAsia="Arial" w:hAnsi="Arial"/>
                <w:sz w:val="12"/>
                <w:szCs w:val="12"/>
                <w:b w:val="1"/>
                <w:bCs w:val="1"/>
                <w:color w:val="auto"/>
                <w:w w:val="85"/>
              </w:rPr>
              <w:t>Percentage of</w:t>
            </w:r>
          </w:p>
        </w:tc>
        <w:tc>
          <w:tcPr>
            <w:tcW w:w="0" w:type="dxa"/>
            <w:vAlign w:val="bottom"/>
          </w:tcPr>
          <w:p>
            <w:pPr>
              <w:spacing w:after="0"/>
              <w:rPr>
                <w:sz w:val="1"/>
                <w:szCs w:val="1"/>
                <w:color w:val="auto"/>
              </w:rPr>
            </w:pPr>
          </w:p>
        </w:tc>
      </w:tr>
      <w:tr>
        <w:trPr>
          <w:trHeight w:val="153"/>
        </w:trPr>
        <w:tc>
          <w:tcPr>
            <w:tcW w:w="3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gridSpan w:val="2"/>
          </w:tcPr>
          <w:p>
            <w:pPr>
              <w:ind w:left="220"/>
              <w:spacing w:after="0"/>
              <w:rPr>
                <w:sz w:val="20"/>
                <w:szCs w:val="20"/>
                <w:color w:val="auto"/>
              </w:rPr>
            </w:pPr>
            <w:r>
              <w:rPr>
                <w:rFonts w:ascii="Arial" w:cs="Arial" w:eastAsia="Arial" w:hAnsi="Arial"/>
                <w:sz w:val="12"/>
                <w:szCs w:val="12"/>
                <w:b w:val="1"/>
                <w:bCs w:val="1"/>
                <w:color w:val="auto"/>
              </w:rPr>
              <w:t>Maturity</w:t>
            </w:r>
          </w:p>
        </w:tc>
        <w:tc>
          <w:tcPr>
            <w:tcW w:w="1260" w:type="dxa"/>
            <w:vAlign w:val="bottom"/>
            <w:gridSpan w:val="2"/>
          </w:tcPr>
          <w:p>
            <w:pPr>
              <w:jc w:val="center"/>
              <w:ind w:right="440"/>
              <w:spacing w:after="0" w:line="153" w:lineRule="exact"/>
              <w:rPr>
                <w:sz w:val="20"/>
                <w:szCs w:val="20"/>
                <w:color w:val="auto"/>
              </w:rPr>
            </w:pPr>
            <w:r>
              <w:rPr>
                <w:rFonts w:ascii="Arial" w:cs="Arial" w:eastAsia="Arial" w:hAnsi="Arial"/>
                <w:sz w:val="11"/>
                <w:szCs w:val="11"/>
                <w:b w:val="1"/>
                <w:bCs w:val="1"/>
                <w:color w:val="auto"/>
                <w:w w:val="92"/>
              </w:rPr>
              <w:t xml:space="preserve">Coupon </w:t>
            </w:r>
            <w:r>
              <w:rPr>
                <w:rFonts w:ascii="Arial" w:cs="Arial" w:eastAsia="Arial" w:hAnsi="Arial"/>
                <w:sz w:val="17"/>
                <w:szCs w:val="17"/>
                <w:b w:val="1"/>
                <w:bCs w:val="1"/>
                <w:color w:val="auto"/>
                <w:w w:val="92"/>
                <w:vertAlign w:val="superscript"/>
              </w:rPr>
              <w:t>(1)</w:t>
            </w:r>
          </w:p>
        </w:tc>
        <w:tc>
          <w:tcPr>
            <w:tcW w:w="860" w:type="dxa"/>
            <w:vAlign w:val="bottom"/>
          </w:tcPr>
          <w:p>
            <w:pPr>
              <w:jc w:val="right"/>
              <w:ind w:right="282"/>
              <w:spacing w:after="0"/>
              <w:rPr>
                <w:sz w:val="20"/>
                <w:szCs w:val="20"/>
                <w:color w:val="auto"/>
              </w:rPr>
            </w:pPr>
            <w:r>
              <w:rPr>
                <w:rFonts w:ascii="Arial" w:cs="Arial" w:eastAsia="Arial" w:hAnsi="Arial"/>
                <w:sz w:val="12"/>
                <w:szCs w:val="12"/>
                <w:b w:val="1"/>
                <w:bCs w:val="1"/>
                <w:color w:val="auto"/>
              </w:rPr>
              <w:t>Par</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262"/>
              <w:spacing w:after="0"/>
              <w:rPr>
                <w:sz w:val="20"/>
                <w:szCs w:val="20"/>
                <w:color w:val="auto"/>
              </w:rPr>
            </w:pPr>
            <w:r>
              <w:rPr>
                <w:rFonts w:ascii="Arial" w:cs="Arial" w:eastAsia="Arial" w:hAnsi="Arial"/>
                <w:sz w:val="12"/>
                <w:szCs w:val="12"/>
                <w:b w:val="1"/>
                <w:bCs w:val="1"/>
                <w:color w:val="auto"/>
              </w:rPr>
              <w:t>Cost</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w w:val="97"/>
              </w:rPr>
              <w:t>Fair Value</w:t>
            </w:r>
          </w:p>
        </w:tc>
        <w:tc>
          <w:tcPr>
            <w:tcW w:w="1060" w:type="dxa"/>
            <w:vAlign w:val="bottom"/>
            <w:gridSpan w:val="2"/>
          </w:tcPr>
          <w:p>
            <w:pPr>
              <w:jc w:val="center"/>
              <w:spacing w:after="0" w:line="153" w:lineRule="exact"/>
              <w:rPr>
                <w:sz w:val="20"/>
                <w:szCs w:val="20"/>
                <w:color w:val="auto"/>
              </w:rPr>
            </w:pPr>
            <w:r>
              <w:rPr>
                <w:rFonts w:ascii="Arial" w:cs="Arial" w:eastAsia="Arial" w:hAnsi="Arial"/>
                <w:sz w:val="11"/>
                <w:szCs w:val="11"/>
                <w:b w:val="1"/>
                <w:bCs w:val="1"/>
                <w:color w:val="auto"/>
                <w:w w:val="97"/>
              </w:rPr>
              <w:t xml:space="preserve">Members’ Equity </w:t>
            </w:r>
            <w:r>
              <w:rPr>
                <w:rFonts w:ascii="Arial" w:cs="Arial" w:eastAsia="Arial" w:hAnsi="Arial"/>
                <w:sz w:val="17"/>
                <w:szCs w:val="17"/>
                <w:b w:val="1"/>
                <w:bCs w:val="1"/>
                <w:color w:val="auto"/>
                <w:w w:val="97"/>
                <w:vertAlign w:val="superscript"/>
              </w:rPr>
              <w:t>(2)</w:t>
            </w:r>
          </w:p>
        </w:tc>
        <w:tc>
          <w:tcPr>
            <w:tcW w:w="0" w:type="dxa"/>
            <w:vAlign w:val="bottom"/>
          </w:tcPr>
          <w:p>
            <w:pPr>
              <w:spacing w:after="0"/>
              <w:rPr>
                <w:sz w:val="1"/>
                <w:szCs w:val="1"/>
                <w:color w:val="auto"/>
              </w:rPr>
            </w:pPr>
          </w:p>
        </w:tc>
      </w:tr>
      <w:tr>
        <w:trPr>
          <w:trHeight w:val="142"/>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Healthcare Providers and Services</w:t>
            </w:r>
          </w:p>
        </w:tc>
        <w:tc>
          <w:tcPr>
            <w:tcW w:w="40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60"/>
              <w:spacing w:after="0"/>
              <w:rPr>
                <w:sz w:val="20"/>
                <w:szCs w:val="20"/>
                <w:color w:val="auto"/>
              </w:rPr>
            </w:pPr>
            <w:r>
              <w:rPr>
                <w:rFonts w:ascii="Arial" w:cs="Arial" w:eastAsia="Arial" w:hAnsi="Arial"/>
                <w:sz w:val="12"/>
                <w:szCs w:val="12"/>
                <w:color w:val="auto"/>
              </w:rPr>
              <w:t>Lightspeed Buyer Inc.</w:t>
            </w:r>
          </w:p>
        </w:tc>
        <w:tc>
          <w:tcPr>
            <w:tcW w:w="1300" w:type="dxa"/>
            <w:vAlign w:val="bottom"/>
            <w:gridSpan w:val="2"/>
          </w:tcPr>
          <w:p>
            <w:pPr>
              <w:jc w:val="center"/>
              <w:ind w:left="322"/>
              <w:spacing w:after="0"/>
              <w:rPr>
                <w:sz w:val="20"/>
                <w:szCs w:val="20"/>
                <w:color w:val="auto"/>
              </w:rPr>
            </w:pPr>
            <w:r>
              <w:rPr>
                <w:rFonts w:ascii="Arial" w:cs="Arial" w:eastAsia="Arial" w:hAnsi="Arial"/>
                <w:sz w:val="12"/>
                <w:szCs w:val="12"/>
                <w:color w:val="auto"/>
                <w:w w:val="89"/>
              </w:rPr>
              <w:t>02/3/2026</w:t>
            </w:r>
          </w:p>
        </w:tc>
        <w:tc>
          <w:tcPr>
            <w:tcW w:w="160" w:type="dxa"/>
            <w:vAlign w:val="bottom"/>
          </w:tcPr>
          <w:p>
            <w:pPr>
              <w:spacing w:after="0"/>
              <w:rPr>
                <w:sz w:val="12"/>
                <w:szCs w:val="12"/>
                <w:color w:val="auto"/>
              </w:rPr>
            </w:pPr>
          </w:p>
        </w:tc>
        <w:tc>
          <w:tcPr>
            <w:tcW w:w="820" w:type="dxa"/>
            <w:vAlign w:val="bottom"/>
          </w:tcPr>
          <w:p>
            <w:pPr>
              <w:jc w:val="center"/>
              <w:ind w:right="222"/>
              <w:spacing w:after="0"/>
              <w:rPr>
                <w:sz w:val="20"/>
                <w:szCs w:val="20"/>
                <w:color w:val="auto"/>
              </w:rPr>
            </w:pPr>
            <w:r>
              <w:rPr>
                <w:rFonts w:ascii="Arial" w:cs="Arial" w:eastAsia="Arial" w:hAnsi="Arial"/>
                <w:sz w:val="12"/>
                <w:szCs w:val="12"/>
                <w:color w:val="auto"/>
                <w:w w:val="88"/>
              </w:rPr>
              <w:t>6.75%</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5,706,549</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5,605,574</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tcPr>
          <w:p>
            <w:pPr>
              <w:jc w:val="center"/>
              <w:spacing w:after="0"/>
              <w:rPr>
                <w:sz w:val="20"/>
                <w:szCs w:val="20"/>
                <w:color w:val="auto"/>
              </w:rPr>
            </w:pPr>
            <w:r>
              <w:rPr>
                <w:rFonts w:ascii="Arial" w:cs="Arial" w:eastAsia="Arial" w:hAnsi="Arial"/>
                <w:sz w:val="12"/>
                <w:szCs w:val="12"/>
                <w:color w:val="auto"/>
                <w:w w:val="86"/>
              </w:rPr>
              <w:t>5,706,549</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11.1</w:t>
            </w:r>
          </w:p>
        </w:tc>
        <w:tc>
          <w:tcPr>
            <w:tcW w:w="4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Healthcare, Education &amp; Culture</w:t>
            </w:r>
          </w:p>
        </w:tc>
        <w:tc>
          <w:tcPr>
            <w:tcW w:w="4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ind w:left="260"/>
              <w:spacing w:after="0"/>
              <w:rPr>
                <w:sz w:val="20"/>
                <w:szCs w:val="20"/>
                <w:color w:val="auto"/>
              </w:rPr>
            </w:pPr>
            <w:r>
              <w:rPr>
                <w:rFonts w:ascii="Arial" w:cs="Arial" w:eastAsia="Arial" w:hAnsi="Arial"/>
                <w:sz w:val="12"/>
                <w:szCs w:val="12"/>
                <w:color w:val="auto"/>
              </w:rPr>
              <w:t>NBH Group LLC</w:t>
            </w:r>
          </w:p>
        </w:tc>
        <w:tc>
          <w:tcPr>
            <w:tcW w:w="1300" w:type="dxa"/>
            <w:vAlign w:val="bottom"/>
            <w:gridSpan w:val="2"/>
          </w:tcPr>
          <w:p>
            <w:pPr>
              <w:jc w:val="center"/>
              <w:ind w:left="342"/>
              <w:spacing w:after="0"/>
              <w:rPr>
                <w:sz w:val="20"/>
                <w:szCs w:val="20"/>
                <w:color w:val="auto"/>
              </w:rPr>
            </w:pPr>
            <w:r>
              <w:rPr>
                <w:rFonts w:ascii="Arial" w:cs="Arial" w:eastAsia="Arial" w:hAnsi="Arial"/>
                <w:sz w:val="12"/>
                <w:szCs w:val="12"/>
                <w:color w:val="auto"/>
                <w:w w:val="89"/>
              </w:rPr>
              <w:t>08/19/2026</w:t>
            </w:r>
          </w:p>
        </w:tc>
        <w:tc>
          <w:tcPr>
            <w:tcW w:w="160" w:type="dxa"/>
            <w:vAlign w:val="bottom"/>
          </w:tcPr>
          <w:p>
            <w:pPr>
              <w:spacing w:after="0"/>
              <w:rPr>
                <w:sz w:val="12"/>
                <w:szCs w:val="12"/>
                <w:color w:val="auto"/>
              </w:rPr>
            </w:pPr>
          </w:p>
        </w:tc>
        <w:tc>
          <w:tcPr>
            <w:tcW w:w="820" w:type="dxa"/>
            <w:vAlign w:val="bottom"/>
          </w:tcPr>
          <w:p>
            <w:pPr>
              <w:jc w:val="center"/>
              <w:ind w:right="222"/>
              <w:spacing w:after="0"/>
              <w:rPr>
                <w:sz w:val="20"/>
                <w:szCs w:val="20"/>
                <w:color w:val="auto"/>
              </w:rPr>
            </w:pPr>
            <w:r>
              <w:rPr>
                <w:rFonts w:ascii="Arial" w:cs="Arial" w:eastAsia="Arial" w:hAnsi="Arial"/>
                <w:sz w:val="12"/>
                <w:szCs w:val="12"/>
                <w:color w:val="auto"/>
                <w:w w:val="88"/>
              </w:rPr>
              <w:t>6.50%</w:t>
            </w:r>
          </w:p>
        </w:tc>
        <w:tc>
          <w:tcPr>
            <w:tcW w:w="440" w:type="dxa"/>
            <w:vAlign w:val="bottom"/>
          </w:tcPr>
          <w:p>
            <w:pPr>
              <w:spacing w:after="0"/>
              <w:rPr>
                <w:sz w:val="12"/>
                <w:szCs w:val="12"/>
                <w:color w:val="auto"/>
              </w:rPr>
            </w:pPr>
          </w:p>
        </w:tc>
        <w:tc>
          <w:tcPr>
            <w:tcW w:w="860" w:type="dxa"/>
            <w:vAlign w:val="bottom"/>
          </w:tcPr>
          <w:p>
            <w:pPr>
              <w:jc w:val="center"/>
              <w:ind w:left="42"/>
              <w:spacing w:after="0"/>
              <w:rPr>
                <w:sz w:val="20"/>
                <w:szCs w:val="20"/>
                <w:color w:val="auto"/>
              </w:rPr>
            </w:pPr>
            <w:r>
              <w:rPr>
                <w:rFonts w:ascii="Arial" w:cs="Arial" w:eastAsia="Arial" w:hAnsi="Arial"/>
                <w:sz w:val="12"/>
                <w:szCs w:val="12"/>
                <w:color w:val="auto"/>
                <w:w w:val="86"/>
              </w:rPr>
              <w:t>10,901,830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10,687,200</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10,683,794</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20.8</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Healthcare Equipment and Supplies</w:t>
            </w:r>
          </w:p>
        </w:tc>
        <w:tc>
          <w:tcPr>
            <w:tcW w:w="4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60"/>
              <w:spacing w:after="0"/>
              <w:rPr>
                <w:sz w:val="20"/>
                <w:szCs w:val="20"/>
                <w:color w:val="auto"/>
              </w:rPr>
            </w:pPr>
            <w:r>
              <w:rPr>
                <w:rFonts w:ascii="Arial" w:cs="Arial" w:eastAsia="Arial" w:hAnsi="Arial"/>
                <w:sz w:val="12"/>
                <w:szCs w:val="12"/>
                <w:color w:val="auto"/>
              </w:rPr>
              <w:t>OIS Management Services LLC</w:t>
            </w:r>
          </w:p>
        </w:tc>
        <w:tc>
          <w:tcPr>
            <w:tcW w:w="1300" w:type="dxa"/>
            <w:vAlign w:val="bottom"/>
            <w:gridSpan w:val="2"/>
          </w:tcPr>
          <w:p>
            <w:pPr>
              <w:jc w:val="center"/>
              <w:ind w:left="342"/>
              <w:spacing w:after="0"/>
              <w:rPr>
                <w:sz w:val="20"/>
                <w:szCs w:val="20"/>
                <w:color w:val="auto"/>
              </w:rPr>
            </w:pPr>
            <w:r>
              <w:rPr>
                <w:rFonts w:ascii="Arial" w:cs="Arial" w:eastAsia="Arial" w:hAnsi="Arial"/>
                <w:sz w:val="12"/>
                <w:szCs w:val="12"/>
                <w:color w:val="auto"/>
                <w:w w:val="89"/>
              </w:rPr>
              <w:t>07/09/2026</w:t>
            </w:r>
          </w:p>
        </w:tc>
        <w:tc>
          <w:tcPr>
            <w:tcW w:w="160" w:type="dxa"/>
            <w:vAlign w:val="bottom"/>
          </w:tcPr>
          <w:p>
            <w:pPr>
              <w:spacing w:after="0"/>
              <w:rPr>
                <w:sz w:val="12"/>
                <w:szCs w:val="12"/>
                <w:color w:val="auto"/>
              </w:rPr>
            </w:pPr>
          </w:p>
        </w:tc>
        <w:tc>
          <w:tcPr>
            <w:tcW w:w="820" w:type="dxa"/>
            <w:vAlign w:val="bottom"/>
          </w:tcPr>
          <w:p>
            <w:pPr>
              <w:jc w:val="center"/>
              <w:ind w:right="222"/>
              <w:spacing w:after="0"/>
              <w:rPr>
                <w:sz w:val="20"/>
                <w:szCs w:val="20"/>
                <w:color w:val="auto"/>
              </w:rPr>
            </w:pPr>
            <w:r>
              <w:rPr>
                <w:rFonts w:ascii="Arial" w:cs="Arial" w:eastAsia="Arial" w:hAnsi="Arial"/>
                <w:sz w:val="12"/>
                <w:szCs w:val="12"/>
                <w:color w:val="auto"/>
                <w:w w:val="88"/>
              </w:rPr>
              <w:t>5.75%</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1,995,000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1,965,911</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6"/>
              </w:rPr>
              <w:t>1,965,075</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3.8</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High Tech Industries</w:t>
            </w:r>
          </w:p>
        </w:tc>
        <w:tc>
          <w:tcPr>
            <w:tcW w:w="4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60"/>
              <w:spacing w:after="0"/>
              <w:rPr>
                <w:sz w:val="20"/>
                <w:szCs w:val="20"/>
                <w:color w:val="auto"/>
              </w:rPr>
            </w:pPr>
            <w:r>
              <w:rPr>
                <w:rFonts w:ascii="Arial" w:cs="Arial" w:eastAsia="Arial" w:hAnsi="Arial"/>
                <w:sz w:val="12"/>
                <w:szCs w:val="12"/>
                <w:color w:val="auto"/>
              </w:rPr>
              <w:t>By Light Professional IT Services, LLC</w:t>
            </w:r>
          </w:p>
        </w:tc>
        <w:tc>
          <w:tcPr>
            <w:tcW w:w="1300" w:type="dxa"/>
            <w:vAlign w:val="bottom"/>
            <w:gridSpan w:val="2"/>
          </w:tcPr>
          <w:p>
            <w:pPr>
              <w:jc w:val="center"/>
              <w:ind w:left="342"/>
              <w:spacing w:after="0"/>
              <w:rPr>
                <w:sz w:val="20"/>
                <w:szCs w:val="20"/>
                <w:color w:val="auto"/>
              </w:rPr>
            </w:pPr>
            <w:r>
              <w:rPr>
                <w:rFonts w:ascii="Arial" w:cs="Arial" w:eastAsia="Arial" w:hAnsi="Arial"/>
                <w:sz w:val="12"/>
                <w:szCs w:val="12"/>
                <w:color w:val="auto"/>
                <w:w w:val="89"/>
              </w:rPr>
              <w:t>05/16/2022</w:t>
            </w:r>
          </w:p>
        </w:tc>
        <w:tc>
          <w:tcPr>
            <w:tcW w:w="160" w:type="dxa"/>
            <w:vAlign w:val="bottom"/>
          </w:tcPr>
          <w:p>
            <w:pPr>
              <w:spacing w:after="0"/>
              <w:rPr>
                <w:sz w:val="12"/>
                <w:szCs w:val="12"/>
                <w:color w:val="auto"/>
              </w:rPr>
            </w:pPr>
          </w:p>
        </w:tc>
        <w:tc>
          <w:tcPr>
            <w:tcW w:w="820" w:type="dxa"/>
            <w:vAlign w:val="bottom"/>
          </w:tcPr>
          <w:p>
            <w:pPr>
              <w:jc w:val="center"/>
              <w:ind w:right="222"/>
              <w:spacing w:after="0"/>
              <w:rPr>
                <w:sz w:val="20"/>
                <w:szCs w:val="20"/>
                <w:color w:val="auto"/>
              </w:rPr>
            </w:pPr>
            <w:r>
              <w:rPr>
                <w:rFonts w:ascii="Arial" w:cs="Arial" w:eastAsia="Arial" w:hAnsi="Arial"/>
                <w:sz w:val="12"/>
                <w:szCs w:val="12"/>
                <w:color w:val="auto"/>
                <w:w w:val="88"/>
              </w:rPr>
              <w:t>7.25%</w:t>
            </w:r>
          </w:p>
        </w:tc>
        <w:tc>
          <w:tcPr>
            <w:tcW w:w="440" w:type="dxa"/>
            <w:vAlign w:val="bottom"/>
          </w:tcPr>
          <w:p>
            <w:pPr>
              <w:spacing w:after="0"/>
              <w:rPr>
                <w:sz w:val="12"/>
                <w:szCs w:val="12"/>
                <w:color w:val="auto"/>
              </w:rPr>
            </w:pPr>
          </w:p>
        </w:tc>
        <w:tc>
          <w:tcPr>
            <w:tcW w:w="860" w:type="dxa"/>
            <w:vAlign w:val="bottom"/>
          </w:tcPr>
          <w:p>
            <w:pPr>
              <w:jc w:val="center"/>
              <w:ind w:left="42"/>
              <w:spacing w:after="0"/>
              <w:rPr>
                <w:sz w:val="20"/>
                <w:szCs w:val="20"/>
                <w:color w:val="auto"/>
              </w:rPr>
            </w:pPr>
            <w:r>
              <w:rPr>
                <w:rFonts w:ascii="Arial" w:cs="Arial" w:eastAsia="Arial" w:hAnsi="Arial"/>
                <w:sz w:val="12"/>
                <w:szCs w:val="12"/>
                <w:color w:val="auto"/>
                <w:w w:val="86"/>
              </w:rPr>
              <w:t>12,879,690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12,868,714</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12,879,690</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25.1</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Hotels, Restaurants and Leisure</w:t>
            </w:r>
          </w:p>
        </w:tc>
        <w:tc>
          <w:tcPr>
            <w:tcW w:w="4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ind w:left="260"/>
              <w:spacing w:after="0"/>
              <w:rPr>
                <w:sz w:val="20"/>
                <w:szCs w:val="20"/>
                <w:color w:val="auto"/>
              </w:rPr>
            </w:pPr>
            <w:r>
              <w:rPr>
                <w:rFonts w:ascii="Arial" w:cs="Arial" w:eastAsia="Arial" w:hAnsi="Arial"/>
                <w:sz w:val="12"/>
                <w:szCs w:val="12"/>
                <w:color w:val="auto"/>
              </w:rPr>
              <w:t>East Valley Tourist Development Authority</w:t>
            </w:r>
          </w:p>
        </w:tc>
        <w:tc>
          <w:tcPr>
            <w:tcW w:w="1300" w:type="dxa"/>
            <w:vAlign w:val="bottom"/>
            <w:gridSpan w:val="2"/>
          </w:tcPr>
          <w:p>
            <w:pPr>
              <w:jc w:val="center"/>
              <w:ind w:left="342"/>
              <w:spacing w:after="0"/>
              <w:rPr>
                <w:sz w:val="20"/>
                <w:szCs w:val="20"/>
                <w:color w:val="auto"/>
              </w:rPr>
            </w:pPr>
            <w:r>
              <w:rPr>
                <w:rFonts w:ascii="Arial" w:cs="Arial" w:eastAsia="Arial" w:hAnsi="Arial"/>
                <w:sz w:val="12"/>
                <w:szCs w:val="12"/>
                <w:color w:val="auto"/>
                <w:w w:val="89"/>
              </w:rPr>
              <w:t>03/07/2022</w:t>
            </w:r>
          </w:p>
        </w:tc>
        <w:tc>
          <w:tcPr>
            <w:tcW w:w="160" w:type="dxa"/>
            <w:vAlign w:val="bottom"/>
          </w:tcPr>
          <w:p>
            <w:pPr>
              <w:spacing w:after="0"/>
              <w:rPr>
                <w:sz w:val="12"/>
                <w:szCs w:val="12"/>
                <w:color w:val="auto"/>
              </w:rPr>
            </w:pPr>
          </w:p>
        </w:tc>
        <w:tc>
          <w:tcPr>
            <w:tcW w:w="820" w:type="dxa"/>
            <w:vAlign w:val="bottom"/>
          </w:tcPr>
          <w:p>
            <w:pPr>
              <w:jc w:val="center"/>
              <w:ind w:right="222"/>
              <w:spacing w:after="0"/>
              <w:rPr>
                <w:sz w:val="20"/>
                <w:szCs w:val="20"/>
                <w:color w:val="auto"/>
              </w:rPr>
            </w:pPr>
            <w:r>
              <w:rPr>
                <w:rFonts w:ascii="Arial" w:cs="Arial" w:eastAsia="Arial" w:hAnsi="Arial"/>
                <w:sz w:val="12"/>
                <w:szCs w:val="12"/>
                <w:color w:val="auto"/>
                <w:w w:val="88"/>
              </w:rPr>
              <w:t>9.00%</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5,719,009</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5,624,041</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6"/>
              </w:rPr>
              <w:t>5,633,224</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11.0</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ECL Entertainment, LLC</w:t>
            </w:r>
          </w:p>
        </w:tc>
        <w:tc>
          <w:tcPr>
            <w:tcW w:w="1300" w:type="dxa"/>
            <w:vAlign w:val="bottom"/>
            <w:gridSpan w:val="2"/>
            <w:shd w:val="clear" w:color="auto" w:fill="CFF0FC"/>
          </w:tcPr>
          <w:p>
            <w:pPr>
              <w:jc w:val="center"/>
              <w:ind w:left="342"/>
              <w:spacing w:after="0"/>
              <w:rPr>
                <w:sz w:val="20"/>
                <w:szCs w:val="20"/>
                <w:color w:val="auto"/>
              </w:rPr>
            </w:pPr>
            <w:r>
              <w:rPr>
                <w:rFonts w:ascii="Arial" w:cs="Arial" w:eastAsia="Arial" w:hAnsi="Arial"/>
                <w:sz w:val="12"/>
                <w:szCs w:val="12"/>
                <w:color w:val="auto"/>
                <w:w w:val="88"/>
              </w:rPr>
              <w:t>03/312028</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center"/>
              <w:ind w:right="222"/>
              <w:spacing w:after="0"/>
              <w:rPr>
                <w:sz w:val="20"/>
                <w:szCs w:val="20"/>
                <w:color w:val="auto"/>
              </w:rPr>
            </w:pPr>
            <w:r>
              <w:rPr>
                <w:rFonts w:ascii="Arial" w:cs="Arial" w:eastAsia="Arial" w:hAnsi="Arial"/>
                <w:sz w:val="12"/>
                <w:szCs w:val="12"/>
                <w:color w:val="auto"/>
                <w:w w:val="88"/>
              </w:rPr>
              <w:t>8.25%</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2,647,212</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2,621,341</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2,706,774</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60"/>
              <w:spacing w:after="0"/>
              <w:rPr>
                <w:sz w:val="20"/>
                <w:szCs w:val="20"/>
                <w:color w:val="auto"/>
              </w:rPr>
            </w:pPr>
            <w:r>
              <w:rPr>
                <w:rFonts w:ascii="Arial" w:cs="Arial" w:eastAsia="Arial" w:hAnsi="Arial"/>
                <w:sz w:val="12"/>
                <w:szCs w:val="12"/>
                <w:color w:val="auto"/>
              </w:rPr>
              <w:t>Spectacle Gary Holdings, LLC</w:t>
            </w:r>
          </w:p>
        </w:tc>
        <w:tc>
          <w:tcPr>
            <w:tcW w:w="1300" w:type="dxa"/>
            <w:vAlign w:val="bottom"/>
            <w:gridSpan w:val="2"/>
          </w:tcPr>
          <w:p>
            <w:pPr>
              <w:jc w:val="center"/>
              <w:ind w:left="342"/>
              <w:spacing w:after="0"/>
              <w:rPr>
                <w:sz w:val="20"/>
                <w:szCs w:val="20"/>
                <w:color w:val="auto"/>
              </w:rPr>
            </w:pPr>
            <w:r>
              <w:rPr>
                <w:rFonts w:ascii="Arial" w:cs="Arial" w:eastAsia="Arial" w:hAnsi="Arial"/>
                <w:sz w:val="12"/>
                <w:szCs w:val="12"/>
                <w:color w:val="auto"/>
                <w:w w:val="89"/>
              </w:rPr>
              <w:t>12/23/2025</w:t>
            </w:r>
          </w:p>
        </w:tc>
        <w:tc>
          <w:tcPr>
            <w:tcW w:w="160" w:type="dxa"/>
            <w:vAlign w:val="bottom"/>
          </w:tcPr>
          <w:p>
            <w:pPr>
              <w:spacing w:after="0"/>
              <w:rPr>
                <w:sz w:val="12"/>
                <w:szCs w:val="12"/>
                <w:color w:val="auto"/>
              </w:rPr>
            </w:pPr>
          </w:p>
        </w:tc>
        <w:tc>
          <w:tcPr>
            <w:tcW w:w="820" w:type="dxa"/>
            <w:vAlign w:val="bottom"/>
          </w:tcPr>
          <w:p>
            <w:pPr>
              <w:jc w:val="center"/>
              <w:ind w:right="222"/>
              <w:spacing w:after="0"/>
              <w:rPr>
                <w:sz w:val="20"/>
                <w:szCs w:val="20"/>
                <w:color w:val="auto"/>
              </w:rPr>
            </w:pPr>
            <w:r>
              <w:rPr>
                <w:rFonts w:ascii="Arial" w:cs="Arial" w:eastAsia="Arial" w:hAnsi="Arial"/>
                <w:sz w:val="12"/>
                <w:szCs w:val="12"/>
                <w:color w:val="auto"/>
                <w:w w:val="83"/>
              </w:rPr>
              <w:t>11.00%</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4,389,000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4,505,648</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6"/>
              </w:rPr>
              <w:t>4,764,830</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9.3</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Hotels, Gaming and Leisure</w:t>
            </w:r>
          </w:p>
        </w:tc>
        <w:tc>
          <w:tcPr>
            <w:tcW w:w="4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60"/>
              <w:spacing w:after="0"/>
              <w:rPr>
                <w:sz w:val="20"/>
                <w:szCs w:val="20"/>
                <w:color w:val="auto"/>
              </w:rPr>
            </w:pPr>
            <w:r>
              <w:rPr>
                <w:rFonts w:ascii="Arial" w:cs="Arial" w:eastAsia="Arial" w:hAnsi="Arial"/>
                <w:sz w:val="12"/>
                <w:szCs w:val="12"/>
                <w:color w:val="auto"/>
              </w:rPr>
              <w:t>Lucky Bucks, LLC</w:t>
            </w:r>
          </w:p>
        </w:tc>
        <w:tc>
          <w:tcPr>
            <w:tcW w:w="1300" w:type="dxa"/>
            <w:vAlign w:val="bottom"/>
            <w:gridSpan w:val="2"/>
          </w:tcPr>
          <w:p>
            <w:pPr>
              <w:jc w:val="center"/>
              <w:ind w:left="342"/>
              <w:spacing w:after="0"/>
              <w:rPr>
                <w:sz w:val="20"/>
                <w:szCs w:val="20"/>
                <w:color w:val="auto"/>
              </w:rPr>
            </w:pPr>
            <w:r>
              <w:rPr>
                <w:rFonts w:ascii="Arial" w:cs="Arial" w:eastAsia="Arial" w:hAnsi="Arial"/>
                <w:sz w:val="12"/>
                <w:szCs w:val="12"/>
                <w:color w:val="auto"/>
                <w:w w:val="89"/>
              </w:rPr>
              <w:t>07/20/2027</w:t>
            </w:r>
          </w:p>
        </w:tc>
        <w:tc>
          <w:tcPr>
            <w:tcW w:w="160" w:type="dxa"/>
            <w:vAlign w:val="bottom"/>
          </w:tcPr>
          <w:p>
            <w:pPr>
              <w:spacing w:after="0"/>
              <w:rPr>
                <w:sz w:val="12"/>
                <w:szCs w:val="12"/>
                <w:color w:val="auto"/>
              </w:rPr>
            </w:pPr>
          </w:p>
        </w:tc>
        <w:tc>
          <w:tcPr>
            <w:tcW w:w="820" w:type="dxa"/>
            <w:vAlign w:val="bottom"/>
          </w:tcPr>
          <w:p>
            <w:pPr>
              <w:jc w:val="center"/>
              <w:ind w:right="222"/>
              <w:spacing w:after="0"/>
              <w:rPr>
                <w:sz w:val="20"/>
                <w:szCs w:val="20"/>
                <w:color w:val="auto"/>
              </w:rPr>
            </w:pPr>
            <w:r>
              <w:rPr>
                <w:rFonts w:ascii="Arial" w:cs="Arial" w:eastAsia="Arial" w:hAnsi="Arial"/>
                <w:sz w:val="12"/>
                <w:szCs w:val="12"/>
                <w:color w:val="auto"/>
                <w:w w:val="88"/>
              </w:rPr>
              <w:t>6.25%</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4,500,000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4,411,012</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6"/>
              </w:rPr>
              <w:t>4,424,085</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8.6</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IT Services</w:t>
            </w:r>
          </w:p>
        </w:tc>
        <w:tc>
          <w:tcPr>
            <w:tcW w:w="4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60"/>
              <w:spacing w:after="0"/>
              <w:rPr>
                <w:sz w:val="20"/>
                <w:szCs w:val="20"/>
                <w:color w:val="auto"/>
              </w:rPr>
            </w:pPr>
            <w:r>
              <w:rPr>
                <w:rFonts w:ascii="Arial" w:cs="Arial" w:eastAsia="Arial" w:hAnsi="Arial"/>
                <w:sz w:val="12"/>
                <w:szCs w:val="12"/>
                <w:color w:val="auto"/>
              </w:rPr>
              <w:t>Gantech Acquisition Corp.</w:t>
            </w:r>
          </w:p>
        </w:tc>
        <w:tc>
          <w:tcPr>
            <w:tcW w:w="1300" w:type="dxa"/>
            <w:vAlign w:val="bottom"/>
            <w:gridSpan w:val="2"/>
          </w:tcPr>
          <w:p>
            <w:pPr>
              <w:jc w:val="center"/>
              <w:ind w:left="342"/>
              <w:spacing w:after="0"/>
              <w:rPr>
                <w:sz w:val="20"/>
                <w:szCs w:val="20"/>
                <w:color w:val="auto"/>
              </w:rPr>
            </w:pPr>
            <w:r>
              <w:rPr>
                <w:rFonts w:ascii="Arial" w:cs="Arial" w:eastAsia="Arial" w:hAnsi="Arial"/>
                <w:sz w:val="12"/>
                <w:szCs w:val="12"/>
                <w:color w:val="auto"/>
                <w:w w:val="89"/>
              </w:rPr>
              <w:t>05/14/2026</w:t>
            </w:r>
          </w:p>
        </w:tc>
        <w:tc>
          <w:tcPr>
            <w:tcW w:w="160" w:type="dxa"/>
            <w:vAlign w:val="bottom"/>
          </w:tcPr>
          <w:p>
            <w:pPr>
              <w:spacing w:after="0"/>
              <w:rPr>
                <w:sz w:val="12"/>
                <w:szCs w:val="12"/>
                <w:color w:val="auto"/>
              </w:rPr>
            </w:pPr>
          </w:p>
        </w:tc>
        <w:tc>
          <w:tcPr>
            <w:tcW w:w="820" w:type="dxa"/>
            <w:vAlign w:val="bottom"/>
          </w:tcPr>
          <w:p>
            <w:pPr>
              <w:jc w:val="center"/>
              <w:ind w:right="222"/>
              <w:spacing w:after="0"/>
              <w:rPr>
                <w:sz w:val="20"/>
                <w:szCs w:val="20"/>
                <w:color w:val="auto"/>
              </w:rPr>
            </w:pPr>
            <w:r>
              <w:rPr>
                <w:rFonts w:ascii="Arial" w:cs="Arial" w:eastAsia="Arial" w:hAnsi="Arial"/>
                <w:sz w:val="12"/>
                <w:szCs w:val="12"/>
                <w:color w:val="auto"/>
                <w:w w:val="88"/>
              </w:rPr>
              <w:t>7.25%</w:t>
            </w:r>
          </w:p>
        </w:tc>
        <w:tc>
          <w:tcPr>
            <w:tcW w:w="440" w:type="dxa"/>
            <w:vAlign w:val="bottom"/>
          </w:tcPr>
          <w:p>
            <w:pPr>
              <w:spacing w:after="0"/>
              <w:rPr>
                <w:sz w:val="12"/>
                <w:szCs w:val="12"/>
                <w:color w:val="auto"/>
              </w:rPr>
            </w:pPr>
          </w:p>
        </w:tc>
        <w:tc>
          <w:tcPr>
            <w:tcW w:w="860" w:type="dxa"/>
            <w:vAlign w:val="bottom"/>
          </w:tcPr>
          <w:p>
            <w:pPr>
              <w:jc w:val="center"/>
              <w:ind w:left="42"/>
              <w:spacing w:after="0"/>
              <w:rPr>
                <w:sz w:val="20"/>
                <w:szCs w:val="20"/>
                <w:color w:val="auto"/>
              </w:rPr>
            </w:pPr>
            <w:r>
              <w:rPr>
                <w:rFonts w:ascii="Arial" w:cs="Arial" w:eastAsia="Arial" w:hAnsi="Arial"/>
                <w:sz w:val="12"/>
                <w:szCs w:val="12"/>
                <w:color w:val="auto"/>
                <w:w w:val="86"/>
              </w:rPr>
              <w:t>14,925,000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14,648,015</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14,626,500</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28.5</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Tyto Athene, LLC</w:t>
            </w:r>
          </w:p>
        </w:tc>
        <w:tc>
          <w:tcPr>
            <w:tcW w:w="1300" w:type="dxa"/>
            <w:vAlign w:val="bottom"/>
            <w:gridSpan w:val="2"/>
            <w:shd w:val="clear" w:color="auto" w:fill="CFF0FC"/>
          </w:tcPr>
          <w:p>
            <w:pPr>
              <w:jc w:val="center"/>
              <w:ind w:left="342"/>
              <w:spacing w:after="0"/>
              <w:rPr>
                <w:sz w:val="20"/>
                <w:szCs w:val="20"/>
                <w:color w:val="auto"/>
              </w:rPr>
            </w:pPr>
            <w:r>
              <w:rPr>
                <w:rFonts w:ascii="Arial" w:cs="Arial" w:eastAsia="Arial" w:hAnsi="Arial"/>
                <w:sz w:val="12"/>
                <w:szCs w:val="12"/>
                <w:color w:val="auto"/>
                <w:w w:val="89"/>
              </w:rPr>
              <w:t>08/27/2024</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center"/>
              <w:ind w:right="222"/>
              <w:spacing w:after="0"/>
              <w:rPr>
                <w:sz w:val="20"/>
                <w:szCs w:val="20"/>
                <w:color w:val="auto"/>
              </w:rPr>
            </w:pPr>
            <w:r>
              <w:rPr>
                <w:rFonts w:ascii="Arial" w:cs="Arial" w:eastAsia="Arial" w:hAnsi="Arial"/>
                <w:sz w:val="12"/>
                <w:szCs w:val="12"/>
                <w:color w:val="auto"/>
                <w:w w:val="88"/>
              </w:rPr>
              <w:t>6.25%</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42"/>
              <w:spacing w:after="0"/>
              <w:rPr>
                <w:sz w:val="20"/>
                <w:szCs w:val="20"/>
                <w:color w:val="auto"/>
              </w:rPr>
            </w:pPr>
            <w:r>
              <w:rPr>
                <w:rFonts w:ascii="Arial" w:cs="Arial" w:eastAsia="Arial" w:hAnsi="Arial"/>
                <w:sz w:val="12"/>
                <w:szCs w:val="12"/>
                <w:color w:val="auto"/>
                <w:w w:val="86"/>
              </w:rPr>
              <w:t>11,442,500</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11,334,186</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11,442,500</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22.3</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20"/>
                <w:szCs w:val="20"/>
                <w:color w:val="auto"/>
              </w:rPr>
            </w:pPr>
            <w:r>
              <w:rPr>
                <w:rFonts w:ascii="Arial" w:cs="Arial" w:eastAsia="Arial" w:hAnsi="Arial"/>
                <w:sz w:val="12"/>
                <w:szCs w:val="12"/>
                <w:color w:val="auto"/>
              </w:rPr>
              <w:t>Insurance</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Hancock Roofing and Construction L.L.C.</w:t>
            </w:r>
          </w:p>
        </w:tc>
        <w:tc>
          <w:tcPr>
            <w:tcW w:w="1300" w:type="dxa"/>
            <w:vAlign w:val="bottom"/>
            <w:gridSpan w:val="2"/>
            <w:shd w:val="clear" w:color="auto" w:fill="CFF0FC"/>
          </w:tcPr>
          <w:p>
            <w:pPr>
              <w:jc w:val="center"/>
              <w:ind w:left="342"/>
              <w:spacing w:after="0"/>
              <w:rPr>
                <w:sz w:val="20"/>
                <w:szCs w:val="20"/>
                <w:color w:val="auto"/>
              </w:rPr>
            </w:pPr>
            <w:r>
              <w:rPr>
                <w:rFonts w:ascii="Arial" w:cs="Arial" w:eastAsia="Arial" w:hAnsi="Arial"/>
                <w:sz w:val="12"/>
                <w:szCs w:val="12"/>
                <w:color w:val="auto"/>
                <w:w w:val="89"/>
              </w:rPr>
              <w:t>12/31/2026</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center"/>
              <w:ind w:right="222"/>
              <w:spacing w:after="0"/>
              <w:rPr>
                <w:sz w:val="20"/>
                <w:szCs w:val="20"/>
                <w:color w:val="auto"/>
              </w:rPr>
            </w:pPr>
            <w:r>
              <w:rPr>
                <w:rFonts w:ascii="Arial" w:cs="Arial" w:eastAsia="Arial" w:hAnsi="Arial"/>
                <w:sz w:val="12"/>
                <w:szCs w:val="12"/>
                <w:color w:val="auto"/>
                <w:w w:val="88"/>
              </w:rPr>
              <w:t>6.00%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2,481,250</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2,424,925</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2,456,438</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20"/>
                <w:szCs w:val="20"/>
                <w:color w:val="auto"/>
              </w:rPr>
            </w:pPr>
            <w:r>
              <w:rPr>
                <w:rFonts w:ascii="Arial" w:cs="Arial" w:eastAsia="Arial" w:hAnsi="Arial"/>
                <w:sz w:val="12"/>
                <w:szCs w:val="12"/>
                <w:color w:val="auto"/>
              </w:rPr>
              <w:t>Internet Software and Services</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MBS Holdings, Inc.</w:t>
            </w:r>
          </w:p>
        </w:tc>
        <w:tc>
          <w:tcPr>
            <w:tcW w:w="1300" w:type="dxa"/>
            <w:vAlign w:val="bottom"/>
            <w:gridSpan w:val="2"/>
            <w:shd w:val="clear" w:color="auto" w:fill="CFF0FC"/>
          </w:tcPr>
          <w:p>
            <w:pPr>
              <w:jc w:val="center"/>
              <w:ind w:left="342"/>
              <w:spacing w:after="0"/>
              <w:rPr>
                <w:sz w:val="20"/>
                <w:szCs w:val="20"/>
                <w:color w:val="auto"/>
              </w:rPr>
            </w:pPr>
            <w:r>
              <w:rPr>
                <w:rFonts w:ascii="Arial" w:cs="Arial" w:eastAsia="Arial" w:hAnsi="Arial"/>
                <w:sz w:val="12"/>
                <w:szCs w:val="12"/>
                <w:color w:val="auto"/>
                <w:w w:val="89"/>
              </w:rPr>
              <w:t>04/16/2027</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center"/>
              <w:ind w:right="222"/>
              <w:spacing w:after="0"/>
              <w:rPr>
                <w:sz w:val="20"/>
                <w:szCs w:val="20"/>
                <w:color w:val="auto"/>
              </w:rPr>
            </w:pPr>
            <w:r>
              <w:rPr>
                <w:rFonts w:ascii="Arial" w:cs="Arial" w:eastAsia="Arial" w:hAnsi="Arial"/>
                <w:sz w:val="12"/>
                <w:szCs w:val="12"/>
                <w:color w:val="auto"/>
                <w:w w:val="88"/>
              </w:rPr>
              <w:t>6.75%</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7,481,250</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7,337,843</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7,331,625</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20"/>
                <w:szCs w:val="20"/>
                <w:color w:val="auto"/>
              </w:rPr>
            </w:pPr>
            <w:r>
              <w:rPr>
                <w:rFonts w:ascii="Arial" w:cs="Arial" w:eastAsia="Arial" w:hAnsi="Arial"/>
                <w:sz w:val="12"/>
                <w:szCs w:val="12"/>
                <w:color w:val="auto"/>
              </w:rPr>
              <w:t>Leisure Products</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Recteq, LLC</w:t>
            </w:r>
          </w:p>
        </w:tc>
        <w:tc>
          <w:tcPr>
            <w:tcW w:w="1300" w:type="dxa"/>
            <w:vAlign w:val="bottom"/>
            <w:gridSpan w:val="2"/>
            <w:shd w:val="clear" w:color="auto" w:fill="CFF0FC"/>
          </w:tcPr>
          <w:p>
            <w:pPr>
              <w:jc w:val="center"/>
              <w:ind w:left="342"/>
              <w:spacing w:after="0"/>
              <w:rPr>
                <w:sz w:val="20"/>
                <w:szCs w:val="20"/>
                <w:color w:val="auto"/>
              </w:rPr>
            </w:pPr>
            <w:r>
              <w:rPr>
                <w:rFonts w:ascii="Arial" w:cs="Arial" w:eastAsia="Arial" w:hAnsi="Arial"/>
                <w:sz w:val="12"/>
                <w:szCs w:val="12"/>
                <w:color w:val="auto"/>
                <w:w w:val="89"/>
              </w:rPr>
              <w:t>01/29/2026</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center"/>
              <w:ind w:right="222"/>
              <w:spacing w:after="0"/>
              <w:rPr>
                <w:sz w:val="20"/>
                <w:szCs w:val="20"/>
                <w:color w:val="auto"/>
              </w:rPr>
            </w:pPr>
            <w:r>
              <w:rPr>
                <w:rFonts w:ascii="Arial" w:cs="Arial" w:eastAsia="Arial" w:hAnsi="Arial"/>
                <w:sz w:val="12"/>
                <w:szCs w:val="12"/>
                <w:color w:val="auto"/>
                <w:w w:val="88"/>
              </w:rPr>
              <w:t>7.00%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4,975,000</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4,887,511</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4,925,250</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20"/>
                <w:szCs w:val="20"/>
                <w:color w:val="auto"/>
              </w:rPr>
            </w:pPr>
            <w:r>
              <w:rPr>
                <w:rFonts w:ascii="Arial" w:cs="Arial" w:eastAsia="Arial" w:hAnsi="Arial"/>
                <w:sz w:val="12"/>
                <w:szCs w:val="12"/>
                <w:color w:val="auto"/>
              </w:rPr>
              <w:t>Media</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Ad.net Acquisition, LLC</w:t>
            </w:r>
          </w:p>
        </w:tc>
        <w:tc>
          <w:tcPr>
            <w:tcW w:w="1300" w:type="dxa"/>
            <w:vAlign w:val="bottom"/>
            <w:gridSpan w:val="2"/>
            <w:shd w:val="clear" w:color="auto" w:fill="CFF0FC"/>
          </w:tcPr>
          <w:p>
            <w:pPr>
              <w:jc w:val="center"/>
              <w:ind w:left="342"/>
              <w:spacing w:after="0"/>
              <w:rPr>
                <w:sz w:val="20"/>
                <w:szCs w:val="20"/>
                <w:color w:val="auto"/>
              </w:rPr>
            </w:pPr>
            <w:r>
              <w:rPr>
                <w:rFonts w:ascii="Arial" w:cs="Arial" w:eastAsia="Arial" w:hAnsi="Arial"/>
                <w:sz w:val="12"/>
                <w:szCs w:val="12"/>
                <w:color w:val="auto"/>
                <w:w w:val="89"/>
              </w:rPr>
              <w:t>05/06/2026</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center"/>
              <w:ind w:right="222"/>
              <w:spacing w:after="0"/>
              <w:rPr>
                <w:sz w:val="20"/>
                <w:szCs w:val="20"/>
                <w:color w:val="auto"/>
              </w:rPr>
            </w:pPr>
            <w:r>
              <w:rPr>
                <w:rFonts w:ascii="Arial" w:cs="Arial" w:eastAsia="Arial" w:hAnsi="Arial"/>
                <w:sz w:val="12"/>
                <w:szCs w:val="12"/>
                <w:color w:val="auto"/>
                <w:w w:val="88"/>
              </w:rPr>
              <w:t>7.00%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8,977,500</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8,851,554</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8,842,838</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17.2</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ind w:left="260"/>
              <w:spacing w:after="0"/>
              <w:rPr>
                <w:sz w:val="20"/>
                <w:szCs w:val="20"/>
                <w:color w:val="auto"/>
              </w:rPr>
            </w:pPr>
            <w:r>
              <w:rPr>
                <w:rFonts w:ascii="Arial" w:cs="Arial" w:eastAsia="Arial" w:hAnsi="Arial"/>
                <w:sz w:val="12"/>
                <w:szCs w:val="12"/>
                <w:color w:val="auto"/>
              </w:rPr>
              <w:t>Connatix Buyer, Inc</w:t>
            </w:r>
          </w:p>
        </w:tc>
        <w:tc>
          <w:tcPr>
            <w:tcW w:w="1300" w:type="dxa"/>
            <w:vAlign w:val="bottom"/>
            <w:gridSpan w:val="2"/>
          </w:tcPr>
          <w:p>
            <w:pPr>
              <w:jc w:val="center"/>
              <w:ind w:left="342"/>
              <w:spacing w:after="0"/>
              <w:rPr>
                <w:sz w:val="20"/>
                <w:szCs w:val="20"/>
                <w:color w:val="auto"/>
              </w:rPr>
            </w:pPr>
            <w:r>
              <w:rPr>
                <w:rFonts w:ascii="Arial" w:cs="Arial" w:eastAsia="Arial" w:hAnsi="Arial"/>
                <w:sz w:val="12"/>
                <w:szCs w:val="12"/>
                <w:color w:val="auto"/>
                <w:w w:val="89"/>
              </w:rPr>
              <w:t>07/13/2027</w:t>
            </w:r>
          </w:p>
        </w:tc>
        <w:tc>
          <w:tcPr>
            <w:tcW w:w="160" w:type="dxa"/>
            <w:vAlign w:val="bottom"/>
          </w:tcPr>
          <w:p>
            <w:pPr>
              <w:spacing w:after="0"/>
              <w:rPr>
                <w:sz w:val="12"/>
                <w:szCs w:val="12"/>
                <w:color w:val="auto"/>
              </w:rPr>
            </w:pPr>
          </w:p>
        </w:tc>
        <w:tc>
          <w:tcPr>
            <w:tcW w:w="820" w:type="dxa"/>
            <w:vAlign w:val="bottom"/>
          </w:tcPr>
          <w:p>
            <w:pPr>
              <w:jc w:val="center"/>
              <w:ind w:right="222"/>
              <w:spacing w:after="0"/>
              <w:rPr>
                <w:sz w:val="20"/>
                <w:szCs w:val="20"/>
                <w:color w:val="auto"/>
              </w:rPr>
            </w:pPr>
            <w:r>
              <w:rPr>
                <w:rFonts w:ascii="Arial" w:cs="Arial" w:eastAsia="Arial" w:hAnsi="Arial"/>
                <w:sz w:val="12"/>
                <w:szCs w:val="12"/>
                <w:color w:val="auto"/>
                <w:w w:val="88"/>
              </w:rPr>
              <w:t>6.25%</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4,000,000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3,921,757</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6"/>
              </w:rPr>
              <w:t>3,920,000</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7.6</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Mars Acquisition Holdings Corp.</w:t>
            </w:r>
          </w:p>
        </w:tc>
        <w:tc>
          <w:tcPr>
            <w:tcW w:w="1300" w:type="dxa"/>
            <w:vAlign w:val="bottom"/>
            <w:gridSpan w:val="2"/>
            <w:shd w:val="clear" w:color="auto" w:fill="CFF0FC"/>
          </w:tcPr>
          <w:p>
            <w:pPr>
              <w:jc w:val="center"/>
              <w:ind w:left="342"/>
              <w:spacing w:after="0"/>
              <w:rPr>
                <w:sz w:val="20"/>
                <w:szCs w:val="20"/>
                <w:color w:val="auto"/>
              </w:rPr>
            </w:pPr>
            <w:r>
              <w:rPr>
                <w:rFonts w:ascii="Arial" w:cs="Arial" w:eastAsia="Arial" w:hAnsi="Arial"/>
                <w:sz w:val="12"/>
                <w:szCs w:val="12"/>
                <w:color w:val="auto"/>
                <w:w w:val="89"/>
              </w:rPr>
              <w:t>05/14/2026</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center"/>
              <w:ind w:right="222"/>
              <w:spacing w:after="0"/>
              <w:rPr>
                <w:sz w:val="20"/>
                <w:szCs w:val="20"/>
                <w:color w:val="auto"/>
              </w:rPr>
            </w:pPr>
            <w:r>
              <w:rPr>
                <w:rFonts w:ascii="Arial" w:cs="Arial" w:eastAsia="Arial" w:hAnsi="Arial"/>
                <w:sz w:val="12"/>
                <w:szCs w:val="12"/>
                <w:color w:val="auto"/>
                <w:w w:val="88"/>
              </w:rPr>
              <w:t>6.50%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42"/>
              <w:spacing w:after="0"/>
              <w:rPr>
                <w:sz w:val="20"/>
                <w:szCs w:val="20"/>
                <w:color w:val="auto"/>
              </w:rPr>
            </w:pPr>
            <w:r>
              <w:rPr>
                <w:rFonts w:ascii="Arial" w:cs="Arial" w:eastAsia="Arial" w:hAnsi="Arial"/>
                <w:sz w:val="12"/>
                <w:szCs w:val="12"/>
                <w:color w:val="auto"/>
                <w:w w:val="86"/>
              </w:rPr>
              <w:t>10,000,000</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9,812,779</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9,900,000</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19.3</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20"/>
                <w:szCs w:val="20"/>
                <w:color w:val="auto"/>
              </w:rPr>
            </w:pPr>
            <w:r>
              <w:rPr>
                <w:rFonts w:ascii="Arial" w:cs="Arial" w:eastAsia="Arial" w:hAnsi="Arial"/>
                <w:sz w:val="12"/>
                <w:szCs w:val="12"/>
                <w:color w:val="auto"/>
              </w:rPr>
              <w:t>Media: Advertising, Printing &amp; Publishing</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MeritDirect, LLC</w:t>
            </w:r>
          </w:p>
        </w:tc>
        <w:tc>
          <w:tcPr>
            <w:tcW w:w="1300" w:type="dxa"/>
            <w:vAlign w:val="bottom"/>
            <w:gridSpan w:val="2"/>
            <w:shd w:val="clear" w:color="auto" w:fill="CFF0FC"/>
          </w:tcPr>
          <w:p>
            <w:pPr>
              <w:jc w:val="center"/>
              <w:ind w:left="342"/>
              <w:spacing w:after="0"/>
              <w:rPr>
                <w:sz w:val="20"/>
                <w:szCs w:val="20"/>
                <w:color w:val="auto"/>
              </w:rPr>
            </w:pPr>
            <w:r>
              <w:rPr>
                <w:rFonts w:ascii="Arial" w:cs="Arial" w:eastAsia="Arial" w:hAnsi="Arial"/>
                <w:sz w:val="12"/>
                <w:szCs w:val="12"/>
                <w:color w:val="auto"/>
                <w:w w:val="89"/>
              </w:rPr>
              <w:t>05/23/2024</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center"/>
              <w:ind w:right="222"/>
              <w:spacing w:after="0"/>
              <w:rPr>
                <w:sz w:val="20"/>
                <w:szCs w:val="20"/>
                <w:color w:val="auto"/>
              </w:rPr>
            </w:pPr>
            <w:r>
              <w:rPr>
                <w:rFonts w:ascii="Arial" w:cs="Arial" w:eastAsia="Arial" w:hAnsi="Arial"/>
                <w:sz w:val="12"/>
                <w:szCs w:val="12"/>
                <w:color w:val="auto"/>
                <w:w w:val="88"/>
              </w:rPr>
              <w:t>6.50%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5,531,856</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5,411,520</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5,476,537</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20"/>
                <w:szCs w:val="20"/>
                <w:color w:val="auto"/>
              </w:rPr>
            </w:pPr>
            <w:r>
              <w:rPr>
                <w:rFonts w:ascii="Arial" w:cs="Arial" w:eastAsia="Arial" w:hAnsi="Arial"/>
                <w:sz w:val="12"/>
                <w:szCs w:val="12"/>
                <w:color w:val="auto"/>
              </w:rPr>
              <w:t>Media: Broadcasting and Subscription</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The Infosoft Group, LLC</w:t>
            </w:r>
          </w:p>
        </w:tc>
        <w:tc>
          <w:tcPr>
            <w:tcW w:w="1300" w:type="dxa"/>
            <w:vAlign w:val="bottom"/>
            <w:gridSpan w:val="2"/>
            <w:shd w:val="clear" w:color="auto" w:fill="CFF0FC"/>
          </w:tcPr>
          <w:p>
            <w:pPr>
              <w:jc w:val="center"/>
              <w:ind w:left="342"/>
              <w:spacing w:after="0"/>
              <w:rPr>
                <w:sz w:val="20"/>
                <w:szCs w:val="20"/>
                <w:color w:val="auto"/>
              </w:rPr>
            </w:pPr>
            <w:r>
              <w:rPr>
                <w:rFonts w:ascii="Arial" w:cs="Arial" w:eastAsia="Arial" w:hAnsi="Arial"/>
                <w:sz w:val="12"/>
                <w:szCs w:val="12"/>
                <w:color w:val="auto"/>
                <w:w w:val="89"/>
              </w:rPr>
              <w:t>09/16/2024</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center"/>
              <w:ind w:right="222"/>
              <w:spacing w:after="0"/>
              <w:rPr>
                <w:sz w:val="20"/>
                <w:szCs w:val="20"/>
                <w:color w:val="auto"/>
              </w:rPr>
            </w:pPr>
            <w:r>
              <w:rPr>
                <w:rFonts w:ascii="Arial" w:cs="Arial" w:eastAsia="Arial" w:hAnsi="Arial"/>
                <w:sz w:val="12"/>
                <w:szCs w:val="12"/>
                <w:color w:val="auto"/>
                <w:w w:val="88"/>
              </w:rPr>
              <w:t>6.75%</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42"/>
              <w:spacing w:after="0"/>
              <w:rPr>
                <w:sz w:val="20"/>
                <w:szCs w:val="20"/>
                <w:color w:val="auto"/>
              </w:rPr>
            </w:pPr>
            <w:r>
              <w:rPr>
                <w:rFonts w:ascii="Arial" w:cs="Arial" w:eastAsia="Arial" w:hAnsi="Arial"/>
                <w:sz w:val="12"/>
                <w:szCs w:val="12"/>
                <w:color w:val="auto"/>
                <w:w w:val="86"/>
              </w:rPr>
              <w:t>13,383,253</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13,375,955</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13,383,253</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26.1</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20"/>
                <w:szCs w:val="20"/>
                <w:color w:val="auto"/>
              </w:rPr>
            </w:pPr>
            <w:r>
              <w:rPr>
                <w:rFonts w:ascii="Arial" w:cs="Arial" w:eastAsia="Arial" w:hAnsi="Arial"/>
                <w:sz w:val="12"/>
                <w:szCs w:val="12"/>
                <w:color w:val="auto"/>
              </w:rPr>
              <w:t>Media: Diversified and Production</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CFF0FC"/>
            </w:tcBorders>
            <w:shd w:val="clear" w:color="auto" w:fill="CFF0FC"/>
          </w:tcPr>
          <w:p>
            <w:pPr>
              <w:ind w:left="260"/>
              <w:spacing w:after="0" w:line="216" w:lineRule="exact"/>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19"/>
                <w:szCs w:val="19"/>
                <w:color w:val="auto"/>
                <w:vertAlign w:val="superscript"/>
              </w:rPr>
              <w:t>(3)</w:t>
            </w:r>
          </w:p>
        </w:tc>
        <w:tc>
          <w:tcPr>
            <w:tcW w:w="1300" w:type="dxa"/>
            <w:vAlign w:val="bottom"/>
            <w:tcBorders>
              <w:bottom w:val="single" w:sz="8" w:color="CFF0FC"/>
            </w:tcBorders>
            <w:gridSpan w:val="2"/>
            <w:shd w:val="clear" w:color="auto" w:fill="CFF0FC"/>
          </w:tcPr>
          <w:p>
            <w:pPr>
              <w:jc w:val="center"/>
              <w:ind w:left="342"/>
              <w:spacing w:after="0"/>
              <w:rPr>
                <w:sz w:val="20"/>
                <w:szCs w:val="20"/>
                <w:color w:val="auto"/>
              </w:rPr>
            </w:pPr>
            <w:r>
              <w:rPr>
                <w:rFonts w:ascii="Arial" w:cs="Arial" w:eastAsia="Arial" w:hAnsi="Arial"/>
                <w:sz w:val="12"/>
                <w:szCs w:val="12"/>
                <w:color w:val="auto"/>
                <w:w w:val="89"/>
              </w:rPr>
              <w:t>09/30/2026</w:t>
            </w: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center"/>
              <w:ind w:right="222"/>
              <w:spacing w:after="0"/>
              <w:rPr>
                <w:sz w:val="20"/>
                <w:szCs w:val="20"/>
                <w:color w:val="auto"/>
              </w:rPr>
            </w:pPr>
            <w:r>
              <w:rPr>
                <w:rFonts w:ascii="Arial" w:cs="Arial" w:eastAsia="Arial" w:hAnsi="Arial"/>
                <w:sz w:val="12"/>
                <w:szCs w:val="12"/>
                <w:color w:val="auto"/>
                <w:w w:val="86"/>
              </w:rPr>
              <w:t xml:space="preserve">0.00% </w:t>
            </w:r>
            <w:r>
              <w:rPr>
                <w:rFonts w:ascii="Arial" w:cs="Arial" w:eastAsia="Arial" w:hAnsi="Arial"/>
                <w:sz w:val="19"/>
                <w:szCs w:val="19"/>
                <w:color w:val="auto"/>
                <w:w w:val="86"/>
                <w:vertAlign w:val="superscript"/>
              </w:rPr>
              <w:t>(4)</w:t>
            </w:r>
          </w:p>
        </w:tc>
        <w:tc>
          <w:tcPr>
            <w:tcW w:w="4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center"/>
              <w:ind w:left="22"/>
              <w:spacing w:after="0"/>
              <w:rPr>
                <w:sz w:val="20"/>
                <w:szCs w:val="20"/>
                <w:color w:val="auto"/>
              </w:rPr>
            </w:pPr>
            <w:r>
              <w:rPr>
                <w:rFonts w:ascii="Arial" w:cs="Arial" w:eastAsia="Arial" w:hAnsi="Arial"/>
                <w:sz w:val="12"/>
                <w:szCs w:val="12"/>
                <w:color w:val="auto"/>
                <w:w w:val="86"/>
              </w:rPr>
              <w:t>5,821,582</w:t>
            </w:r>
          </w:p>
        </w:tc>
        <w:tc>
          <w:tcPr>
            <w:tcW w:w="6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2"/>
                <w:szCs w:val="12"/>
                <w:color w:val="auto"/>
                <w:w w:val="89"/>
              </w:rPr>
              <w:t>4,058,961</w:t>
            </w:r>
          </w:p>
        </w:tc>
        <w:tc>
          <w:tcPr>
            <w:tcW w:w="3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2"/>
                <w:szCs w:val="12"/>
                <w:color w:val="auto"/>
                <w:w w:val="86"/>
              </w:rPr>
              <w:t>5,232,460</w:t>
            </w:r>
          </w:p>
        </w:tc>
        <w:tc>
          <w:tcPr>
            <w:tcW w:w="3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10.2</w:t>
            </w:r>
          </w:p>
        </w:tc>
        <w:tc>
          <w:tcPr>
            <w:tcW w:w="4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20"/>
                <w:szCs w:val="20"/>
                <w:color w:val="auto"/>
              </w:rPr>
            </w:pPr>
            <w:r>
              <w:rPr>
                <w:rFonts w:ascii="Arial" w:cs="Arial" w:eastAsia="Arial" w:hAnsi="Arial"/>
                <w:sz w:val="12"/>
                <w:szCs w:val="12"/>
                <w:color w:val="auto"/>
              </w:rPr>
              <w:t>Personal Products</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Dr. Squatch, LLC</w:t>
            </w:r>
          </w:p>
        </w:tc>
        <w:tc>
          <w:tcPr>
            <w:tcW w:w="1300" w:type="dxa"/>
            <w:vAlign w:val="bottom"/>
            <w:gridSpan w:val="2"/>
            <w:shd w:val="clear" w:color="auto" w:fill="CFF0FC"/>
          </w:tcPr>
          <w:p>
            <w:pPr>
              <w:jc w:val="center"/>
              <w:ind w:left="322"/>
              <w:spacing w:after="0"/>
              <w:rPr>
                <w:sz w:val="20"/>
                <w:szCs w:val="20"/>
                <w:color w:val="auto"/>
              </w:rPr>
            </w:pPr>
            <w:r>
              <w:rPr>
                <w:rFonts w:ascii="Arial" w:cs="Arial" w:eastAsia="Arial" w:hAnsi="Arial"/>
                <w:sz w:val="12"/>
                <w:szCs w:val="12"/>
                <w:color w:val="auto"/>
                <w:w w:val="89"/>
              </w:rPr>
              <w:t>8/27/2026</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center"/>
              <w:ind w:right="222"/>
              <w:spacing w:after="0"/>
              <w:rPr>
                <w:sz w:val="20"/>
                <w:szCs w:val="20"/>
                <w:color w:val="auto"/>
              </w:rPr>
            </w:pPr>
            <w:r>
              <w:rPr>
                <w:rFonts w:ascii="Arial" w:cs="Arial" w:eastAsia="Arial" w:hAnsi="Arial"/>
                <w:sz w:val="12"/>
                <w:szCs w:val="12"/>
                <w:color w:val="auto"/>
                <w:w w:val="88"/>
              </w:rPr>
              <w:t>7.00%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42"/>
              <w:spacing w:after="0"/>
              <w:rPr>
                <w:sz w:val="20"/>
                <w:szCs w:val="20"/>
                <w:color w:val="auto"/>
              </w:rPr>
            </w:pPr>
            <w:r>
              <w:rPr>
                <w:rFonts w:ascii="Arial" w:cs="Arial" w:eastAsia="Arial" w:hAnsi="Arial"/>
                <w:sz w:val="12"/>
                <w:szCs w:val="12"/>
                <w:color w:val="auto"/>
                <w:w w:val="86"/>
              </w:rPr>
              <w:t>10,000,000</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9,803,125</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9,800,000</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19.1</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20"/>
                <w:szCs w:val="20"/>
                <w:color w:val="auto"/>
              </w:rPr>
            </w:pPr>
            <w:r>
              <w:rPr>
                <w:rFonts w:ascii="Arial" w:cs="Arial" w:eastAsia="Arial" w:hAnsi="Arial"/>
                <w:sz w:val="12"/>
                <w:szCs w:val="12"/>
                <w:color w:val="auto"/>
              </w:rPr>
              <w:t>Professional Services</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Sales Benchmark Index LLC</w:t>
            </w:r>
          </w:p>
        </w:tc>
        <w:tc>
          <w:tcPr>
            <w:tcW w:w="1300" w:type="dxa"/>
            <w:vAlign w:val="bottom"/>
            <w:gridSpan w:val="2"/>
            <w:shd w:val="clear" w:color="auto" w:fill="CFF0FC"/>
          </w:tcPr>
          <w:p>
            <w:pPr>
              <w:jc w:val="center"/>
              <w:ind w:left="342"/>
              <w:spacing w:after="0"/>
              <w:rPr>
                <w:sz w:val="20"/>
                <w:szCs w:val="20"/>
                <w:color w:val="auto"/>
              </w:rPr>
            </w:pPr>
            <w:r>
              <w:rPr>
                <w:rFonts w:ascii="Arial" w:cs="Arial" w:eastAsia="Arial" w:hAnsi="Arial"/>
                <w:sz w:val="12"/>
                <w:szCs w:val="12"/>
                <w:color w:val="auto"/>
                <w:w w:val="89"/>
              </w:rPr>
              <w:t>01/03/2025</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center"/>
              <w:ind w:right="222"/>
              <w:spacing w:after="0"/>
              <w:rPr>
                <w:sz w:val="20"/>
                <w:szCs w:val="20"/>
                <w:color w:val="auto"/>
              </w:rPr>
            </w:pPr>
            <w:r>
              <w:rPr>
                <w:rFonts w:ascii="Arial" w:cs="Arial" w:eastAsia="Arial" w:hAnsi="Arial"/>
                <w:sz w:val="12"/>
                <w:szCs w:val="12"/>
                <w:color w:val="auto"/>
                <w:w w:val="88"/>
              </w:rPr>
              <w:t>7.75%</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5,578,331</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5,495,801</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5,438,872</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ind w:left="260"/>
              <w:spacing w:after="0"/>
              <w:rPr>
                <w:sz w:val="20"/>
                <w:szCs w:val="20"/>
                <w:color w:val="auto"/>
              </w:rPr>
            </w:pPr>
            <w:r>
              <w:rPr>
                <w:rFonts w:ascii="Arial" w:cs="Arial" w:eastAsia="Arial" w:hAnsi="Arial"/>
                <w:sz w:val="12"/>
                <w:szCs w:val="12"/>
                <w:color w:val="auto"/>
              </w:rPr>
              <w:t>The Bluebird Group LLC</w:t>
            </w:r>
          </w:p>
        </w:tc>
        <w:tc>
          <w:tcPr>
            <w:tcW w:w="1300" w:type="dxa"/>
            <w:vAlign w:val="bottom"/>
            <w:gridSpan w:val="2"/>
          </w:tcPr>
          <w:p>
            <w:pPr>
              <w:jc w:val="center"/>
              <w:ind w:left="342"/>
              <w:spacing w:after="0"/>
              <w:rPr>
                <w:sz w:val="20"/>
                <w:szCs w:val="20"/>
                <w:color w:val="auto"/>
              </w:rPr>
            </w:pPr>
            <w:r>
              <w:rPr>
                <w:rFonts w:ascii="Arial" w:cs="Arial" w:eastAsia="Arial" w:hAnsi="Arial"/>
                <w:sz w:val="12"/>
                <w:szCs w:val="12"/>
                <w:color w:val="auto"/>
                <w:w w:val="89"/>
              </w:rPr>
              <w:t>07/27/2026</w:t>
            </w:r>
          </w:p>
        </w:tc>
        <w:tc>
          <w:tcPr>
            <w:tcW w:w="160" w:type="dxa"/>
            <w:vAlign w:val="bottom"/>
          </w:tcPr>
          <w:p>
            <w:pPr>
              <w:spacing w:after="0"/>
              <w:rPr>
                <w:sz w:val="12"/>
                <w:szCs w:val="12"/>
                <w:color w:val="auto"/>
              </w:rPr>
            </w:pPr>
          </w:p>
        </w:tc>
        <w:tc>
          <w:tcPr>
            <w:tcW w:w="820" w:type="dxa"/>
            <w:vAlign w:val="bottom"/>
          </w:tcPr>
          <w:p>
            <w:pPr>
              <w:jc w:val="center"/>
              <w:ind w:right="222"/>
              <w:spacing w:after="0"/>
              <w:rPr>
                <w:sz w:val="20"/>
                <w:szCs w:val="20"/>
                <w:color w:val="auto"/>
              </w:rPr>
            </w:pPr>
            <w:r>
              <w:rPr>
                <w:rFonts w:ascii="Arial" w:cs="Arial" w:eastAsia="Arial" w:hAnsi="Arial"/>
                <w:sz w:val="12"/>
                <w:szCs w:val="12"/>
                <w:color w:val="auto"/>
                <w:w w:val="88"/>
              </w:rPr>
              <w:t>8.00%</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1,743,846</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1,709,872</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6"/>
              </w:rPr>
              <w:t>1,732,860</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Telecommunications</w:t>
            </w:r>
          </w:p>
        </w:tc>
        <w:tc>
          <w:tcPr>
            <w:tcW w:w="4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60"/>
              <w:spacing w:after="0"/>
              <w:rPr>
                <w:sz w:val="20"/>
                <w:szCs w:val="20"/>
                <w:color w:val="auto"/>
              </w:rPr>
            </w:pPr>
            <w:r>
              <w:rPr>
                <w:rFonts w:ascii="Arial" w:cs="Arial" w:eastAsia="Arial" w:hAnsi="Arial"/>
                <w:sz w:val="12"/>
                <w:szCs w:val="12"/>
                <w:color w:val="auto"/>
              </w:rPr>
              <w:t>TeleGuam Holdings, LLC</w:t>
            </w:r>
          </w:p>
        </w:tc>
        <w:tc>
          <w:tcPr>
            <w:tcW w:w="1300" w:type="dxa"/>
            <w:vAlign w:val="bottom"/>
            <w:gridSpan w:val="2"/>
          </w:tcPr>
          <w:p>
            <w:pPr>
              <w:jc w:val="center"/>
              <w:ind w:left="322"/>
              <w:spacing w:after="0"/>
              <w:rPr>
                <w:sz w:val="20"/>
                <w:szCs w:val="20"/>
                <w:color w:val="auto"/>
              </w:rPr>
            </w:pPr>
            <w:r>
              <w:rPr>
                <w:rFonts w:ascii="Arial" w:cs="Arial" w:eastAsia="Arial" w:hAnsi="Arial"/>
                <w:sz w:val="12"/>
                <w:szCs w:val="12"/>
                <w:color w:val="auto"/>
                <w:w w:val="86"/>
              </w:rPr>
              <w:t>11/20/2025</w:t>
            </w:r>
          </w:p>
        </w:tc>
        <w:tc>
          <w:tcPr>
            <w:tcW w:w="160" w:type="dxa"/>
            <w:vAlign w:val="bottom"/>
          </w:tcPr>
          <w:p>
            <w:pPr>
              <w:spacing w:after="0"/>
              <w:rPr>
                <w:sz w:val="12"/>
                <w:szCs w:val="12"/>
                <w:color w:val="auto"/>
              </w:rPr>
            </w:pPr>
          </w:p>
        </w:tc>
        <w:tc>
          <w:tcPr>
            <w:tcW w:w="820" w:type="dxa"/>
            <w:vAlign w:val="bottom"/>
          </w:tcPr>
          <w:p>
            <w:pPr>
              <w:jc w:val="center"/>
              <w:ind w:right="222"/>
              <w:spacing w:after="0"/>
              <w:rPr>
                <w:sz w:val="20"/>
                <w:szCs w:val="20"/>
                <w:color w:val="auto"/>
              </w:rPr>
            </w:pPr>
            <w:r>
              <w:rPr>
                <w:rFonts w:ascii="Arial" w:cs="Arial" w:eastAsia="Arial" w:hAnsi="Arial"/>
                <w:sz w:val="12"/>
                <w:szCs w:val="12"/>
                <w:color w:val="auto"/>
                <w:w w:val="88"/>
              </w:rPr>
              <w:t>5.50%</w:t>
            </w:r>
          </w:p>
        </w:tc>
        <w:tc>
          <w:tcPr>
            <w:tcW w:w="440" w:type="dxa"/>
            <w:vAlign w:val="bottom"/>
          </w:tcPr>
          <w:p>
            <w:pPr>
              <w:spacing w:after="0"/>
              <w:rPr>
                <w:sz w:val="12"/>
                <w:szCs w:val="12"/>
                <w:color w:val="auto"/>
              </w:rPr>
            </w:pPr>
          </w:p>
        </w:tc>
        <w:tc>
          <w:tcPr>
            <w:tcW w:w="860" w:type="dxa"/>
            <w:vAlign w:val="bottom"/>
          </w:tcPr>
          <w:p>
            <w:pPr>
              <w:jc w:val="center"/>
              <w:ind w:left="42"/>
              <w:spacing w:after="0"/>
              <w:rPr>
                <w:sz w:val="20"/>
                <w:szCs w:val="20"/>
                <w:color w:val="auto"/>
              </w:rPr>
            </w:pPr>
            <w:r>
              <w:rPr>
                <w:rFonts w:ascii="Arial" w:cs="Arial" w:eastAsia="Arial" w:hAnsi="Arial"/>
                <w:sz w:val="12"/>
                <w:szCs w:val="12"/>
                <w:color w:val="auto"/>
                <w:w w:val="86"/>
              </w:rPr>
              <w:t>10,337,380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6"/>
              </w:rPr>
              <w:t>10,312,931</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9"/>
              </w:rPr>
              <w:t>10,234,006</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20.0</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Trading Companies and Distributors</w:t>
            </w:r>
          </w:p>
        </w:tc>
        <w:tc>
          <w:tcPr>
            <w:tcW w:w="4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60"/>
              <w:spacing w:after="0"/>
              <w:rPr>
                <w:sz w:val="20"/>
                <w:szCs w:val="20"/>
                <w:color w:val="auto"/>
              </w:rPr>
            </w:pPr>
            <w:r>
              <w:rPr>
                <w:rFonts w:ascii="Arial" w:cs="Arial" w:eastAsia="Arial" w:hAnsi="Arial"/>
                <w:sz w:val="12"/>
                <w:szCs w:val="12"/>
                <w:color w:val="auto"/>
              </w:rPr>
              <w:t>Graffiti Buyer, Inc</w:t>
            </w:r>
          </w:p>
        </w:tc>
        <w:tc>
          <w:tcPr>
            <w:tcW w:w="1300" w:type="dxa"/>
            <w:vAlign w:val="bottom"/>
            <w:gridSpan w:val="2"/>
          </w:tcPr>
          <w:p>
            <w:pPr>
              <w:jc w:val="center"/>
              <w:ind w:left="342"/>
              <w:spacing w:after="0"/>
              <w:rPr>
                <w:sz w:val="20"/>
                <w:szCs w:val="20"/>
                <w:color w:val="auto"/>
              </w:rPr>
            </w:pPr>
            <w:r>
              <w:rPr>
                <w:rFonts w:ascii="Arial" w:cs="Arial" w:eastAsia="Arial" w:hAnsi="Arial"/>
                <w:sz w:val="12"/>
                <w:szCs w:val="12"/>
                <w:color w:val="auto"/>
                <w:w w:val="89"/>
              </w:rPr>
              <w:t>08/10/2027</w:t>
            </w:r>
          </w:p>
        </w:tc>
        <w:tc>
          <w:tcPr>
            <w:tcW w:w="160" w:type="dxa"/>
            <w:vAlign w:val="bottom"/>
          </w:tcPr>
          <w:p>
            <w:pPr>
              <w:spacing w:after="0"/>
              <w:rPr>
                <w:sz w:val="12"/>
                <w:szCs w:val="12"/>
                <w:color w:val="auto"/>
              </w:rPr>
            </w:pPr>
          </w:p>
        </w:tc>
        <w:tc>
          <w:tcPr>
            <w:tcW w:w="820" w:type="dxa"/>
            <w:vAlign w:val="bottom"/>
          </w:tcPr>
          <w:p>
            <w:pPr>
              <w:jc w:val="center"/>
              <w:ind w:right="222"/>
              <w:spacing w:after="0"/>
              <w:rPr>
                <w:sz w:val="20"/>
                <w:szCs w:val="20"/>
                <w:color w:val="auto"/>
              </w:rPr>
            </w:pPr>
            <w:r>
              <w:rPr>
                <w:rFonts w:ascii="Arial" w:cs="Arial" w:eastAsia="Arial" w:hAnsi="Arial"/>
                <w:sz w:val="12"/>
                <w:szCs w:val="12"/>
                <w:color w:val="auto"/>
                <w:w w:val="88"/>
              </w:rPr>
              <w:t>6.75%</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2,392,857</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2,345,748</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6"/>
              </w:rPr>
              <w:t>2,356,964</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4.6</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Wholesale</w:t>
            </w:r>
          </w:p>
        </w:tc>
        <w:tc>
          <w:tcPr>
            <w:tcW w:w="4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ind w:left="260"/>
              <w:spacing w:after="0"/>
              <w:rPr>
                <w:sz w:val="20"/>
                <w:szCs w:val="20"/>
                <w:color w:val="auto"/>
              </w:rPr>
            </w:pPr>
            <w:r>
              <w:rPr>
                <w:rFonts w:ascii="Arial" w:cs="Arial" w:eastAsia="Arial" w:hAnsi="Arial"/>
                <w:sz w:val="12"/>
                <w:szCs w:val="12"/>
                <w:color w:val="auto"/>
              </w:rPr>
              <w:t>PH Beauty Holdings III, Inc.</w:t>
            </w:r>
          </w:p>
        </w:tc>
        <w:tc>
          <w:tcPr>
            <w:tcW w:w="1300" w:type="dxa"/>
            <w:vAlign w:val="bottom"/>
            <w:gridSpan w:val="2"/>
          </w:tcPr>
          <w:p>
            <w:pPr>
              <w:jc w:val="center"/>
              <w:ind w:left="342"/>
              <w:spacing w:after="0"/>
              <w:rPr>
                <w:sz w:val="20"/>
                <w:szCs w:val="20"/>
                <w:color w:val="auto"/>
              </w:rPr>
            </w:pPr>
            <w:r>
              <w:rPr>
                <w:rFonts w:ascii="Arial" w:cs="Arial" w:eastAsia="Arial" w:hAnsi="Arial"/>
                <w:sz w:val="12"/>
                <w:szCs w:val="12"/>
                <w:color w:val="auto"/>
                <w:w w:val="89"/>
              </w:rPr>
              <w:t>09/29/2025</w:t>
            </w:r>
          </w:p>
        </w:tc>
        <w:tc>
          <w:tcPr>
            <w:tcW w:w="160" w:type="dxa"/>
            <w:vAlign w:val="bottom"/>
          </w:tcPr>
          <w:p>
            <w:pPr>
              <w:spacing w:after="0"/>
              <w:rPr>
                <w:sz w:val="12"/>
                <w:szCs w:val="12"/>
                <w:color w:val="auto"/>
              </w:rPr>
            </w:pPr>
          </w:p>
        </w:tc>
        <w:tc>
          <w:tcPr>
            <w:tcW w:w="820" w:type="dxa"/>
            <w:vAlign w:val="bottom"/>
          </w:tcPr>
          <w:p>
            <w:pPr>
              <w:jc w:val="center"/>
              <w:ind w:right="222"/>
              <w:spacing w:after="0"/>
              <w:rPr>
                <w:sz w:val="20"/>
                <w:szCs w:val="20"/>
                <w:color w:val="auto"/>
              </w:rPr>
            </w:pPr>
            <w:r>
              <w:rPr>
                <w:rFonts w:ascii="Arial" w:cs="Arial" w:eastAsia="Arial" w:hAnsi="Arial"/>
                <w:sz w:val="12"/>
                <w:szCs w:val="12"/>
                <w:color w:val="auto"/>
                <w:w w:val="88"/>
              </w:rPr>
              <w:t>5.12%</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9,692,670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9,514,071</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6"/>
              </w:rPr>
              <w:t>9,466,540</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18.5</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Sargent &amp; Greenleaf Inc.</w:t>
            </w:r>
          </w:p>
        </w:tc>
        <w:tc>
          <w:tcPr>
            <w:tcW w:w="1300" w:type="dxa"/>
            <w:vAlign w:val="bottom"/>
            <w:gridSpan w:val="2"/>
            <w:shd w:val="clear" w:color="auto" w:fill="CFF0FC"/>
          </w:tcPr>
          <w:p>
            <w:pPr>
              <w:jc w:val="center"/>
              <w:ind w:left="342"/>
              <w:spacing w:after="0"/>
              <w:rPr>
                <w:sz w:val="20"/>
                <w:szCs w:val="20"/>
                <w:color w:val="auto"/>
              </w:rPr>
            </w:pPr>
            <w:r>
              <w:rPr>
                <w:rFonts w:ascii="Arial" w:cs="Arial" w:eastAsia="Arial" w:hAnsi="Arial"/>
                <w:sz w:val="12"/>
                <w:szCs w:val="12"/>
                <w:color w:val="auto"/>
                <w:w w:val="89"/>
              </w:rPr>
              <w:t>12/20/2024</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center"/>
              <w:ind w:right="222"/>
              <w:spacing w:after="0"/>
              <w:rPr>
                <w:sz w:val="20"/>
                <w:szCs w:val="20"/>
                <w:color w:val="auto"/>
              </w:rPr>
            </w:pPr>
            <w:r>
              <w:rPr>
                <w:rFonts w:ascii="Arial" w:cs="Arial" w:eastAsia="Arial" w:hAnsi="Arial"/>
                <w:sz w:val="12"/>
                <w:szCs w:val="12"/>
                <w:color w:val="auto"/>
                <w:w w:val="88"/>
              </w:rPr>
              <w:t>7.00%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5,549,876</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5,492,898</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5,549,876</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Walker Edison Furniture Company LLC</w:t>
            </w:r>
          </w:p>
        </w:tc>
        <w:tc>
          <w:tcPr>
            <w:tcW w:w="1300" w:type="dxa"/>
            <w:vAlign w:val="bottom"/>
            <w:tcBorders>
              <w:bottom w:val="single" w:sz="8" w:color="CFF0FC"/>
            </w:tcBorders>
            <w:gridSpan w:val="2"/>
          </w:tcPr>
          <w:p>
            <w:pPr>
              <w:jc w:val="center"/>
              <w:ind w:left="342"/>
              <w:spacing w:after="0"/>
              <w:rPr>
                <w:sz w:val="20"/>
                <w:szCs w:val="20"/>
                <w:color w:val="auto"/>
              </w:rPr>
            </w:pPr>
            <w:r>
              <w:rPr>
                <w:rFonts w:ascii="Arial" w:cs="Arial" w:eastAsia="Arial" w:hAnsi="Arial"/>
                <w:sz w:val="12"/>
                <w:szCs w:val="12"/>
                <w:color w:val="auto"/>
                <w:w w:val="89"/>
              </w:rPr>
              <w:t>03/31/2027</w:t>
            </w:r>
          </w:p>
        </w:tc>
        <w:tc>
          <w:tcPr>
            <w:tcW w:w="160" w:type="dxa"/>
            <w:vAlign w:val="bottom"/>
            <w:tcBorders>
              <w:bottom w:val="single" w:sz="8" w:color="CFF0FC"/>
            </w:tcBorders>
          </w:tcPr>
          <w:p>
            <w:pPr>
              <w:spacing w:after="0"/>
              <w:rPr>
                <w:sz w:val="12"/>
                <w:szCs w:val="12"/>
                <w:color w:val="auto"/>
              </w:rPr>
            </w:pPr>
          </w:p>
        </w:tc>
        <w:tc>
          <w:tcPr>
            <w:tcW w:w="820" w:type="dxa"/>
            <w:vAlign w:val="bottom"/>
            <w:tcBorders>
              <w:bottom w:val="single" w:sz="8" w:color="CFF0FC"/>
            </w:tcBorders>
          </w:tcPr>
          <w:p>
            <w:pPr>
              <w:jc w:val="center"/>
              <w:ind w:right="222"/>
              <w:spacing w:after="0"/>
              <w:rPr>
                <w:sz w:val="20"/>
                <w:szCs w:val="20"/>
                <w:color w:val="auto"/>
              </w:rPr>
            </w:pPr>
            <w:r>
              <w:rPr>
                <w:rFonts w:ascii="Arial" w:cs="Arial" w:eastAsia="Arial" w:hAnsi="Arial"/>
                <w:sz w:val="12"/>
                <w:szCs w:val="12"/>
                <w:color w:val="auto"/>
                <w:w w:val="88"/>
              </w:rPr>
              <w:t>6.75%</w:t>
            </w:r>
          </w:p>
        </w:tc>
        <w:tc>
          <w:tcPr>
            <w:tcW w:w="44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center"/>
              <w:ind w:left="42"/>
              <w:spacing w:after="0"/>
              <w:rPr>
                <w:sz w:val="20"/>
                <w:szCs w:val="20"/>
                <w:color w:val="auto"/>
              </w:rPr>
            </w:pPr>
            <w:r>
              <w:rPr>
                <w:rFonts w:ascii="Arial" w:cs="Arial" w:eastAsia="Arial" w:hAnsi="Arial"/>
                <w:sz w:val="12"/>
                <w:szCs w:val="12"/>
                <w:color w:val="auto"/>
                <w:w w:val="86"/>
              </w:rPr>
              <w:t>12,437,500</w:t>
            </w:r>
          </w:p>
        </w:tc>
        <w:tc>
          <w:tcPr>
            <w:tcW w:w="6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6"/>
              </w:rPr>
              <w:t>12,141,939</w:t>
            </w:r>
          </w:p>
        </w:tc>
        <w:tc>
          <w:tcPr>
            <w:tcW w:w="36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6"/>
              </w:rPr>
              <w:t>11,971,094</w:t>
            </w:r>
          </w:p>
        </w:tc>
        <w:tc>
          <w:tcPr>
            <w:tcW w:w="36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23.4</w:t>
            </w:r>
          </w:p>
        </w:tc>
        <w:tc>
          <w:tcPr>
            <w:tcW w:w="4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First Lien Secured Debt</w:t>
            </w:r>
          </w:p>
        </w:tc>
        <w:tc>
          <w:tcPr>
            <w:tcW w:w="4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566,808,280</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558,879,885</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557,731,845</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1,088</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20"/>
                <w:szCs w:val="20"/>
                <w:color w:val="auto"/>
              </w:rPr>
            </w:pPr>
            <w:r>
              <w:rPr>
                <w:rFonts w:ascii="Arial" w:cs="Arial" w:eastAsia="Arial" w:hAnsi="Arial"/>
                <w:sz w:val="12"/>
                <w:szCs w:val="12"/>
                <w:b w:val="1"/>
                <w:bCs w:val="1"/>
                <w:color w:val="auto"/>
              </w:rPr>
              <w:t>Second Lien Secured Debt - 10.5%</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Business Services</w:t>
            </w:r>
          </w:p>
        </w:tc>
        <w:tc>
          <w:tcPr>
            <w:tcW w:w="4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60"/>
              <w:spacing w:after="0"/>
              <w:rPr>
                <w:sz w:val="20"/>
                <w:szCs w:val="20"/>
                <w:color w:val="auto"/>
              </w:rPr>
            </w:pPr>
            <w:r>
              <w:rPr>
                <w:rFonts w:ascii="Arial" w:cs="Arial" w:eastAsia="Arial" w:hAnsi="Arial"/>
                <w:sz w:val="12"/>
                <w:szCs w:val="12"/>
                <w:color w:val="auto"/>
              </w:rPr>
              <w:t>DBI Intermediate Holdco, LLC, Term Loan B</w:t>
            </w:r>
          </w:p>
        </w:tc>
        <w:tc>
          <w:tcPr>
            <w:tcW w:w="1300" w:type="dxa"/>
            <w:vAlign w:val="bottom"/>
            <w:gridSpan w:val="2"/>
          </w:tcPr>
          <w:p>
            <w:pPr>
              <w:jc w:val="center"/>
              <w:ind w:left="342"/>
              <w:spacing w:after="0"/>
              <w:rPr>
                <w:sz w:val="20"/>
                <w:szCs w:val="20"/>
                <w:color w:val="auto"/>
              </w:rPr>
            </w:pPr>
            <w:r>
              <w:rPr>
                <w:rFonts w:ascii="Arial" w:cs="Arial" w:eastAsia="Arial" w:hAnsi="Arial"/>
                <w:sz w:val="12"/>
                <w:szCs w:val="12"/>
                <w:color w:val="auto"/>
                <w:w w:val="89"/>
              </w:rPr>
              <w:t>02/02/2026</w:t>
            </w:r>
          </w:p>
        </w:tc>
        <w:tc>
          <w:tcPr>
            <w:tcW w:w="160" w:type="dxa"/>
            <w:vAlign w:val="bottom"/>
          </w:tcPr>
          <w:p>
            <w:pPr>
              <w:spacing w:after="0"/>
              <w:rPr>
                <w:sz w:val="12"/>
                <w:szCs w:val="12"/>
                <w:color w:val="auto"/>
              </w:rPr>
            </w:pPr>
          </w:p>
        </w:tc>
        <w:tc>
          <w:tcPr>
            <w:tcW w:w="820" w:type="dxa"/>
            <w:vAlign w:val="bottom"/>
          </w:tcPr>
          <w:p>
            <w:pPr>
              <w:jc w:val="center"/>
              <w:ind w:right="222"/>
              <w:spacing w:after="0"/>
              <w:rPr>
                <w:sz w:val="20"/>
                <w:szCs w:val="20"/>
                <w:color w:val="auto"/>
              </w:rPr>
            </w:pPr>
            <w:r>
              <w:rPr>
                <w:rFonts w:ascii="Arial" w:cs="Arial" w:eastAsia="Arial" w:hAnsi="Arial"/>
                <w:sz w:val="12"/>
                <w:szCs w:val="12"/>
                <w:color w:val="auto"/>
                <w:w w:val="83"/>
              </w:rPr>
              <w:t>11.00%</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2,434,333</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2,434,333</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6"/>
              </w:rPr>
              <w:t>2,434,333</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Inventus Power, Inc.</w:t>
            </w:r>
          </w:p>
        </w:tc>
        <w:tc>
          <w:tcPr>
            <w:tcW w:w="1300" w:type="dxa"/>
            <w:vAlign w:val="bottom"/>
            <w:gridSpan w:val="2"/>
            <w:shd w:val="clear" w:color="auto" w:fill="CFF0FC"/>
          </w:tcPr>
          <w:p>
            <w:pPr>
              <w:jc w:val="center"/>
              <w:ind w:left="342"/>
              <w:spacing w:after="0"/>
              <w:rPr>
                <w:sz w:val="20"/>
                <w:szCs w:val="20"/>
                <w:color w:val="auto"/>
              </w:rPr>
            </w:pPr>
            <w:r>
              <w:rPr>
                <w:rFonts w:ascii="Arial" w:cs="Arial" w:eastAsia="Arial" w:hAnsi="Arial"/>
                <w:sz w:val="12"/>
                <w:szCs w:val="12"/>
                <w:color w:val="auto"/>
                <w:w w:val="89"/>
              </w:rPr>
              <w:t>02/02/2026</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center"/>
              <w:ind w:right="222"/>
              <w:spacing w:after="0"/>
              <w:rPr>
                <w:sz w:val="20"/>
                <w:szCs w:val="20"/>
                <w:color w:val="auto"/>
              </w:rPr>
            </w:pPr>
            <w:r>
              <w:rPr>
                <w:rFonts w:ascii="Arial" w:cs="Arial" w:eastAsia="Arial" w:hAnsi="Arial"/>
                <w:sz w:val="12"/>
                <w:szCs w:val="12"/>
                <w:color w:val="auto"/>
                <w:w w:val="88"/>
              </w:rPr>
              <w:t>9.50%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3,000,000</w:t>
            </w:r>
          </w:p>
        </w:tc>
        <w:tc>
          <w:tcPr>
            <w:tcW w:w="6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9"/>
              </w:rPr>
              <w:t>2,946,584</w:t>
            </w:r>
          </w:p>
        </w:tc>
        <w:tc>
          <w:tcPr>
            <w:tcW w:w="36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2"/>
                <w:szCs w:val="12"/>
                <w:color w:val="auto"/>
                <w:w w:val="86"/>
              </w:rPr>
              <w:t>2,940,000</w:t>
            </w:r>
          </w:p>
        </w:tc>
        <w:tc>
          <w:tcPr>
            <w:tcW w:w="36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5.7</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5,380,917</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5,374,333</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10.5</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Equity Securities -3.3%</w:t>
            </w:r>
          </w:p>
        </w:tc>
        <w:tc>
          <w:tcPr>
            <w:tcW w:w="4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20"/>
                <w:szCs w:val="20"/>
                <w:color w:val="auto"/>
              </w:rPr>
            </w:pPr>
            <w:r>
              <w:rPr>
                <w:rFonts w:ascii="Arial" w:cs="Arial" w:eastAsia="Arial" w:hAnsi="Arial"/>
                <w:sz w:val="12"/>
                <w:szCs w:val="12"/>
                <w:color w:val="auto"/>
              </w:rPr>
              <w:t>Business Services</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DBI Intermediate Holdco, LLC, Series A-1</w:t>
            </w:r>
          </w:p>
        </w:tc>
        <w:tc>
          <w:tcPr>
            <w:tcW w:w="1300" w:type="dxa"/>
            <w:vAlign w:val="bottom"/>
            <w:gridSpan w:val="2"/>
            <w:shd w:val="clear" w:color="auto" w:fill="CFF0FC"/>
          </w:tcPr>
          <w:p>
            <w:pPr>
              <w:jc w:val="center"/>
              <w:ind w:left="342"/>
              <w:spacing w:after="0"/>
              <w:rPr>
                <w:sz w:val="20"/>
                <w:szCs w:val="20"/>
                <w:color w:val="auto"/>
              </w:rPr>
            </w:pPr>
            <w:r>
              <w:rPr>
                <w:rFonts w:ascii="Arial" w:cs="Arial" w:eastAsia="Arial" w:hAnsi="Arial"/>
                <w:sz w:val="12"/>
                <w:szCs w:val="12"/>
                <w:color w:val="auto"/>
                <w:w w:val="89"/>
              </w:rPr>
              <w:t>02/02/2026</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center"/>
              <w:ind w:right="222"/>
              <w:spacing w:after="0"/>
              <w:rPr>
                <w:sz w:val="20"/>
                <w:szCs w:val="20"/>
                <w:color w:val="auto"/>
              </w:rPr>
            </w:pPr>
            <w:r>
              <w:rPr>
                <w:rFonts w:ascii="Arial" w:cs="Arial" w:eastAsia="Arial" w:hAnsi="Arial"/>
                <w:sz w:val="12"/>
                <w:szCs w:val="12"/>
                <w:color w:val="auto"/>
                <w:w w:val="93"/>
              </w:rPr>
              <w:t>13.00%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6,784</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5,034,310</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8"/>
              </w:rPr>
              <w:t>-</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ind w:left="260"/>
              <w:spacing w:after="0"/>
              <w:rPr>
                <w:sz w:val="20"/>
                <w:szCs w:val="20"/>
                <w:color w:val="auto"/>
              </w:rPr>
            </w:pPr>
            <w:r>
              <w:rPr>
                <w:rFonts w:ascii="Arial" w:cs="Arial" w:eastAsia="Arial" w:hAnsi="Arial"/>
                <w:sz w:val="12"/>
                <w:szCs w:val="12"/>
                <w:color w:val="auto"/>
              </w:rPr>
              <w:t>DBI Intermediate Holdco, LLC, Series AA</w:t>
            </w:r>
          </w:p>
        </w:tc>
        <w:tc>
          <w:tcPr>
            <w:tcW w:w="1300" w:type="dxa"/>
            <w:vAlign w:val="bottom"/>
            <w:gridSpan w:val="2"/>
          </w:tcPr>
          <w:p>
            <w:pPr>
              <w:jc w:val="center"/>
              <w:ind w:left="342"/>
              <w:spacing w:after="0"/>
              <w:rPr>
                <w:sz w:val="20"/>
                <w:szCs w:val="20"/>
                <w:color w:val="auto"/>
              </w:rPr>
            </w:pPr>
            <w:r>
              <w:rPr>
                <w:rFonts w:ascii="Arial" w:cs="Arial" w:eastAsia="Arial" w:hAnsi="Arial"/>
                <w:sz w:val="12"/>
                <w:szCs w:val="12"/>
                <w:color w:val="auto"/>
                <w:w w:val="89"/>
              </w:rPr>
              <w:t>02/02/2026</w:t>
            </w:r>
          </w:p>
        </w:tc>
        <w:tc>
          <w:tcPr>
            <w:tcW w:w="160" w:type="dxa"/>
            <w:vAlign w:val="bottom"/>
          </w:tcPr>
          <w:p>
            <w:pPr>
              <w:spacing w:after="0"/>
              <w:rPr>
                <w:sz w:val="12"/>
                <w:szCs w:val="12"/>
                <w:color w:val="auto"/>
              </w:rPr>
            </w:pPr>
          </w:p>
        </w:tc>
        <w:tc>
          <w:tcPr>
            <w:tcW w:w="820" w:type="dxa"/>
            <w:vAlign w:val="bottom"/>
          </w:tcPr>
          <w:p>
            <w:pPr>
              <w:jc w:val="center"/>
              <w:ind w:right="222"/>
              <w:spacing w:after="0"/>
              <w:rPr>
                <w:sz w:val="20"/>
                <w:szCs w:val="20"/>
                <w:color w:val="auto"/>
              </w:rPr>
            </w:pPr>
            <w:r>
              <w:rPr>
                <w:rFonts w:ascii="Arial" w:cs="Arial" w:eastAsia="Arial" w:hAnsi="Arial"/>
                <w:sz w:val="12"/>
                <w:szCs w:val="12"/>
                <w:color w:val="auto"/>
                <w:w w:val="88"/>
              </w:rPr>
              <w:t>0.00%</w:t>
            </w:r>
          </w:p>
        </w:tc>
        <w:tc>
          <w:tcPr>
            <w:tcW w:w="440" w:type="dxa"/>
            <w:vAlign w:val="bottom"/>
          </w:tcPr>
          <w:p>
            <w:pPr>
              <w:spacing w:after="0"/>
              <w:rPr>
                <w:sz w:val="12"/>
                <w:szCs w:val="12"/>
                <w:color w:val="auto"/>
              </w:rPr>
            </w:pPr>
          </w:p>
        </w:tc>
        <w:tc>
          <w:tcPr>
            <w:tcW w:w="860" w:type="dxa"/>
            <w:vAlign w:val="bottom"/>
          </w:tcPr>
          <w:p>
            <w:pPr>
              <w:jc w:val="center"/>
              <w:ind w:left="22"/>
              <w:spacing w:after="0"/>
              <w:rPr>
                <w:sz w:val="20"/>
                <w:szCs w:val="20"/>
                <w:color w:val="auto"/>
              </w:rPr>
            </w:pPr>
            <w:r>
              <w:rPr>
                <w:rFonts w:ascii="Arial" w:cs="Arial" w:eastAsia="Arial" w:hAnsi="Arial"/>
                <w:sz w:val="12"/>
                <w:szCs w:val="12"/>
                <w:color w:val="auto"/>
                <w:w w:val="86"/>
              </w:rPr>
              <w:t>7,007</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6,731,347</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auto"/>
                <w:w w:val="86"/>
              </w:rPr>
              <w:t>1,314,706</w:t>
            </w:r>
          </w:p>
        </w:tc>
        <w:tc>
          <w:tcPr>
            <w:tcW w:w="3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2.6</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DBI Intermediate Holdco, LLC, Series B</w:t>
            </w:r>
          </w:p>
        </w:tc>
        <w:tc>
          <w:tcPr>
            <w:tcW w:w="1300" w:type="dxa"/>
            <w:vAlign w:val="bottom"/>
            <w:gridSpan w:val="2"/>
            <w:shd w:val="clear" w:color="auto" w:fill="CFF0FC"/>
          </w:tcPr>
          <w:p>
            <w:pPr>
              <w:jc w:val="center"/>
              <w:ind w:left="342"/>
              <w:spacing w:after="0"/>
              <w:rPr>
                <w:sz w:val="20"/>
                <w:szCs w:val="20"/>
                <w:color w:val="auto"/>
              </w:rPr>
            </w:pPr>
            <w:r>
              <w:rPr>
                <w:rFonts w:ascii="Arial" w:cs="Arial" w:eastAsia="Arial" w:hAnsi="Arial"/>
                <w:sz w:val="12"/>
                <w:szCs w:val="12"/>
                <w:color w:val="auto"/>
                <w:w w:val="89"/>
              </w:rPr>
              <w:t>02/02/2026</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center"/>
              <w:ind w:right="222"/>
              <w:spacing w:after="0"/>
              <w:rPr>
                <w:sz w:val="20"/>
                <w:szCs w:val="20"/>
                <w:color w:val="auto"/>
              </w:rPr>
            </w:pPr>
            <w:r>
              <w:rPr>
                <w:rFonts w:ascii="Arial" w:cs="Arial" w:eastAsia="Arial" w:hAnsi="Arial"/>
                <w:sz w:val="12"/>
                <w:szCs w:val="12"/>
                <w:color w:val="auto"/>
                <w:w w:val="88"/>
              </w:rPr>
              <w:t>0.00%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22"/>
              <w:spacing w:after="0"/>
              <w:rPr>
                <w:sz w:val="20"/>
                <w:szCs w:val="20"/>
                <w:color w:val="auto"/>
              </w:rPr>
            </w:pPr>
            <w:r>
              <w:rPr>
                <w:rFonts w:ascii="Arial" w:cs="Arial" w:eastAsia="Arial" w:hAnsi="Arial"/>
                <w:sz w:val="12"/>
                <w:szCs w:val="12"/>
                <w:color w:val="auto"/>
                <w:w w:val="86"/>
              </w:rPr>
              <w:t>1,065,021</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2"/>
              </w:rPr>
              <w:t>236,521</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8"/>
              </w:rPr>
              <w:t>-</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20"/>
                <w:szCs w:val="20"/>
                <w:color w:val="auto"/>
              </w:rPr>
            </w:pPr>
            <w:r>
              <w:rPr>
                <w:rFonts w:ascii="Arial" w:cs="Arial" w:eastAsia="Arial" w:hAnsi="Arial"/>
                <w:sz w:val="12"/>
                <w:szCs w:val="12"/>
                <w:color w:val="auto"/>
              </w:rPr>
              <w:t>Media: Diversified and Production</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New MPE Holdings, LLC</w:t>
            </w:r>
          </w:p>
        </w:tc>
        <w:tc>
          <w:tcPr>
            <w:tcW w:w="1300" w:type="dxa"/>
            <w:vAlign w:val="bottom"/>
            <w:gridSpan w:val="2"/>
            <w:shd w:val="clear" w:color="auto" w:fill="CFF0FC"/>
          </w:tcPr>
          <w:p>
            <w:pPr>
              <w:jc w:val="center"/>
              <w:ind w:left="342"/>
              <w:spacing w:after="0"/>
              <w:rPr>
                <w:sz w:val="20"/>
                <w:szCs w:val="20"/>
                <w:color w:val="auto"/>
              </w:rPr>
            </w:pPr>
            <w:r>
              <w:rPr>
                <w:rFonts w:ascii="Arial" w:cs="Arial" w:eastAsia="Arial" w:hAnsi="Arial"/>
                <w:sz w:val="12"/>
                <w:szCs w:val="12"/>
                <w:color w:val="auto"/>
                <w:w w:val="89"/>
              </w:rPr>
              <w:t>02/02/2026</w:t>
            </w: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jc w:val="center"/>
              <w:ind w:right="222"/>
              <w:spacing w:after="0"/>
              <w:rPr>
                <w:sz w:val="20"/>
                <w:szCs w:val="20"/>
                <w:color w:val="auto"/>
              </w:rPr>
            </w:pPr>
            <w:r>
              <w:rPr>
                <w:rFonts w:ascii="Arial" w:cs="Arial" w:eastAsia="Arial" w:hAnsi="Arial"/>
                <w:sz w:val="12"/>
                <w:szCs w:val="12"/>
                <w:color w:val="auto"/>
                <w:w w:val="88"/>
              </w:rPr>
              <w:t>0.00%</w:t>
            </w: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jc w:val="center"/>
              <w:ind w:left="42"/>
              <w:spacing w:after="0"/>
              <w:rPr>
                <w:sz w:val="20"/>
                <w:szCs w:val="20"/>
                <w:color w:val="auto"/>
              </w:rPr>
            </w:pPr>
            <w:r>
              <w:rPr>
                <w:rFonts w:ascii="Arial" w:cs="Arial" w:eastAsia="Arial" w:hAnsi="Arial"/>
                <w:sz w:val="12"/>
                <w:szCs w:val="12"/>
                <w:color w:val="auto"/>
                <w:w w:val="89"/>
              </w:rPr>
              <w:t>47</w:t>
            </w: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8"/>
              </w:rPr>
              <w:t>-</w:t>
            </w: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7"/>
              </w:rPr>
              <w:t>362,244</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0.7</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Equity Services</w:t>
            </w:r>
          </w:p>
        </w:tc>
        <w:tc>
          <w:tcPr>
            <w:tcW w:w="400" w:type="dxa"/>
            <w:vAlign w:val="bottom"/>
            <w:tcBorders>
              <w:bottom w:val="single" w:sz="8" w:color="CFF0FC"/>
            </w:tcBorders>
          </w:tcPr>
          <w:p>
            <w:pPr>
              <w:spacing w:after="0"/>
              <w:rPr>
                <w:sz w:val="12"/>
                <w:szCs w:val="12"/>
                <w:color w:val="auto"/>
              </w:rPr>
            </w:pPr>
          </w:p>
        </w:tc>
        <w:tc>
          <w:tcPr>
            <w:tcW w:w="90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820" w:type="dxa"/>
            <w:vAlign w:val="bottom"/>
            <w:tcBorders>
              <w:bottom w:val="single" w:sz="8" w:color="CFF0FC"/>
            </w:tcBorders>
          </w:tcPr>
          <w:p>
            <w:pPr>
              <w:spacing w:after="0"/>
              <w:rPr>
                <w:sz w:val="12"/>
                <w:szCs w:val="12"/>
                <w:color w:val="auto"/>
              </w:rPr>
            </w:pPr>
          </w:p>
        </w:tc>
        <w:tc>
          <w:tcPr>
            <w:tcW w:w="440" w:type="dxa"/>
            <w:vAlign w:val="bottom"/>
            <w:tcBorders>
              <w:bottom w:val="single" w:sz="8" w:color="CFF0FC"/>
            </w:tcBorders>
          </w:tcPr>
          <w:p>
            <w:pPr>
              <w:spacing w:after="0"/>
              <w:rPr>
                <w:sz w:val="12"/>
                <w:szCs w:val="12"/>
                <w:color w:val="auto"/>
              </w:rPr>
            </w:pPr>
          </w:p>
        </w:tc>
        <w:tc>
          <w:tcPr>
            <w:tcW w:w="860" w:type="dxa"/>
            <w:vAlign w:val="bottom"/>
            <w:tcBorders>
              <w:bottom w:val="single" w:sz="8" w:color="CFF0FC"/>
            </w:tcBorders>
          </w:tcPr>
          <w:p>
            <w:pPr>
              <w:spacing w:after="0"/>
              <w:rPr>
                <w:sz w:val="12"/>
                <w:szCs w:val="12"/>
                <w:color w:val="auto"/>
              </w:rPr>
            </w:pPr>
          </w:p>
        </w:tc>
        <w:tc>
          <w:tcPr>
            <w:tcW w:w="6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12,002,178</w:t>
            </w:r>
          </w:p>
        </w:tc>
        <w:tc>
          <w:tcPr>
            <w:tcW w:w="36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1,676,950</w:t>
            </w:r>
          </w:p>
        </w:tc>
        <w:tc>
          <w:tcPr>
            <w:tcW w:w="36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4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-1101.7%</w:t>
            </w:r>
          </w:p>
        </w:tc>
        <w:tc>
          <w:tcPr>
            <w:tcW w:w="4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576,262,980</w:t>
            </w:r>
          </w:p>
        </w:tc>
        <w:tc>
          <w:tcPr>
            <w:tcW w:w="720" w:type="dxa"/>
            <w:vAlign w:val="bottom"/>
            <w:gridSpan w:val="3"/>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564,783,128</w:t>
            </w: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1,101.7</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Cash and Cash Equivalents - 55.3%</w:t>
            </w:r>
          </w:p>
        </w:tc>
        <w:tc>
          <w:tcPr>
            <w:tcW w:w="400" w:type="dxa"/>
            <w:vAlign w:val="bottom"/>
            <w:tcBorders>
              <w:bottom w:val="single" w:sz="8" w:color="CFF0FC"/>
            </w:tcBorders>
          </w:tcPr>
          <w:p>
            <w:pPr>
              <w:spacing w:after="0"/>
              <w:rPr>
                <w:sz w:val="12"/>
                <w:szCs w:val="12"/>
                <w:color w:val="auto"/>
              </w:rPr>
            </w:pPr>
          </w:p>
        </w:tc>
        <w:tc>
          <w:tcPr>
            <w:tcW w:w="90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820" w:type="dxa"/>
            <w:vAlign w:val="bottom"/>
            <w:tcBorders>
              <w:bottom w:val="single" w:sz="8" w:color="CFF0FC"/>
            </w:tcBorders>
          </w:tcPr>
          <w:p>
            <w:pPr>
              <w:spacing w:after="0"/>
              <w:rPr>
                <w:sz w:val="12"/>
                <w:szCs w:val="12"/>
                <w:color w:val="auto"/>
              </w:rPr>
            </w:pPr>
          </w:p>
        </w:tc>
        <w:tc>
          <w:tcPr>
            <w:tcW w:w="440" w:type="dxa"/>
            <w:vAlign w:val="bottom"/>
            <w:tcBorders>
              <w:bottom w:val="single" w:sz="8" w:color="CFF0FC"/>
            </w:tcBorders>
          </w:tcPr>
          <w:p>
            <w:pPr>
              <w:spacing w:after="0"/>
              <w:rPr>
                <w:sz w:val="12"/>
                <w:szCs w:val="12"/>
                <w:color w:val="auto"/>
              </w:rPr>
            </w:pPr>
          </w:p>
        </w:tc>
        <w:tc>
          <w:tcPr>
            <w:tcW w:w="860" w:type="dxa"/>
            <w:vAlign w:val="bottom"/>
            <w:tcBorders>
              <w:bottom w:val="single" w:sz="8" w:color="CFF0FC"/>
            </w:tcBorders>
          </w:tcPr>
          <w:p>
            <w:pPr>
              <w:spacing w:after="0"/>
              <w:rPr>
                <w:sz w:val="12"/>
                <w:szCs w:val="12"/>
                <w:color w:val="auto"/>
              </w:rPr>
            </w:pPr>
          </w:p>
        </w:tc>
        <w:tc>
          <w:tcPr>
            <w:tcW w:w="6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28,386,681</w:t>
            </w:r>
          </w:p>
        </w:tc>
        <w:tc>
          <w:tcPr>
            <w:tcW w:w="36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28,373,541</w:t>
            </w:r>
          </w:p>
        </w:tc>
        <w:tc>
          <w:tcPr>
            <w:tcW w:w="36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55.3</w:t>
            </w:r>
          </w:p>
        </w:tc>
        <w:tc>
          <w:tcPr>
            <w:tcW w:w="4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 —1,157.1%</w:t>
            </w:r>
          </w:p>
        </w:tc>
        <w:tc>
          <w:tcPr>
            <w:tcW w:w="40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604,649,661</w:t>
            </w:r>
          </w:p>
        </w:tc>
        <w:tc>
          <w:tcPr>
            <w:tcW w:w="3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593,156,669</w:t>
            </w:r>
          </w:p>
        </w:tc>
        <w:tc>
          <w:tcPr>
            <w:tcW w:w="36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1,157.1</w:t>
            </w:r>
          </w:p>
        </w:tc>
        <w:tc>
          <w:tcPr>
            <w:tcW w:w="4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Assets-1,057.1%</w:t>
            </w: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(541,892,538)</w:t>
            </w: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-1,057.1</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0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Members’ Equity—100.0%</w:t>
            </w:r>
          </w:p>
        </w:tc>
        <w:tc>
          <w:tcPr>
            <w:tcW w:w="40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CFF0FC"/>
            </w:tcBorders>
            <w:shd w:val="clear" w:color="auto" w:fill="CFF0FC"/>
          </w:tcPr>
          <w:p>
            <w:pPr>
              <w:spacing w:after="0"/>
              <w:rPr>
                <w:sz w:val="11"/>
                <w:szCs w:val="11"/>
                <w:color w:val="auto"/>
              </w:rPr>
            </w:pPr>
          </w:p>
        </w:tc>
        <w:tc>
          <w:tcPr>
            <w:tcW w:w="44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51,264,131</w:t>
            </w:r>
          </w:p>
        </w:tc>
        <w:tc>
          <w:tcPr>
            <w:tcW w:w="36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100.0</w:t>
            </w:r>
          </w:p>
        </w:tc>
        <w:tc>
          <w:tcPr>
            <w:tcW w:w="400" w:type="dxa"/>
            <w:vAlign w:val="bottom"/>
            <w:tcBorders>
              <w:top w:val="single" w:sz="8" w:color="CFF0FC"/>
            </w:tcBorders>
            <w:shd w:val="clear" w:color="auto" w:fill="CFF0FC"/>
          </w:tcPr>
          <w:p>
            <w:pPr>
              <w:jc w:val="right"/>
              <w:ind w:right="122"/>
              <w:spacing w:after="0" w:line="12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-1731010</wp:posOffset>
            </wp:positionV>
            <wp:extent cx="184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1841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-1636395</wp:posOffset>
            </wp:positionV>
            <wp:extent cx="184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1841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-1447800</wp:posOffset>
            </wp:positionV>
            <wp:extent cx="184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1841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-1344930</wp:posOffset>
            </wp:positionV>
            <wp:extent cx="184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1841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-1062355</wp:posOffset>
            </wp:positionV>
            <wp:extent cx="184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1841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-967740</wp:posOffset>
            </wp:positionV>
            <wp:extent cx="184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1841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-873760</wp:posOffset>
            </wp:positionV>
            <wp:extent cx="184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18415"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-779145</wp:posOffset>
            </wp:positionV>
            <wp:extent cx="184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1841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-685165</wp:posOffset>
            </wp:positionV>
            <wp:extent cx="184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18415"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-590550</wp:posOffset>
            </wp:positionV>
            <wp:extent cx="184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1841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-393700</wp:posOffset>
            </wp:positionV>
            <wp:extent cx="184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1841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-290830</wp:posOffset>
            </wp:positionV>
            <wp:extent cx="184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1841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-170815</wp:posOffset>
            </wp:positionV>
            <wp:extent cx="184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18415" cy="8255"/>
                    </a:xfrm>
                    <a:prstGeom prst="rect">
                      <a:avLst/>
                    </a:prstGeom>
                    <a:noFill/>
                  </pic:spPr>
                </pic:pic>
              </a:graphicData>
            </a:graphic>
          </wp:anchor>
        </w:drawing>
      </w:r>
    </w:p>
    <w:p>
      <w:pPr>
        <w:ind w:left="260" w:right="40" w:hanging="5"/>
        <w:spacing w:after="0" w:line="234" w:lineRule="auto"/>
        <w:tabs>
          <w:tab w:leader="none" w:pos="387" w:val="left"/>
        </w:tabs>
        <w:numPr>
          <w:ilvl w:val="0"/>
          <w:numId w:val="99"/>
        </w:numPr>
        <w:rPr>
          <w:rFonts w:ascii="Arial" w:cs="Arial" w:eastAsia="Arial" w:hAnsi="Arial"/>
          <w:sz w:val="9"/>
          <w:szCs w:val="9"/>
          <w:color w:val="auto"/>
        </w:rPr>
      </w:pPr>
      <w:r>
        <w:rPr>
          <w:rFonts w:ascii="Arial" w:cs="Arial" w:eastAsia="Arial" w:hAnsi="Arial"/>
          <w:sz w:val="9"/>
          <w:szCs w:val="9"/>
          <w:color w:val="auto"/>
        </w:rPr>
        <w:t>Represents floating rate instruments that accrue interest at a predetermined spread relative to an index, typically the applicable LIBOR or “L” or Prime rate or “P”. The spread may change based on the type of rate used. The terms in the Consolidated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125"/>
        <w:spacing w:after="0"/>
        <w:tabs>
          <w:tab w:leader="none" w:pos="380" w:val="left"/>
        </w:tabs>
        <w:numPr>
          <w:ilvl w:val="0"/>
          <w:numId w:val="99"/>
        </w:numPr>
        <w:rPr>
          <w:rFonts w:ascii="Arial" w:cs="Arial" w:eastAsia="Arial" w:hAnsi="Arial"/>
          <w:sz w:val="9"/>
          <w:szCs w:val="9"/>
          <w:color w:val="auto"/>
        </w:rPr>
      </w:pPr>
      <w:r>
        <w:rPr>
          <w:rFonts w:ascii="Arial" w:cs="Arial" w:eastAsia="Arial" w:hAnsi="Arial"/>
          <w:sz w:val="9"/>
          <w:szCs w:val="9"/>
          <w:color w:val="auto"/>
        </w:rPr>
        <w:t>Valued based on PSSL’s accounting policy.</w:t>
      </w:r>
    </w:p>
    <w:p>
      <w:pPr>
        <w:spacing w:after="0" w:line="4" w:lineRule="exact"/>
        <w:rPr>
          <w:rFonts w:ascii="Arial" w:cs="Arial" w:eastAsia="Arial" w:hAnsi="Arial"/>
          <w:sz w:val="9"/>
          <w:szCs w:val="9"/>
          <w:color w:val="auto"/>
        </w:rPr>
      </w:pPr>
    </w:p>
    <w:p>
      <w:pPr>
        <w:ind w:left="380" w:hanging="125"/>
        <w:spacing w:after="0"/>
        <w:tabs>
          <w:tab w:leader="none" w:pos="380" w:val="left"/>
        </w:tabs>
        <w:numPr>
          <w:ilvl w:val="0"/>
          <w:numId w:val="99"/>
        </w:numPr>
        <w:rPr>
          <w:rFonts w:ascii="Arial" w:cs="Arial" w:eastAsia="Arial" w:hAnsi="Arial"/>
          <w:sz w:val="9"/>
          <w:szCs w:val="9"/>
          <w:color w:val="auto"/>
        </w:rPr>
      </w:pPr>
      <w:r>
        <w:rPr>
          <w:rFonts w:ascii="Arial" w:cs="Arial" w:eastAsia="Arial" w:hAnsi="Arial"/>
          <w:sz w:val="9"/>
          <w:szCs w:val="9"/>
          <w:color w:val="auto"/>
        </w:rPr>
        <w:t>Represents the purchase of a security with a delayed settlement or a revolving line of credit that is currently an unfunded investment. This security does not earn a basis point spread above an index while it is unfunded.</w:t>
      </w:r>
    </w:p>
    <w:p>
      <w:pPr>
        <w:spacing w:after="0" w:line="4" w:lineRule="exact"/>
        <w:rPr>
          <w:rFonts w:ascii="Arial" w:cs="Arial" w:eastAsia="Arial" w:hAnsi="Arial"/>
          <w:sz w:val="9"/>
          <w:szCs w:val="9"/>
          <w:color w:val="auto"/>
        </w:rPr>
      </w:pPr>
    </w:p>
    <w:p>
      <w:pPr>
        <w:ind w:left="380" w:hanging="125"/>
        <w:spacing w:after="0"/>
        <w:tabs>
          <w:tab w:leader="none" w:pos="380" w:val="left"/>
        </w:tabs>
        <w:numPr>
          <w:ilvl w:val="0"/>
          <w:numId w:val="99"/>
        </w:numPr>
        <w:rPr>
          <w:rFonts w:ascii="Arial" w:cs="Arial" w:eastAsia="Arial" w:hAnsi="Arial"/>
          <w:sz w:val="9"/>
          <w:szCs w:val="9"/>
          <w:color w:val="auto"/>
        </w:rPr>
      </w:pPr>
      <w:r>
        <w:rPr>
          <w:rFonts w:ascii="Arial" w:cs="Arial" w:eastAsia="Arial" w:hAnsi="Arial"/>
          <w:sz w:val="9"/>
          <w:szCs w:val="9"/>
          <w:color w:val="auto"/>
        </w:rPr>
        <w:t>Security currently on interest non-accrual status.</w:t>
      </w:r>
    </w:p>
    <w:p>
      <w:pPr>
        <w:spacing w:after="0" w:line="24" w:lineRule="exact"/>
        <w:rPr>
          <w:sz w:val="20"/>
          <w:szCs w:val="20"/>
          <w:color w:val="auto"/>
        </w:rPr>
      </w:pPr>
    </w:p>
    <w:p>
      <w:pPr>
        <w:spacing w:after="0"/>
        <w:rPr>
          <w:sz w:val="20"/>
          <w:szCs w:val="20"/>
          <w:color w:val="auto"/>
        </w:rPr>
      </w:pPr>
      <w:r>
        <w:rPr>
          <w:rFonts w:ascii="Arial" w:cs="Arial" w:eastAsia="Arial" w:hAnsi="Arial"/>
          <w:sz w:val="4"/>
          <w:szCs w:val="4"/>
          <w:b w:val="1"/>
          <w:bCs w:val="1"/>
          <w:color w:val="auto"/>
        </w:rPr>
        <w: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ind w:left="100"/>
              <w:spacing w:after="0"/>
              <w:rPr>
                <w:sz w:val="20"/>
                <w:szCs w:val="20"/>
                <w:color w:val="auto"/>
              </w:rPr>
            </w:pPr>
            <w:r>
              <w:rPr>
                <w:rFonts w:ascii="Arial" w:cs="Arial" w:eastAsia="Arial" w:hAnsi="Arial"/>
                <w:sz w:val="12"/>
                <w:szCs w:val="12"/>
                <w:b w:val="1"/>
                <w:bCs w:val="1"/>
                <w:color w:val="auto"/>
              </w:rPr>
              <w:t>Current</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center"/>
              <w:spacing w:after="0"/>
              <w:rPr>
                <w:sz w:val="20"/>
                <w:szCs w:val="20"/>
                <w:color w:val="auto"/>
              </w:rPr>
            </w:pPr>
            <w:r>
              <w:rPr>
                <w:rFonts w:ascii="Arial" w:cs="Arial" w:eastAsia="Arial" w:hAnsi="Arial"/>
                <w:sz w:val="12"/>
                <w:szCs w:val="12"/>
                <w:b w:val="1"/>
                <w:bCs w:val="1"/>
                <w:color w:val="auto"/>
                <w:w w:val="88"/>
              </w:rPr>
              <w:t>Fair Value as a Percentage</w:t>
            </w:r>
          </w:p>
        </w:tc>
      </w:tr>
      <w:tr>
        <w:trPr>
          <w:trHeight w:val="153"/>
        </w:trPr>
        <w:tc>
          <w:tcPr>
            <w:tcW w:w="3200" w:type="dxa"/>
            <w:vAlign w:val="bottom"/>
          </w:tcPr>
          <w:p>
            <w:pPr>
              <w:spacing w:after="0"/>
              <w:rPr>
                <w:sz w:val="13"/>
                <w:szCs w:val="13"/>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Maturity</w:t>
            </w:r>
          </w:p>
        </w:tc>
        <w:tc>
          <w:tcPr>
            <w:tcW w:w="1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Coupon</w:t>
            </w:r>
          </w:p>
        </w:tc>
        <w:tc>
          <w:tcPr>
            <w:tcW w:w="3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22"/>
              <w:spacing w:after="0" w:line="153" w:lineRule="exact"/>
              <w:rPr>
                <w:sz w:val="20"/>
                <w:szCs w:val="20"/>
                <w:color w:val="auto"/>
              </w:rPr>
            </w:pPr>
            <w:r>
              <w:rPr>
                <w:rFonts w:ascii="Arial" w:cs="Arial" w:eastAsia="Arial" w:hAnsi="Arial"/>
                <w:sz w:val="17"/>
                <w:szCs w:val="17"/>
                <w:b w:val="1"/>
                <w:bCs w:val="1"/>
                <w:color w:val="auto"/>
                <w:w w:val="98"/>
                <w:vertAlign w:val="subscript"/>
              </w:rPr>
              <w:t>Par</w:t>
            </w:r>
            <w:r>
              <w:rPr>
                <w:rFonts w:ascii="Arial" w:cs="Arial" w:eastAsia="Arial" w:hAnsi="Arial"/>
                <w:sz w:val="8"/>
                <w:szCs w:val="8"/>
                <w:b w:val="1"/>
                <w:bCs w:val="1"/>
                <w:color w:val="auto"/>
                <w:w w:val="98"/>
              </w:rPr>
              <w:t xml:space="preserve"> (1)</w:t>
            </w:r>
          </w:p>
        </w:tc>
        <w:tc>
          <w:tcPr>
            <w:tcW w:w="460" w:type="dxa"/>
            <w:vAlign w:val="bottom"/>
            <w:gridSpan w:val="2"/>
          </w:tcPr>
          <w:p>
            <w:pPr>
              <w:spacing w:after="0"/>
              <w:rPr>
                <w:sz w:val="13"/>
                <w:szCs w:val="13"/>
                <w:color w:val="auto"/>
              </w:rPr>
            </w:pPr>
          </w:p>
        </w:tc>
        <w:tc>
          <w:tcPr>
            <w:tcW w:w="960" w:type="dxa"/>
            <w:vAlign w:val="bottom"/>
            <w:tcBorders>
              <w:bottom w:val="single" w:sz="8" w:color="auto"/>
            </w:tcBorders>
            <w:gridSpan w:val="2"/>
          </w:tcPr>
          <w:p>
            <w:pPr>
              <w:ind w:left="360"/>
              <w:spacing w:after="0"/>
              <w:rPr>
                <w:sz w:val="20"/>
                <w:szCs w:val="20"/>
                <w:color w:val="auto"/>
              </w:rPr>
            </w:pPr>
            <w:r>
              <w:rPr>
                <w:rFonts w:ascii="Arial" w:cs="Arial" w:eastAsia="Arial" w:hAnsi="Arial"/>
                <w:sz w:val="12"/>
                <w:szCs w:val="12"/>
                <w:b w:val="1"/>
                <w:bCs w:val="1"/>
                <w:color w:val="auto"/>
              </w:rPr>
              <w:t>Cost</w:t>
            </w: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Fair Value</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22"/>
              <w:spacing w:after="0" w:line="153" w:lineRule="exact"/>
              <w:rPr>
                <w:sz w:val="20"/>
                <w:szCs w:val="20"/>
                <w:color w:val="auto"/>
              </w:rPr>
            </w:pPr>
            <w:r>
              <w:rPr>
                <w:rFonts w:ascii="Arial" w:cs="Arial" w:eastAsia="Arial" w:hAnsi="Arial"/>
                <w:sz w:val="11"/>
                <w:szCs w:val="11"/>
                <w:b w:val="1"/>
                <w:bCs w:val="1"/>
                <w:color w:val="auto"/>
                <w:w w:val="96"/>
              </w:rPr>
              <w:t xml:space="preserve">of Members’ Equity </w:t>
            </w:r>
            <w:r>
              <w:rPr>
                <w:rFonts w:ascii="Arial" w:cs="Arial" w:eastAsia="Arial" w:hAnsi="Arial"/>
                <w:sz w:val="17"/>
                <w:szCs w:val="17"/>
                <w:b w:val="1"/>
                <w:bCs w:val="1"/>
                <w:color w:val="auto"/>
                <w:w w:val="96"/>
                <w:vertAlign w:val="superscript"/>
              </w:rPr>
              <w:t>(2)</w:t>
            </w:r>
          </w:p>
        </w:tc>
      </w:tr>
      <w:tr>
        <w:trPr>
          <w:trHeight w:val="34"/>
        </w:trPr>
        <w:tc>
          <w:tcPr>
            <w:tcW w:w="3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148"/>
        </w:trPr>
        <w:tc>
          <w:tcPr>
            <w:tcW w:w="390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First Lien Secured Debt - 838.2%</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spacing w:after="0"/>
              <w:rPr>
                <w:sz w:val="20"/>
                <w:szCs w:val="20"/>
                <w:color w:val="auto"/>
              </w:rPr>
            </w:pPr>
            <w:r>
              <w:rPr>
                <w:rFonts w:ascii="Arial" w:cs="Arial" w:eastAsia="Arial" w:hAnsi="Arial"/>
                <w:sz w:val="12"/>
                <w:szCs w:val="12"/>
                <w:color w:val="auto"/>
              </w:rPr>
              <w:t>Aerospace and Defense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9"/>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Cadence Aerospace, LLC</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11/14/23</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9.50%</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11,802,082</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  11,730,187</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11,322,915</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24.8</w:t>
            </w:r>
          </w:p>
        </w:tc>
        <w:tc>
          <w:tcPr>
            <w:tcW w:w="400" w:type="dxa"/>
            <w:vAlign w:val="bottom"/>
            <w:shd w:val="clear" w:color="auto" w:fill="CFF0FC"/>
          </w:tcPr>
          <w:p>
            <w:pPr>
              <w:jc w:val="right"/>
              <w:ind w:right="142"/>
              <w:spacing w:after="0"/>
              <w:rPr>
                <w:sz w:val="20"/>
                <w:szCs w:val="20"/>
                <w:color w:val="auto"/>
              </w:rPr>
            </w:pPr>
            <w:r>
              <w:rPr>
                <w:rFonts w:ascii="Arial" w:cs="Arial" w:eastAsia="Arial" w:hAnsi="Arial"/>
                <w:sz w:val="12"/>
                <w:szCs w:val="12"/>
                <w:color w:val="auto"/>
              </w:rPr>
              <w:t>%</w:t>
            </w:r>
          </w:p>
        </w:tc>
      </w:tr>
      <w:tr>
        <w:trPr>
          <w:trHeight w:val="148"/>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Centauri Group Holdings, LLC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02/12/24</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6.25%</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5,330,847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5,330,847</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5,304,193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11.6</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IMIA Holdings, Inc.</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10/26/25</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5.50%</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12,143,568</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12,097,717</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12,022,132</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26.4</w:t>
            </w: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Whitney, Bradley &amp; Brown, Inc.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10/18/22</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8.50%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254,095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250,910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251,554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0.6</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Banking, Finance, Insurance and Real Estate</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r>
      <w:tr>
        <w:trPr>
          <w:trHeight w:val="149"/>
        </w:trPr>
        <w:tc>
          <w:tcPr>
            <w:tcW w:w="3900" w:type="dxa"/>
            <w:vAlign w:val="bottom"/>
            <w:gridSpan w:val="2"/>
          </w:tcPr>
          <w:p>
            <w:pPr>
              <w:ind w:left="260"/>
              <w:spacing w:after="0" w:line="149" w:lineRule="exact"/>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17"/>
                <w:szCs w:val="17"/>
                <w:color w:val="auto"/>
                <w:vertAlign w:val="superscript"/>
              </w:rPr>
              <w:t>(3,4)</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05/31/24</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5.46%</w:t>
            </w:r>
          </w:p>
        </w:tc>
        <w:tc>
          <w:tcPr>
            <w:tcW w:w="380" w:type="dxa"/>
            <w:vAlign w:val="bottom"/>
          </w:tcPr>
          <w:p>
            <w:pPr>
              <w:spacing w:after="0"/>
              <w:rPr>
                <w:sz w:val="12"/>
                <w:szCs w:val="12"/>
                <w:color w:val="auto"/>
              </w:rPr>
            </w:pPr>
          </w:p>
        </w:tc>
        <w:tc>
          <w:tcPr>
            <w:tcW w:w="360" w:type="dxa"/>
            <w:vAlign w:val="bottom"/>
          </w:tcPr>
          <w:p>
            <w:pPr>
              <w:ind w:left="80"/>
              <w:spacing w:after="0"/>
              <w:rPr>
                <w:sz w:val="20"/>
                <w:szCs w:val="20"/>
                <w:color w:val="auto"/>
              </w:rPr>
            </w:pPr>
            <w:r>
              <w:rPr>
                <w:rFonts w:ascii="Arial" w:cs="Arial" w:eastAsia="Arial" w:hAnsi="Arial"/>
                <w:sz w:val="12"/>
                <w:szCs w:val="12"/>
                <w:color w:val="auto"/>
              </w:rPr>
              <w:t>AUD</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10,000,000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7,411,600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6,809,125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14.9</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Beverage, Food and Tobacco</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Cardenas Markets LLC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11/29/23</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6.75%</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4,779,776</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4,759,527</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4,779,776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10.5</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Country Fresh Holdings, LLC - First Out</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05/01/23</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6.00%</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182,403</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179,976</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182,403</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0.4</w:t>
            </w: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Country Fresh Holdings, LLC - Funded Revolver</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05/01/23</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6.00%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450,110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450,111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450,110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1.0</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Good2Grow LLC</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11/18/24</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5.25%</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9,499,183</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9,429,133</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9,427,938</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20.7</w:t>
            </w:r>
          </w:p>
        </w:tc>
        <w:tc>
          <w:tcPr>
            <w:tcW w:w="400" w:type="dxa"/>
            <w:vAlign w:val="bottom"/>
            <w:shd w:val="clear" w:color="auto" w:fill="CFF0FC"/>
          </w:tcPr>
          <w:p>
            <w:pPr>
              <w:spacing w:after="0"/>
              <w:rPr>
                <w:sz w:val="12"/>
                <w:szCs w:val="12"/>
                <w:color w:val="auto"/>
              </w:rPr>
            </w:pPr>
          </w:p>
        </w:tc>
      </w:tr>
      <w:tr>
        <w:trPr>
          <w:trHeight w:val="149"/>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Snak Club, LLC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07/19/21</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6.50%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4,561,971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4,561,971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4,493,542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9.9</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Business Services</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Altamira Technologies, LLC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07/24/25</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7.00%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4,856,155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4,795,251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4,686,189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10.3</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Challenger Performance Optimization, Inc.</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08/31/23</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7.00%</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9,663,392</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9,595,826</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8,986,954</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19.7</w:t>
            </w: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Output Services Group, Inc.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03/27/24</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5.50%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7,803,419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7,825,029</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7,101,111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15.6</w:t>
            </w:r>
          </w:p>
        </w:tc>
        <w:tc>
          <w:tcPr>
            <w:tcW w:w="400" w:type="dxa"/>
            <w:vAlign w:val="bottom"/>
          </w:tcPr>
          <w:p>
            <w:pPr>
              <w:spacing w:after="0"/>
              <w:rPr>
                <w:sz w:val="12"/>
                <w:szCs w:val="12"/>
                <w:color w:val="auto"/>
              </w:rPr>
            </w:pPr>
          </w:p>
        </w:tc>
      </w:tr>
      <w:tr>
        <w:trPr>
          <w:trHeight w:val="149"/>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Schlesinger Global, Inc.</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07/14/25</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7.00%</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11,904,617</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11,904,617</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11,041,532</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24.2</w:t>
            </w: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Teneo Holdings LLC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07/18/25</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6.25%</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4,950,000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4,783,595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4,764,375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10.4</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Capital Equipment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LAV Gear Holdings, Inc.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10/31/24</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8.50%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9,975,861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9,902,990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9,188,766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20.1</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Mission Critical Electronics, Inc.</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09/28/22</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6.00%</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5,949,731</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5,927,114</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5,877,737</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12.9</w:t>
            </w:r>
          </w:p>
        </w:tc>
        <w:tc>
          <w:tcPr>
            <w:tcW w:w="400" w:type="dxa"/>
            <w:vAlign w:val="bottom"/>
            <w:shd w:val="clear" w:color="auto" w:fill="CFF0FC"/>
          </w:tcPr>
          <w:p>
            <w:pPr>
              <w:spacing w:after="0"/>
              <w:rPr>
                <w:sz w:val="12"/>
                <w:szCs w:val="12"/>
                <w:color w:val="auto"/>
              </w:rPr>
            </w:pPr>
          </w:p>
        </w:tc>
      </w:tr>
      <w:tr>
        <w:trPr>
          <w:trHeight w:val="149"/>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UBEO, LLC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04/03/24</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5.50%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21,930,702</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21,762,065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20,614,860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45.2</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Chemicals, Plastics and Rubber</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Douglas Products and Packaging Company LLC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10/19/22</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6.75%</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8,836,683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8,756,358</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8,704,133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19.1</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Douglas Sewer Intermediate, LLC</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10/19/22</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6.75%</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7,403,183</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7,370,405</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7,292,135</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16.0</w:t>
            </w: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K2 Pure Solutions NoCal, L.P.</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12/20/23</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8.00%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19,650,000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19,436,214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19,217,700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42.1</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Plant Health Intermediate, Inc.</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10/19/22</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6.75%</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1,594,030</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1,579,915</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1,570,120</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3.4</w:t>
            </w:r>
          </w:p>
        </w:tc>
        <w:tc>
          <w:tcPr>
            <w:tcW w:w="400" w:type="dxa"/>
            <w:vAlign w:val="bottom"/>
            <w:shd w:val="clear" w:color="auto" w:fill="CFF0FC"/>
          </w:tcPr>
          <w:p>
            <w:pPr>
              <w:spacing w:after="0"/>
              <w:rPr>
                <w:sz w:val="12"/>
                <w:szCs w:val="12"/>
                <w:color w:val="auto"/>
              </w:rPr>
            </w:pPr>
          </w:p>
        </w:tc>
      </w:tr>
      <w:tr>
        <w:trPr>
          <w:trHeight w:val="149"/>
        </w:trPr>
        <w:tc>
          <w:tcPr>
            <w:tcW w:w="3900" w:type="dxa"/>
            <w:vAlign w:val="bottom"/>
            <w:gridSpan w:val="2"/>
          </w:tcPr>
          <w:p>
            <w:pPr>
              <w:spacing w:after="0"/>
              <w:rPr>
                <w:sz w:val="20"/>
                <w:szCs w:val="20"/>
                <w:color w:val="auto"/>
              </w:rPr>
            </w:pPr>
            <w:r>
              <w:rPr>
                <w:rFonts w:ascii="Arial" w:cs="Arial" w:eastAsia="Arial" w:hAnsi="Arial"/>
                <w:sz w:val="12"/>
                <w:szCs w:val="12"/>
                <w:color w:val="auto"/>
              </w:rPr>
              <w:t>Construction and Building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STV Group Incorporated</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12/11/26</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5.40%</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7,762,222</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7,692,023</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7,684,600</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16.8</w:t>
            </w: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spacing w:after="0"/>
              <w:rPr>
                <w:sz w:val="20"/>
                <w:szCs w:val="20"/>
                <w:color w:val="auto"/>
              </w:rPr>
            </w:pPr>
            <w:r>
              <w:rPr>
                <w:rFonts w:ascii="Arial" w:cs="Arial" w:eastAsia="Arial" w:hAnsi="Arial"/>
                <w:sz w:val="12"/>
                <w:szCs w:val="12"/>
                <w:color w:val="auto"/>
              </w:rPr>
              <w:t>Consumer Goods: Durable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DRS Holdings III, Inc.</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11/03/25</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6.75%</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8,022,149</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7,950,609</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7,875,344</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17.3</w:t>
            </w:r>
          </w:p>
        </w:tc>
        <w:tc>
          <w:tcPr>
            <w:tcW w:w="400" w:type="dxa"/>
            <w:vAlign w:val="bottom"/>
            <w:shd w:val="clear" w:color="auto" w:fill="CFF0FC"/>
          </w:tcPr>
          <w:p>
            <w:pPr>
              <w:spacing w:after="0"/>
              <w:rPr>
                <w:sz w:val="12"/>
                <w:szCs w:val="12"/>
                <w:color w:val="auto"/>
              </w:rPr>
            </w:pPr>
          </w:p>
        </w:tc>
      </w:tr>
      <w:tr>
        <w:trPr>
          <w:trHeight w:val="149"/>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GSM Holdings, Inc.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06/03/24</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5.50%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19,470,523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19,354,235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19,275,817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42.3</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PlayPower, Inc.</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05/08/26</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5.72%</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4,025,520</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3,990,707</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3,824,244</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8.4</w:t>
            </w:r>
          </w:p>
        </w:tc>
        <w:tc>
          <w:tcPr>
            <w:tcW w:w="400" w:type="dxa"/>
            <w:vAlign w:val="bottom"/>
            <w:shd w:val="clear" w:color="auto" w:fill="CFF0FC"/>
          </w:tcPr>
          <w:p>
            <w:pPr>
              <w:spacing w:after="0"/>
              <w:rPr>
                <w:sz w:val="12"/>
                <w:szCs w:val="12"/>
                <w:color w:val="auto"/>
              </w:rPr>
            </w:pPr>
          </w:p>
        </w:tc>
      </w:tr>
      <w:tr>
        <w:trPr>
          <w:trHeight w:val="149"/>
        </w:trPr>
        <w:tc>
          <w:tcPr>
            <w:tcW w:w="3900" w:type="dxa"/>
            <w:vAlign w:val="bottom"/>
            <w:gridSpan w:val="2"/>
          </w:tcPr>
          <w:p>
            <w:pPr>
              <w:spacing w:after="0"/>
              <w:rPr>
                <w:sz w:val="20"/>
                <w:szCs w:val="20"/>
                <w:color w:val="auto"/>
              </w:rPr>
            </w:pPr>
            <w:r>
              <w:rPr>
                <w:rFonts w:ascii="Arial" w:cs="Arial" w:eastAsia="Arial" w:hAnsi="Arial"/>
                <w:sz w:val="12"/>
                <w:szCs w:val="12"/>
                <w:color w:val="auto"/>
              </w:rPr>
              <w:t>Consumer Goods: Non-Durable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Manna Pro Products, LLC</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12/08/23</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7.00%</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4,313,910</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4,273,019</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4,197,866</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9.2</w:t>
            </w: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New Milani Group LLC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06/06/24</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6.50%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14,662,500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14,568,019</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13,379,531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29.3</w:t>
            </w:r>
          </w:p>
        </w:tc>
        <w:tc>
          <w:tcPr>
            <w:tcW w:w="400" w:type="dxa"/>
            <w:vAlign w:val="bottom"/>
          </w:tcPr>
          <w:p>
            <w:pPr>
              <w:spacing w:after="0"/>
              <w:rPr>
                <w:sz w:val="12"/>
                <w:szCs w:val="12"/>
                <w:color w:val="auto"/>
              </w:rPr>
            </w:pPr>
          </w:p>
        </w:tc>
      </w:tr>
      <w:tr>
        <w:trPr>
          <w:trHeight w:val="149"/>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TPC Canada Parent, Inc. and TPC US Parent, LLC</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11/24/25</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6.25%</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8,924,066</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8,837,614</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8,656,344</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19.0</w:t>
            </w: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spacing w:after="0"/>
              <w:rPr>
                <w:sz w:val="20"/>
                <w:szCs w:val="20"/>
                <w:color w:val="auto"/>
              </w:rPr>
            </w:pPr>
            <w:r>
              <w:rPr>
                <w:rFonts w:ascii="Arial" w:cs="Arial" w:eastAsia="Arial" w:hAnsi="Arial"/>
                <w:sz w:val="12"/>
                <w:szCs w:val="12"/>
                <w:color w:val="auto"/>
              </w:rPr>
              <w:t>Diversified Consumer Services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Integrative Nutrition, LLC</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09/29/23</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5.75%</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8,587,606</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8,587,606</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8,458,792</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18.5</w:t>
            </w:r>
          </w:p>
        </w:tc>
        <w:tc>
          <w:tcPr>
            <w:tcW w:w="400" w:type="dxa"/>
            <w:vAlign w:val="bottom"/>
            <w:shd w:val="clear" w:color="auto" w:fill="CFF0FC"/>
          </w:tcPr>
          <w:p>
            <w:pPr>
              <w:spacing w:after="0"/>
              <w:rPr>
                <w:sz w:val="12"/>
                <w:szCs w:val="12"/>
                <w:color w:val="auto"/>
              </w:rPr>
            </w:pPr>
          </w:p>
        </w:tc>
      </w:tr>
      <w:tr>
        <w:trPr>
          <w:trHeight w:val="149"/>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TVC Enterprises, LLC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01/18/24</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6.50%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9,747,335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9,747,335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9,674,230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21.2</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TWS Acquisition Corporation</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06/16/25</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7.25%</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6,910,465</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6,797,117</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6,772,256</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14.8</w:t>
            </w:r>
          </w:p>
        </w:tc>
        <w:tc>
          <w:tcPr>
            <w:tcW w:w="400" w:type="dxa"/>
            <w:vAlign w:val="bottom"/>
            <w:shd w:val="clear" w:color="auto" w:fill="CFF0FC"/>
          </w:tcPr>
          <w:p>
            <w:pPr>
              <w:spacing w:after="0"/>
              <w:rPr>
                <w:sz w:val="12"/>
                <w:szCs w:val="12"/>
                <w:color w:val="auto"/>
              </w:rPr>
            </w:pPr>
          </w:p>
        </w:tc>
      </w:tr>
      <w:tr>
        <w:trPr>
          <w:trHeight w:val="149"/>
        </w:trPr>
        <w:tc>
          <w:tcPr>
            <w:tcW w:w="3900" w:type="dxa"/>
            <w:vAlign w:val="bottom"/>
            <w:gridSpan w:val="2"/>
          </w:tcPr>
          <w:p>
            <w:pPr>
              <w:spacing w:after="0"/>
              <w:rPr>
                <w:sz w:val="20"/>
                <w:szCs w:val="20"/>
                <w:color w:val="auto"/>
              </w:rPr>
            </w:pPr>
            <w:r>
              <w:rPr>
                <w:rFonts w:ascii="Arial" w:cs="Arial" w:eastAsia="Arial" w:hAnsi="Arial"/>
                <w:sz w:val="12"/>
                <w:szCs w:val="12"/>
                <w:color w:val="auto"/>
              </w:rPr>
              <w:t>Healthcare and Pharmaceuticals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Smile Brands Inc.</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10/14/24</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4.93%</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11,175,938</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11,090,654</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10,840,659</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23.8</w:t>
            </w: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Solutionreach, Inc.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01/17/24</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6.75%</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6,214,305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6,149,172</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6,145,948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13.5</w:t>
            </w:r>
          </w:p>
        </w:tc>
        <w:tc>
          <w:tcPr>
            <w:tcW w:w="400" w:type="dxa"/>
            <w:vAlign w:val="bottom"/>
          </w:tcPr>
          <w:p>
            <w:pPr>
              <w:spacing w:after="0"/>
              <w:rPr>
                <w:sz w:val="12"/>
                <w:szCs w:val="12"/>
                <w:color w:val="auto"/>
              </w:rPr>
            </w:pPr>
          </w:p>
        </w:tc>
      </w:tr>
      <w:tr>
        <w:trPr>
          <w:trHeight w:val="149"/>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Urology Management Associates, LLC</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08/30/24</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6.00%</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11,463,443</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11,311,325</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11,119,540</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24.4</w:t>
            </w: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spacing w:after="0"/>
              <w:rPr>
                <w:sz w:val="20"/>
                <w:szCs w:val="20"/>
                <w:color w:val="auto"/>
              </w:rPr>
            </w:pPr>
            <w:r>
              <w:rPr>
                <w:rFonts w:ascii="Arial" w:cs="Arial" w:eastAsia="Arial" w:hAnsi="Arial"/>
                <w:sz w:val="12"/>
                <w:szCs w:val="12"/>
                <w:color w:val="auto"/>
              </w:rPr>
              <w:t>High Tech Industries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By Light Professional IT Services, LLC</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05/16/22</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7.25%</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10,901,843</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10,774,172</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10,792,825</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23.7</w:t>
            </w:r>
          </w:p>
        </w:tc>
        <w:tc>
          <w:tcPr>
            <w:tcW w:w="400" w:type="dxa"/>
            <w:vAlign w:val="bottom"/>
            <w:shd w:val="clear" w:color="auto" w:fill="CFF0FC"/>
          </w:tcPr>
          <w:p>
            <w:pPr>
              <w:spacing w:after="0"/>
              <w:rPr>
                <w:sz w:val="12"/>
                <w:szCs w:val="12"/>
                <w:color w:val="auto"/>
              </w:rPr>
            </w:pPr>
          </w:p>
        </w:tc>
      </w:tr>
      <w:tr>
        <w:trPr>
          <w:trHeight w:val="149"/>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GCOM Software LLC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11/14/22</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7.75%</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16,646,228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16,562,972</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16,646,228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36.5</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Media: Advertising, Printing &amp; Publishing</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MeritDirect, LLC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05/23/24</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6.50%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4,812,500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4,771,073</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4,583,906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10.0</w:t>
            </w:r>
          </w:p>
        </w:tc>
        <w:tc>
          <w:tcPr>
            <w:tcW w:w="400" w:type="dxa"/>
            <w:vAlign w:val="bottom"/>
          </w:tcPr>
          <w:p>
            <w:pPr>
              <w:spacing w:after="0"/>
              <w:rPr>
                <w:sz w:val="12"/>
                <w:szCs w:val="12"/>
                <w:color w:val="auto"/>
              </w:rPr>
            </w:pPr>
          </w:p>
        </w:tc>
      </w:tr>
      <w:tr>
        <w:trPr>
          <w:trHeight w:val="149"/>
        </w:trPr>
        <w:tc>
          <w:tcPr>
            <w:tcW w:w="3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Media: Broadcasting and Subscription</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The Infosoft Group, LLC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09/16/24</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6.75%</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8,602,807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8,584,634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8,602,807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18.9</w:t>
            </w:r>
          </w:p>
        </w:tc>
        <w:tc>
          <w:tcPr>
            <w:tcW w:w="400" w:type="dxa"/>
            <w:vAlign w:val="bottom"/>
          </w:tcPr>
          <w:p>
            <w:pPr>
              <w:spacing w:after="0"/>
              <w:rPr>
                <w:sz w:val="12"/>
                <w:szCs w:val="12"/>
                <w:color w:val="auto"/>
              </w:rPr>
            </w:pPr>
          </w:p>
        </w:tc>
      </w:tr>
      <w:tr>
        <w:trPr>
          <w:trHeight w:val="149"/>
        </w:trPr>
        <w:tc>
          <w:tcPr>
            <w:tcW w:w="3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Media: Diversified and Production</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ind w:left="260"/>
              <w:spacing w:after="0" w:line="149" w:lineRule="exact"/>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7"/>
                <w:szCs w:val="17"/>
                <w:color w:val="auto"/>
                <w:vertAlign w:val="superscript"/>
              </w:rPr>
              <w:t>(3,4)</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01/27/23</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0.00% (5)</w:t>
            </w:r>
          </w:p>
        </w:tc>
        <w:tc>
          <w:tcPr>
            <w:tcW w:w="380" w:type="dxa"/>
            <w:vAlign w:val="bottom"/>
          </w:tcPr>
          <w:p>
            <w:pPr>
              <w:spacing w:after="0"/>
              <w:rPr>
                <w:sz w:val="12"/>
                <w:szCs w:val="12"/>
                <w:color w:val="auto"/>
              </w:rPr>
            </w:pPr>
          </w:p>
        </w:tc>
        <w:tc>
          <w:tcPr>
            <w:tcW w:w="360" w:type="dxa"/>
            <w:vAlign w:val="bottom"/>
          </w:tcPr>
          <w:p>
            <w:pPr>
              <w:ind w:left="80"/>
              <w:spacing w:after="0"/>
              <w:rPr>
                <w:sz w:val="20"/>
                <w:szCs w:val="20"/>
                <w:color w:val="auto"/>
              </w:rPr>
            </w:pPr>
            <w:r>
              <w:rPr>
                <w:rFonts w:ascii="Arial" w:cs="Arial" w:eastAsia="Arial" w:hAnsi="Arial"/>
                <w:sz w:val="12"/>
                <w:szCs w:val="12"/>
                <w:color w:val="auto"/>
              </w:rPr>
              <w:t>CAD</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5,730,254</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4,449,786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3,623,691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7.9</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Retail</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r>
      <w:tr>
        <w:trPr>
          <w:trHeight w:val="149"/>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LSF9 Atlantis Holdings, LLC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05/01/23</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7.00%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6,843,750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6,872,048</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6,631,320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14.5</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Telecommunications</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TeleGuam Holdings, LLC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11/20/25</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5.50%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8,309,797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8,272,104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8,060,503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17.7</w:t>
            </w:r>
          </w:p>
        </w:tc>
        <w:tc>
          <w:tcPr>
            <w:tcW w:w="400" w:type="dxa"/>
            <w:vAlign w:val="bottom"/>
          </w:tcPr>
          <w:p>
            <w:pPr>
              <w:spacing w:after="0"/>
              <w:rPr>
                <w:sz w:val="12"/>
                <w:szCs w:val="12"/>
                <w:color w:val="auto"/>
              </w:rPr>
            </w:pPr>
          </w:p>
        </w:tc>
      </w:tr>
      <w:tr>
        <w:trPr>
          <w:trHeight w:val="149"/>
        </w:trPr>
        <w:tc>
          <w:tcPr>
            <w:tcW w:w="3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Transportation: Consumer</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American Auto Auction Group, LLC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01/02/24</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6.00%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7,670,399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7,596,860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7,440,287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16.3</w:t>
            </w:r>
          </w:p>
        </w:tc>
        <w:tc>
          <w:tcPr>
            <w:tcW w:w="400" w:type="dxa"/>
            <w:vAlign w:val="bottom"/>
          </w:tcPr>
          <w:p>
            <w:pPr>
              <w:spacing w:after="0"/>
              <w:rPr>
                <w:sz w:val="12"/>
                <w:szCs w:val="12"/>
                <w:color w:val="auto"/>
              </w:rPr>
            </w:pPr>
          </w:p>
        </w:tc>
      </w:tr>
      <w:tr>
        <w:trPr>
          <w:trHeight w:val="149"/>
        </w:trPr>
        <w:tc>
          <w:tcPr>
            <w:tcW w:w="3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Wholesale</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r>
      <w:tr>
        <w:trPr>
          <w:trHeight w:val="148"/>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Impact Group, LLC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06/27/23</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8.37%</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9,290,185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9,216,206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9,336,636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20.5</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PH Beauty Holdings III, Inc.</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09/29/25</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5.19%</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9,792,594</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9,717,936</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9,156,076</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20.1</w:t>
            </w:r>
          </w:p>
        </w:tc>
        <w:tc>
          <w:tcPr>
            <w:tcW w:w="400" w:type="dxa"/>
            <w:vAlign w:val="bottom"/>
            <w:shd w:val="clear" w:color="auto" w:fill="CFF0FC"/>
          </w:tcPr>
          <w:p>
            <w:pPr>
              <w:spacing w:after="0"/>
              <w:rPr>
                <w:sz w:val="12"/>
                <w:szCs w:val="12"/>
                <w:color w:val="auto"/>
              </w:rPr>
            </w:pPr>
          </w:p>
        </w:tc>
      </w:tr>
      <w:tr>
        <w:trPr>
          <w:trHeight w:val="149"/>
        </w:trPr>
        <w:tc>
          <w:tcPr>
            <w:tcW w:w="3900" w:type="dxa"/>
            <w:vAlign w:val="bottom"/>
            <w:gridSpan w:val="2"/>
          </w:tcPr>
          <w:p>
            <w:pPr>
              <w:ind w:left="260"/>
              <w:spacing w:after="0"/>
              <w:rPr>
                <w:sz w:val="20"/>
                <w:szCs w:val="20"/>
                <w:color w:val="auto"/>
              </w:rPr>
            </w:pPr>
            <w:r>
              <w:rPr>
                <w:rFonts w:ascii="Arial" w:cs="Arial" w:eastAsia="Arial" w:hAnsi="Arial"/>
                <w:sz w:val="12"/>
                <w:szCs w:val="12"/>
                <w:color w:val="auto"/>
              </w:rPr>
              <w:t>Sargent &amp; Greenleaf Inc.</w:t>
            </w:r>
          </w:p>
        </w:tc>
        <w:tc>
          <w:tcPr>
            <w:tcW w:w="560" w:type="dxa"/>
            <w:vAlign w:val="bottom"/>
            <w:gridSpan w:val="3"/>
          </w:tcPr>
          <w:p>
            <w:pPr>
              <w:jc w:val="right"/>
              <w:ind w:right="80"/>
              <w:spacing w:after="0"/>
              <w:rPr>
                <w:sz w:val="20"/>
                <w:szCs w:val="20"/>
                <w:color w:val="auto"/>
              </w:rPr>
            </w:pPr>
            <w:r>
              <w:rPr>
                <w:rFonts w:ascii="Arial" w:cs="Arial" w:eastAsia="Arial" w:hAnsi="Arial"/>
                <w:sz w:val="12"/>
                <w:szCs w:val="12"/>
                <w:color w:val="auto"/>
                <w:w w:val="98"/>
              </w:rPr>
              <w:t>12/20/24</w:t>
            </w:r>
          </w:p>
        </w:tc>
        <w:tc>
          <w:tcPr>
            <w:tcW w:w="900" w:type="dxa"/>
            <w:vAlign w:val="bottom"/>
          </w:tcPr>
          <w:p>
            <w:pPr>
              <w:jc w:val="center"/>
              <w:ind w:left="302"/>
              <w:spacing w:after="0"/>
              <w:rPr>
                <w:sz w:val="20"/>
                <w:szCs w:val="20"/>
                <w:color w:val="auto"/>
              </w:rPr>
            </w:pPr>
            <w:r>
              <w:rPr>
                <w:rFonts w:ascii="Arial" w:cs="Arial" w:eastAsia="Arial" w:hAnsi="Arial"/>
                <w:sz w:val="12"/>
                <w:szCs w:val="12"/>
                <w:color w:val="auto"/>
                <w:w w:val="88"/>
              </w:rPr>
              <w:t>7.00%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4,925,000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4,860,858</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4,836,350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10.6</w:t>
            </w:r>
          </w:p>
        </w:tc>
        <w:tc>
          <w:tcPr>
            <w:tcW w:w="400" w:type="dxa"/>
            <w:vAlign w:val="bottom"/>
          </w:tcPr>
          <w:p>
            <w:pPr>
              <w:spacing w:after="0"/>
              <w:rPr>
                <w:sz w:val="12"/>
                <w:szCs w:val="12"/>
                <w:color w:val="auto"/>
              </w:rPr>
            </w:pPr>
          </w:p>
        </w:tc>
      </w:tr>
      <w:tr>
        <w:trPr>
          <w:trHeight w:val="148"/>
        </w:trPr>
        <w:tc>
          <w:tcPr>
            <w:tcW w:w="390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Walker Edison Furniture Company LLC</w:t>
            </w:r>
          </w:p>
        </w:tc>
        <w:tc>
          <w:tcPr>
            <w:tcW w:w="5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8"/>
              </w:rPr>
              <w:t>09/26/24</w:t>
            </w:r>
          </w:p>
        </w:tc>
        <w:tc>
          <w:tcPr>
            <w:tcW w:w="900" w:type="dxa"/>
            <w:vAlign w:val="bottom"/>
            <w:shd w:val="clear" w:color="auto" w:fill="CFF0FC"/>
          </w:tcPr>
          <w:p>
            <w:pPr>
              <w:jc w:val="center"/>
              <w:ind w:left="302"/>
              <w:spacing w:after="0"/>
              <w:rPr>
                <w:sz w:val="20"/>
                <w:szCs w:val="20"/>
                <w:color w:val="auto"/>
              </w:rPr>
            </w:pPr>
            <w:r>
              <w:rPr>
                <w:rFonts w:ascii="Arial" w:cs="Arial" w:eastAsia="Arial" w:hAnsi="Arial"/>
                <w:sz w:val="12"/>
                <w:szCs w:val="12"/>
                <w:color w:val="auto"/>
                <w:w w:val="88"/>
              </w:rPr>
              <w:t>7.25%</w:t>
            </w:r>
          </w:p>
        </w:tc>
        <w:tc>
          <w:tcPr>
            <w:tcW w:w="3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rPr>
              <w:t>10,594,047</w:t>
            </w:r>
          </w:p>
        </w:tc>
        <w:tc>
          <w:tcPr>
            <w:tcW w:w="34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10,440,520</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10,594,047</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23.2</w:t>
            </w:r>
          </w:p>
        </w:tc>
        <w:tc>
          <w:tcPr>
            <w:tcW w:w="400" w:type="dxa"/>
            <w:vAlign w:val="bottom"/>
            <w:shd w:val="clear" w:color="auto" w:fill="CFF0FC"/>
          </w:tcPr>
          <w:p>
            <w:pPr>
              <w:spacing w:after="0"/>
              <w:rPr>
                <w:sz w:val="12"/>
                <w:szCs w:val="12"/>
                <w:color w:val="auto"/>
              </w:rPr>
            </w:pPr>
          </w:p>
        </w:tc>
      </w:tr>
      <w:tr>
        <w:trPr>
          <w:trHeight w:val="149"/>
        </w:trPr>
        <w:tc>
          <w:tcPr>
            <w:tcW w:w="390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392,309,961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w w:val="98"/>
              </w:rPr>
              <w:t>382,299,150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838.2</w:t>
            </w:r>
          </w:p>
        </w:tc>
        <w:tc>
          <w:tcPr>
            <w:tcW w:w="40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left="122"/>
              <w:spacing w:after="0"/>
              <w:rPr>
                <w:sz w:val="20"/>
                <w:szCs w:val="20"/>
                <w:color w:val="auto"/>
              </w:rPr>
            </w:pPr>
            <w:r>
              <w:rPr>
                <w:rFonts w:ascii="Arial" w:cs="Arial" w:eastAsia="Arial" w:hAnsi="Arial"/>
                <w:sz w:val="12"/>
                <w:szCs w:val="12"/>
                <w:b w:val="1"/>
                <w:bCs w:val="1"/>
                <w:color w:val="auto"/>
                <w:w w:val="87"/>
              </w:rPr>
              <w:t>Fair Value as a</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gridSpan w:val="2"/>
          </w:tcPr>
          <w:p>
            <w:pPr>
              <w:ind w:left="380"/>
              <w:spacing w:after="0" w:line="126" w:lineRule="exact"/>
              <w:rPr>
                <w:sz w:val="20"/>
                <w:szCs w:val="20"/>
                <w:color w:val="auto"/>
              </w:rPr>
            </w:pPr>
            <w:r>
              <w:rPr>
                <w:rFonts w:ascii="Arial" w:cs="Arial" w:eastAsia="Arial" w:hAnsi="Arial"/>
                <w:sz w:val="12"/>
                <w:szCs w:val="12"/>
                <w:b w:val="1"/>
                <w:bCs w:val="1"/>
                <w:color w:val="auto"/>
              </w:rPr>
              <w:t>Current</w:t>
            </w: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4"/>
          </w:tcPr>
          <w:p>
            <w:pPr>
              <w:jc w:val="center"/>
              <w:spacing w:after="0" w:line="126" w:lineRule="exact"/>
              <w:rPr>
                <w:sz w:val="20"/>
                <w:szCs w:val="20"/>
                <w:color w:val="auto"/>
              </w:rPr>
            </w:pPr>
            <w:r>
              <w:rPr>
                <w:rFonts w:ascii="Arial" w:cs="Arial" w:eastAsia="Arial" w:hAnsi="Arial"/>
                <w:sz w:val="12"/>
                <w:szCs w:val="12"/>
                <w:b w:val="1"/>
                <w:bCs w:val="1"/>
                <w:color w:val="auto"/>
                <w:w w:val="87"/>
              </w:rPr>
              <w:t>Percentage of Members’</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Maturity</w:t>
            </w:r>
          </w:p>
        </w:tc>
        <w:tc>
          <w:tcPr>
            <w:tcW w:w="1600" w:type="dxa"/>
            <w:vAlign w:val="bottom"/>
            <w:gridSpan w:val="2"/>
          </w:tcPr>
          <w:p>
            <w:pPr>
              <w:ind w:left="380"/>
              <w:spacing w:after="0"/>
              <w:rPr>
                <w:sz w:val="20"/>
                <w:szCs w:val="20"/>
                <w:color w:val="auto"/>
              </w:rPr>
            </w:pPr>
            <w:r>
              <w:rPr>
                <w:rFonts w:ascii="Arial" w:cs="Arial" w:eastAsia="Arial" w:hAnsi="Arial"/>
                <w:sz w:val="12"/>
                <w:szCs w:val="12"/>
                <w:b w:val="1"/>
                <w:bCs w:val="1"/>
                <w:color w:val="auto"/>
              </w:rPr>
              <w:t>Coupon</w:t>
            </w:r>
          </w:p>
        </w:tc>
        <w:tc>
          <w:tcPr>
            <w:tcW w:w="1840" w:type="dxa"/>
            <w:vAlign w:val="bottom"/>
            <w:gridSpan w:val="4"/>
          </w:tcPr>
          <w:p>
            <w:pPr>
              <w:jc w:val="right"/>
              <w:ind w:right="1160"/>
              <w:spacing w:after="0" w:line="153" w:lineRule="exact"/>
              <w:rPr>
                <w:sz w:val="20"/>
                <w:szCs w:val="20"/>
                <w:color w:val="auto"/>
              </w:rPr>
            </w:pPr>
            <w:r>
              <w:rPr>
                <w:rFonts w:ascii="Arial" w:cs="Arial" w:eastAsia="Arial" w:hAnsi="Arial"/>
                <w:sz w:val="11"/>
                <w:szCs w:val="11"/>
                <w:b w:val="1"/>
                <w:bCs w:val="1"/>
                <w:color w:val="auto"/>
              </w:rPr>
              <w:t xml:space="preserve">Par </w:t>
            </w:r>
            <w:r>
              <w:rPr>
                <w:rFonts w:ascii="Arial" w:cs="Arial" w:eastAsia="Arial" w:hAnsi="Arial"/>
                <w:sz w:val="17"/>
                <w:szCs w:val="17"/>
                <w:b w:val="1"/>
                <w:bCs w:val="1"/>
                <w:color w:val="auto"/>
                <w:vertAlign w:val="superscript"/>
              </w:rPr>
              <w:t>(1)</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Cost</w:t>
            </w:r>
          </w:p>
        </w:tc>
        <w:tc>
          <w:tcPr>
            <w:tcW w:w="1180" w:type="dxa"/>
            <w:vAlign w:val="bottom"/>
            <w:gridSpan w:val="4"/>
          </w:tcPr>
          <w:p>
            <w:pPr>
              <w:jc w:val="right"/>
              <w:ind w:right="440"/>
              <w:spacing w:after="0"/>
              <w:rPr>
                <w:sz w:val="20"/>
                <w:szCs w:val="20"/>
                <w:color w:val="auto"/>
              </w:rPr>
            </w:pPr>
            <w:r>
              <w:rPr>
                <w:rFonts w:ascii="Arial" w:cs="Arial" w:eastAsia="Arial" w:hAnsi="Arial"/>
                <w:sz w:val="12"/>
                <w:szCs w:val="12"/>
                <w:b w:val="1"/>
                <w:bCs w:val="1"/>
                <w:color w:val="auto"/>
              </w:rPr>
              <w:t>Fair Value</w:t>
            </w:r>
          </w:p>
        </w:tc>
        <w:tc>
          <w:tcPr>
            <w:tcW w:w="120" w:type="dxa"/>
            <w:vAlign w:val="bottom"/>
          </w:tcPr>
          <w:p>
            <w:pPr>
              <w:spacing w:after="0"/>
              <w:rPr>
                <w:sz w:val="13"/>
                <w:szCs w:val="13"/>
                <w:color w:val="auto"/>
              </w:rPr>
            </w:pPr>
          </w:p>
        </w:tc>
        <w:tc>
          <w:tcPr>
            <w:tcW w:w="920" w:type="dxa"/>
            <w:vAlign w:val="bottom"/>
            <w:gridSpan w:val="2"/>
          </w:tcPr>
          <w:p>
            <w:pPr>
              <w:jc w:val="center"/>
              <w:ind w:left="102"/>
              <w:spacing w:after="0" w:line="153" w:lineRule="exact"/>
              <w:rPr>
                <w:sz w:val="20"/>
                <w:szCs w:val="20"/>
                <w:color w:val="auto"/>
              </w:rPr>
            </w:pPr>
            <w:r>
              <w:rPr>
                <w:rFonts w:ascii="Arial" w:cs="Arial" w:eastAsia="Arial" w:hAnsi="Arial"/>
                <w:sz w:val="11"/>
                <w:szCs w:val="11"/>
                <w:b w:val="1"/>
                <w:bCs w:val="1"/>
                <w:color w:val="auto"/>
                <w:w w:val="94"/>
              </w:rPr>
              <w:t xml:space="preserve">Equity </w:t>
            </w:r>
            <w:r>
              <w:rPr>
                <w:rFonts w:ascii="Arial" w:cs="Arial" w:eastAsia="Arial" w:hAnsi="Arial"/>
                <w:sz w:val="17"/>
                <w:szCs w:val="17"/>
                <w:b w:val="1"/>
                <w:bCs w:val="1"/>
                <w:color w:val="auto"/>
                <w:w w:val="94"/>
                <w:vertAlign w:val="superscript"/>
              </w:rPr>
              <w:t>(2)</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2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Second Lien Secured Debt - 19.5%</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Beverage, Food and Tobacco</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vMerge w:val="restart"/>
            <w:shd w:val="clear" w:color="auto" w:fill="CFF0FC"/>
          </w:tcPr>
          <w:p>
            <w:pPr>
              <w:ind w:left="260"/>
              <w:spacing w:after="0"/>
              <w:rPr>
                <w:sz w:val="20"/>
                <w:szCs w:val="20"/>
                <w:color w:val="auto"/>
              </w:rPr>
            </w:pPr>
            <w:r>
              <w:rPr>
                <w:rFonts w:ascii="Arial" w:cs="Arial" w:eastAsia="Arial" w:hAnsi="Arial"/>
                <w:sz w:val="12"/>
                <w:szCs w:val="12"/>
                <w:color w:val="auto"/>
              </w:rPr>
              <w:t>Country Fresh Holdings, LLC (All PIK)</w:t>
            </w: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04/29/24</w:t>
            </w:r>
          </w:p>
        </w:tc>
        <w:tc>
          <w:tcPr>
            <w:tcW w:w="1180" w:type="dxa"/>
            <w:vAlign w:val="bottom"/>
            <w:shd w:val="clear" w:color="auto" w:fill="CFF0FC"/>
          </w:tcPr>
          <w:p>
            <w:pPr>
              <w:jc w:val="center"/>
              <w:ind w:left="602"/>
              <w:spacing w:after="0"/>
              <w:rPr>
                <w:sz w:val="20"/>
                <w:szCs w:val="20"/>
                <w:color w:val="auto"/>
              </w:rPr>
            </w:pPr>
            <w:r>
              <w:rPr>
                <w:rFonts w:ascii="Arial" w:cs="Arial" w:eastAsia="Arial" w:hAnsi="Arial"/>
                <w:sz w:val="12"/>
                <w:szCs w:val="12"/>
                <w:color w:val="auto"/>
                <w:w w:val="87"/>
              </w:rPr>
              <w:t>9.5%</w:t>
            </w: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ind w:right="122"/>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81"/>
        </w:trPr>
        <w:tc>
          <w:tcPr>
            <w:tcW w:w="3200" w:type="dxa"/>
            <w:vAlign w:val="bottom"/>
            <w:vMerge w:val="continue"/>
            <w:shd w:val="clear" w:color="auto" w:fill="CFF0FC"/>
          </w:tcPr>
          <w:p>
            <w:pPr>
              <w:spacing w:after="0"/>
              <w:rPr>
                <w:sz w:val="7"/>
                <w:szCs w:val="7"/>
                <w:color w:val="auto"/>
              </w:rPr>
            </w:pPr>
          </w:p>
        </w:tc>
        <w:tc>
          <w:tcPr>
            <w:tcW w:w="980" w:type="dxa"/>
            <w:vAlign w:val="bottom"/>
            <w:gridSpan w:val="2"/>
            <w:vMerge w:val="continue"/>
            <w:shd w:val="clear" w:color="auto" w:fill="CFF0FC"/>
          </w:tcPr>
          <w:p>
            <w:pPr>
              <w:spacing w:after="0"/>
              <w:rPr>
                <w:sz w:val="7"/>
                <w:szCs w:val="7"/>
                <w:color w:val="auto"/>
              </w:rPr>
            </w:pPr>
          </w:p>
        </w:tc>
        <w:tc>
          <w:tcPr>
            <w:tcW w:w="1600" w:type="dxa"/>
            <w:vAlign w:val="bottom"/>
            <w:gridSpan w:val="2"/>
            <w:vMerge w:val="restart"/>
            <w:shd w:val="clear" w:color="auto" w:fill="CFF0FC"/>
          </w:tcPr>
          <w:p>
            <w:pPr>
              <w:jc w:val="center"/>
              <w:ind w:left="182"/>
              <w:spacing w:after="0"/>
              <w:rPr>
                <w:sz w:val="20"/>
                <w:szCs w:val="20"/>
                <w:color w:val="auto"/>
              </w:rPr>
            </w:pPr>
            <w:r>
              <w:rPr>
                <w:rFonts w:ascii="Arial" w:cs="Arial" w:eastAsia="Arial" w:hAnsi="Arial"/>
                <w:sz w:val="12"/>
                <w:szCs w:val="12"/>
                <w:color w:val="auto"/>
                <w:w w:val="92"/>
              </w:rPr>
              <w:t>(PIK 9.50%)</w:t>
            </w:r>
          </w:p>
        </w:tc>
        <w:tc>
          <w:tcPr>
            <w:tcW w:w="1500" w:type="dxa"/>
            <w:vAlign w:val="bottom"/>
            <w:gridSpan w:val="2"/>
            <w:vMerge w:val="restart"/>
            <w:shd w:val="clear" w:color="auto" w:fill="CFF0FC"/>
          </w:tcPr>
          <w:p>
            <w:pPr>
              <w:jc w:val="right"/>
              <w:ind w:right="380"/>
              <w:spacing w:after="0"/>
              <w:rPr>
                <w:sz w:val="20"/>
                <w:szCs w:val="20"/>
                <w:color w:val="auto"/>
              </w:rPr>
            </w:pPr>
            <w:r>
              <w:rPr>
                <w:rFonts w:ascii="Arial" w:cs="Arial" w:eastAsia="Arial" w:hAnsi="Arial"/>
                <w:sz w:val="12"/>
                <w:szCs w:val="12"/>
                <w:color w:val="auto"/>
              </w:rPr>
              <w:t>964,045</w:t>
            </w:r>
          </w:p>
        </w:tc>
        <w:tc>
          <w:tcPr>
            <w:tcW w:w="4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964,045</w:t>
            </w:r>
          </w:p>
        </w:tc>
        <w:tc>
          <w:tcPr>
            <w:tcW w:w="3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889,814</w:t>
            </w:r>
          </w:p>
        </w:tc>
        <w:tc>
          <w:tcPr>
            <w:tcW w:w="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40" w:type="dxa"/>
            <w:vAlign w:val="bottom"/>
            <w:gridSpan w:val="2"/>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30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20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600" w:type="dxa"/>
            <w:vAlign w:val="bottom"/>
            <w:gridSpan w:val="2"/>
            <w:vMerge w:val="continue"/>
            <w:shd w:val="clear" w:color="auto" w:fill="CFF0FC"/>
          </w:tcPr>
          <w:p>
            <w:pPr>
              <w:spacing w:after="0"/>
              <w:rPr>
                <w:sz w:val="5"/>
                <w:szCs w:val="5"/>
                <w:color w:val="auto"/>
              </w:rPr>
            </w:pPr>
          </w:p>
        </w:tc>
        <w:tc>
          <w:tcPr>
            <w:tcW w:w="1500" w:type="dxa"/>
            <w:vAlign w:val="bottom"/>
            <w:gridSpan w:val="2"/>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640" w:type="dxa"/>
            <w:vAlign w:val="bottom"/>
            <w:vMerge w:val="continue"/>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660" w:type="dxa"/>
            <w:vAlign w:val="bottom"/>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20"/>
                <w:szCs w:val="20"/>
                <w:color w:val="auto"/>
              </w:rPr>
            </w:pPr>
            <w:r>
              <w:rPr>
                <w:rFonts w:ascii="Arial" w:cs="Arial" w:eastAsia="Arial" w:hAnsi="Arial"/>
                <w:sz w:val="12"/>
                <w:szCs w:val="12"/>
                <w:color w:val="auto"/>
              </w:rPr>
              <w:t>Business Services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vMerge w:val="restart"/>
            <w:shd w:val="clear" w:color="auto" w:fill="CFF0FC"/>
          </w:tcPr>
          <w:p>
            <w:pPr>
              <w:ind w:left="260"/>
              <w:spacing w:after="0"/>
              <w:rPr>
                <w:sz w:val="20"/>
                <w:szCs w:val="20"/>
                <w:color w:val="auto"/>
              </w:rPr>
            </w:pPr>
            <w:r>
              <w:rPr>
                <w:rFonts w:ascii="Arial" w:cs="Arial" w:eastAsia="Arial" w:hAnsi="Arial"/>
                <w:sz w:val="12"/>
                <w:szCs w:val="12"/>
                <w:color w:val="auto"/>
              </w:rPr>
              <w:t>DBI Holding, LLC - Term Loan C (All PIK)</w:t>
            </w: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03/26/21</w:t>
            </w:r>
          </w:p>
        </w:tc>
        <w:tc>
          <w:tcPr>
            <w:tcW w:w="1180" w:type="dxa"/>
            <w:vAlign w:val="bottom"/>
            <w:shd w:val="clear" w:color="auto" w:fill="CFF0FC"/>
          </w:tcPr>
          <w:p>
            <w:pPr>
              <w:jc w:val="center"/>
              <w:ind w:left="602"/>
              <w:spacing w:after="0"/>
              <w:rPr>
                <w:sz w:val="20"/>
                <w:szCs w:val="20"/>
                <w:color w:val="auto"/>
              </w:rPr>
            </w:pPr>
            <w:r>
              <w:rPr>
                <w:rFonts w:ascii="Arial" w:cs="Arial" w:eastAsia="Arial" w:hAnsi="Arial"/>
                <w:sz w:val="12"/>
                <w:szCs w:val="12"/>
                <w:color w:val="auto"/>
                <w:w w:val="87"/>
              </w:rPr>
              <w:t>9.0%</w:t>
            </w: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0.0</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200" w:type="dxa"/>
            <w:vAlign w:val="bottom"/>
            <w:vMerge w:val="continue"/>
            <w:shd w:val="clear" w:color="auto" w:fill="CFF0FC"/>
          </w:tcPr>
          <w:p>
            <w:pPr>
              <w:spacing w:after="0"/>
              <w:rPr>
                <w:sz w:val="7"/>
                <w:szCs w:val="7"/>
                <w:color w:val="auto"/>
              </w:rPr>
            </w:pPr>
          </w:p>
        </w:tc>
        <w:tc>
          <w:tcPr>
            <w:tcW w:w="980" w:type="dxa"/>
            <w:vAlign w:val="bottom"/>
            <w:gridSpan w:val="2"/>
            <w:vMerge w:val="continue"/>
            <w:shd w:val="clear" w:color="auto" w:fill="CFF0FC"/>
          </w:tcPr>
          <w:p>
            <w:pPr>
              <w:spacing w:after="0"/>
              <w:rPr>
                <w:sz w:val="7"/>
                <w:szCs w:val="7"/>
                <w:color w:val="auto"/>
              </w:rPr>
            </w:pPr>
          </w:p>
        </w:tc>
        <w:tc>
          <w:tcPr>
            <w:tcW w:w="1600" w:type="dxa"/>
            <w:vAlign w:val="bottom"/>
            <w:gridSpan w:val="2"/>
            <w:vMerge w:val="restart"/>
            <w:shd w:val="clear" w:color="auto" w:fill="CFF0FC"/>
          </w:tcPr>
          <w:p>
            <w:pPr>
              <w:jc w:val="center"/>
              <w:ind w:left="162"/>
              <w:spacing w:after="0"/>
              <w:rPr>
                <w:sz w:val="20"/>
                <w:szCs w:val="20"/>
                <w:color w:val="auto"/>
              </w:rPr>
            </w:pPr>
            <w:r>
              <w:rPr>
                <w:rFonts w:ascii="Arial" w:cs="Arial" w:eastAsia="Arial" w:hAnsi="Arial"/>
                <w:sz w:val="12"/>
                <w:szCs w:val="12"/>
                <w:color w:val="auto"/>
                <w:w w:val="92"/>
              </w:rPr>
              <w:t>(PIK 9.0%)</w:t>
            </w:r>
          </w:p>
        </w:tc>
        <w:tc>
          <w:tcPr>
            <w:tcW w:w="1500" w:type="dxa"/>
            <w:vAlign w:val="bottom"/>
            <w:gridSpan w:val="2"/>
            <w:vMerge w:val="restart"/>
            <w:shd w:val="clear" w:color="auto" w:fill="CFF0FC"/>
          </w:tcPr>
          <w:p>
            <w:pPr>
              <w:jc w:val="right"/>
              <w:ind w:right="380"/>
              <w:spacing w:after="0"/>
              <w:rPr>
                <w:sz w:val="20"/>
                <w:szCs w:val="20"/>
                <w:color w:val="auto"/>
              </w:rPr>
            </w:pPr>
            <w:r>
              <w:rPr>
                <w:rFonts w:ascii="Arial" w:cs="Arial" w:eastAsia="Arial" w:hAnsi="Arial"/>
                <w:sz w:val="12"/>
                <w:szCs w:val="12"/>
                <w:color w:val="auto"/>
              </w:rPr>
              <w:t>15,946</w:t>
            </w:r>
          </w:p>
        </w:tc>
        <w:tc>
          <w:tcPr>
            <w:tcW w:w="4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15,946</w:t>
            </w:r>
          </w:p>
        </w:tc>
        <w:tc>
          <w:tcPr>
            <w:tcW w:w="3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15,946</w:t>
            </w:r>
          </w:p>
        </w:tc>
        <w:tc>
          <w:tcPr>
            <w:tcW w:w="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40" w:type="dxa"/>
            <w:vAlign w:val="bottom"/>
            <w:gridSpan w:val="2"/>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20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600" w:type="dxa"/>
            <w:vAlign w:val="bottom"/>
            <w:gridSpan w:val="2"/>
            <w:vMerge w:val="continue"/>
            <w:shd w:val="clear" w:color="auto" w:fill="CFF0FC"/>
          </w:tcPr>
          <w:p>
            <w:pPr>
              <w:spacing w:after="0"/>
              <w:rPr>
                <w:sz w:val="5"/>
                <w:szCs w:val="5"/>
                <w:color w:val="auto"/>
              </w:rPr>
            </w:pPr>
          </w:p>
        </w:tc>
        <w:tc>
          <w:tcPr>
            <w:tcW w:w="1500" w:type="dxa"/>
            <w:vAlign w:val="bottom"/>
            <w:gridSpan w:val="2"/>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640" w:type="dxa"/>
            <w:vAlign w:val="bottom"/>
            <w:vMerge w:val="continue"/>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660" w:type="dxa"/>
            <w:vAlign w:val="bottom"/>
            <w:vMerge w:val="continue"/>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200" w:type="dxa"/>
            <w:vAlign w:val="bottom"/>
            <w:vMerge w:val="restart"/>
          </w:tcPr>
          <w:p>
            <w:pPr>
              <w:ind w:left="260"/>
              <w:spacing w:after="0"/>
              <w:rPr>
                <w:sz w:val="20"/>
                <w:szCs w:val="20"/>
                <w:color w:val="auto"/>
              </w:rPr>
            </w:pPr>
            <w:r>
              <w:rPr>
                <w:rFonts w:ascii="Arial" w:cs="Arial" w:eastAsia="Arial" w:hAnsi="Arial"/>
                <w:sz w:val="12"/>
                <w:szCs w:val="12"/>
                <w:color w:val="auto"/>
              </w:rPr>
              <w:t>DBI Holding, LLC - Term Loan B (All PIK)</w:t>
            </w:r>
          </w:p>
        </w:tc>
        <w:tc>
          <w:tcPr>
            <w:tcW w:w="980" w:type="dxa"/>
            <w:vAlign w:val="bottom"/>
            <w:gridSpan w:val="2"/>
            <w:vMerge w:val="restart"/>
          </w:tcPr>
          <w:p>
            <w:pPr>
              <w:jc w:val="right"/>
              <w:spacing w:after="0"/>
              <w:rPr>
                <w:sz w:val="20"/>
                <w:szCs w:val="20"/>
                <w:color w:val="auto"/>
              </w:rPr>
            </w:pPr>
            <w:r>
              <w:rPr>
                <w:rFonts w:ascii="Arial" w:cs="Arial" w:eastAsia="Arial" w:hAnsi="Arial"/>
                <w:sz w:val="12"/>
                <w:szCs w:val="12"/>
                <w:color w:val="auto"/>
              </w:rPr>
              <w:t>02/02/26</w:t>
            </w:r>
          </w:p>
        </w:tc>
        <w:tc>
          <w:tcPr>
            <w:tcW w:w="1180" w:type="dxa"/>
            <w:vAlign w:val="bottom"/>
          </w:tcPr>
          <w:p>
            <w:pPr>
              <w:jc w:val="center"/>
              <w:ind w:left="602"/>
              <w:spacing w:after="0"/>
              <w:rPr>
                <w:sz w:val="20"/>
                <w:szCs w:val="20"/>
                <w:color w:val="auto"/>
              </w:rPr>
            </w:pPr>
            <w:r>
              <w:rPr>
                <w:rFonts w:ascii="Arial" w:cs="Arial" w:eastAsia="Arial" w:hAnsi="Arial"/>
                <w:sz w:val="12"/>
                <w:szCs w:val="12"/>
                <w:color w:val="auto"/>
                <w:w w:val="87"/>
              </w:rPr>
              <w:t>9.0%</w:t>
            </w: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2"/>
                <w:szCs w:val="12"/>
                <w:color w:val="auto"/>
              </w:rPr>
              <w:t>17.5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200" w:type="dxa"/>
            <w:vAlign w:val="bottom"/>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600" w:type="dxa"/>
            <w:vAlign w:val="bottom"/>
            <w:gridSpan w:val="2"/>
            <w:vMerge w:val="restart"/>
          </w:tcPr>
          <w:p>
            <w:pPr>
              <w:jc w:val="center"/>
              <w:ind w:left="162"/>
              <w:spacing w:after="0"/>
              <w:rPr>
                <w:sz w:val="20"/>
                <w:szCs w:val="20"/>
                <w:color w:val="auto"/>
              </w:rPr>
            </w:pPr>
            <w:r>
              <w:rPr>
                <w:rFonts w:ascii="Arial" w:cs="Arial" w:eastAsia="Arial" w:hAnsi="Arial"/>
                <w:sz w:val="12"/>
                <w:szCs w:val="12"/>
                <w:color w:val="auto"/>
                <w:w w:val="92"/>
              </w:rPr>
              <w:t>(PIK 9.0%)</w:t>
            </w:r>
          </w:p>
        </w:tc>
        <w:tc>
          <w:tcPr>
            <w:tcW w:w="1500" w:type="dxa"/>
            <w:vAlign w:val="bottom"/>
            <w:gridSpan w:val="2"/>
            <w:vMerge w:val="restart"/>
          </w:tcPr>
          <w:p>
            <w:pPr>
              <w:jc w:val="right"/>
              <w:ind w:right="380"/>
              <w:spacing w:after="0"/>
              <w:rPr>
                <w:sz w:val="20"/>
                <w:szCs w:val="20"/>
                <w:color w:val="auto"/>
              </w:rPr>
            </w:pPr>
            <w:r>
              <w:rPr>
                <w:rFonts w:ascii="Arial" w:cs="Arial" w:eastAsia="Arial" w:hAnsi="Arial"/>
                <w:sz w:val="12"/>
                <w:szCs w:val="12"/>
                <w:color w:val="auto"/>
              </w:rPr>
              <w:t>7,977,513</w:t>
            </w: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7,977,513</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7,977,513</w:t>
            </w: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200" w:type="dxa"/>
            <w:vAlign w:val="bottom"/>
            <w:tcBorders>
              <w:bottom w:val="single" w:sz="8" w:color="CFF0FC"/>
            </w:tcBorders>
          </w:tcPr>
          <w:p>
            <w:pPr>
              <w:spacing w:after="0"/>
              <w:rPr>
                <w:sz w:val="5"/>
                <w:szCs w:val="5"/>
                <w:color w:val="auto"/>
              </w:rPr>
            </w:pPr>
          </w:p>
        </w:tc>
        <w:tc>
          <w:tcPr>
            <w:tcW w:w="820" w:type="dxa"/>
            <w:vAlign w:val="bottom"/>
            <w:tcBorders>
              <w:bottom w:val="single" w:sz="8" w:color="CFF0FC"/>
            </w:tcBorders>
          </w:tcPr>
          <w:p>
            <w:pPr>
              <w:spacing w:after="0"/>
              <w:rPr>
                <w:sz w:val="5"/>
                <w:szCs w:val="5"/>
                <w:color w:val="auto"/>
              </w:rPr>
            </w:pPr>
          </w:p>
        </w:tc>
        <w:tc>
          <w:tcPr>
            <w:tcW w:w="160" w:type="dxa"/>
            <w:vAlign w:val="bottom"/>
            <w:tcBorders>
              <w:bottom w:val="single" w:sz="8" w:color="CFF0FC"/>
            </w:tcBorders>
          </w:tcPr>
          <w:p>
            <w:pPr>
              <w:spacing w:after="0"/>
              <w:rPr>
                <w:sz w:val="5"/>
                <w:szCs w:val="5"/>
                <w:color w:val="auto"/>
              </w:rPr>
            </w:pPr>
          </w:p>
        </w:tc>
        <w:tc>
          <w:tcPr>
            <w:tcW w:w="1600" w:type="dxa"/>
            <w:vAlign w:val="bottom"/>
            <w:tcBorders>
              <w:bottom w:val="single" w:sz="8" w:color="CFF0FC"/>
            </w:tcBorders>
            <w:gridSpan w:val="2"/>
            <w:vMerge w:val="continue"/>
          </w:tcPr>
          <w:p>
            <w:pPr>
              <w:spacing w:after="0"/>
              <w:rPr>
                <w:sz w:val="5"/>
                <w:szCs w:val="5"/>
                <w:color w:val="auto"/>
              </w:rPr>
            </w:pPr>
          </w:p>
        </w:tc>
        <w:tc>
          <w:tcPr>
            <w:tcW w:w="1500" w:type="dxa"/>
            <w:vAlign w:val="bottom"/>
            <w:tcBorders>
              <w:bottom w:val="single" w:sz="8" w:color="CFF0FC"/>
            </w:tcBorders>
            <w:gridSpan w:val="2"/>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vMerge w:val="continue"/>
          </w:tcPr>
          <w:p>
            <w:pPr>
              <w:spacing w:after="0"/>
              <w:rPr>
                <w:sz w:val="5"/>
                <w:szCs w:val="5"/>
                <w:color w:val="auto"/>
              </w:rPr>
            </w:pPr>
          </w:p>
        </w:tc>
        <w:tc>
          <w:tcPr>
            <w:tcW w:w="360" w:type="dxa"/>
            <w:vAlign w:val="bottom"/>
            <w:tcBorders>
              <w:bottom w:val="single" w:sz="8" w:color="CFF0FC"/>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CFF0FC"/>
            </w:tcBorders>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30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Second Lien Secured Debt</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8,957,504</w:t>
            </w: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8,883,272</w:t>
            </w: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19.5</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b w:val="1"/>
                <w:bCs w:val="1"/>
                <w:color w:val="auto"/>
              </w:rPr>
              <w:t>Preferred Equity - 4.0%</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Business Services</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DBI Holding, LLC - Series A-1</w:t>
            </w:r>
          </w:p>
        </w:tc>
        <w:tc>
          <w:tcPr>
            <w:tcW w:w="8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180" w:type="dxa"/>
            <w:vAlign w:val="bottom"/>
            <w:tcBorders>
              <w:bottom w:val="single" w:sz="8" w:color="CFF0FC"/>
            </w:tcBorders>
          </w:tcPr>
          <w:p>
            <w:pPr>
              <w:jc w:val="center"/>
              <w:ind w:left="602"/>
              <w:spacing w:after="0"/>
              <w:rPr>
                <w:sz w:val="20"/>
                <w:szCs w:val="20"/>
                <w:color w:val="auto"/>
              </w:rPr>
            </w:pPr>
            <w:r>
              <w:rPr>
                <w:rFonts w:ascii="Arial" w:cs="Arial" w:eastAsia="Arial" w:hAnsi="Arial"/>
                <w:sz w:val="12"/>
                <w:szCs w:val="12"/>
                <w:color w:val="auto"/>
                <w:w w:val="88"/>
              </w:rPr>
              <w:t>13.00%</w:t>
            </w:r>
          </w:p>
        </w:tc>
        <w:tc>
          <w:tcPr>
            <w:tcW w:w="420" w:type="dxa"/>
            <w:vAlign w:val="bottom"/>
            <w:tcBorders>
              <w:bottom w:val="single" w:sz="8" w:color="CFF0FC"/>
            </w:tcBorders>
          </w:tcPr>
          <w:p>
            <w:pPr>
              <w:spacing w:after="0"/>
              <w:rPr>
                <w:sz w:val="12"/>
                <w:szCs w:val="12"/>
                <w:color w:val="auto"/>
              </w:rPr>
            </w:pPr>
          </w:p>
        </w:tc>
        <w:tc>
          <w:tcPr>
            <w:tcW w:w="1500" w:type="dxa"/>
            <w:vAlign w:val="bottom"/>
            <w:tcBorders>
              <w:bottom w:val="single" w:sz="8" w:color="CFF0FC"/>
            </w:tcBorders>
            <w:gridSpan w:val="2"/>
          </w:tcPr>
          <w:p>
            <w:pPr>
              <w:jc w:val="right"/>
              <w:ind w:right="380"/>
              <w:spacing w:after="0"/>
              <w:rPr>
                <w:sz w:val="20"/>
                <w:szCs w:val="20"/>
                <w:color w:val="auto"/>
              </w:rPr>
            </w:pPr>
            <w:r>
              <w:rPr>
                <w:rFonts w:ascii="Arial" w:cs="Arial" w:eastAsia="Arial" w:hAnsi="Arial"/>
                <w:sz w:val="12"/>
                <w:szCs w:val="12"/>
                <w:color w:val="auto"/>
              </w:rPr>
              <w:t>5,034</w:t>
            </w: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5,034,310</w:t>
            </w:r>
          </w:p>
        </w:tc>
        <w:tc>
          <w:tcPr>
            <w:tcW w:w="3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1,803,668</w:t>
            </w:r>
          </w:p>
        </w:tc>
        <w:tc>
          <w:tcPr>
            <w:tcW w:w="4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w:t>
            </w: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Preferred Equity</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5,034,310</w:t>
            </w: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1,803,668</w:t>
            </w: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2"/>
                <w:szCs w:val="12"/>
                <w:b w:val="1"/>
                <w:bCs w:val="1"/>
                <w:color w:val="auto"/>
              </w:rPr>
              <w:t>Common Equity - 0.0%</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Beverage, Food and Tobacco</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Country Fresh Holding Company Inc.</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2"/>
                <w:szCs w:val="12"/>
                <w:color w:val="auto"/>
              </w:rPr>
              <w:t>1,317</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1,713,106</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Business Services</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DBI Holding, LLC - Series B</w:t>
            </w:r>
          </w:p>
        </w:tc>
        <w:tc>
          <w:tcPr>
            <w:tcW w:w="8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180" w:type="dxa"/>
            <w:vAlign w:val="bottom"/>
            <w:tcBorders>
              <w:bottom w:val="single" w:sz="8" w:color="CFF0FC"/>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500" w:type="dxa"/>
            <w:vAlign w:val="bottom"/>
            <w:tcBorders>
              <w:bottom w:val="single" w:sz="8" w:color="CFF0FC"/>
            </w:tcBorders>
            <w:gridSpan w:val="2"/>
          </w:tcPr>
          <w:p>
            <w:pPr>
              <w:jc w:val="right"/>
              <w:ind w:right="380"/>
              <w:spacing w:after="0"/>
              <w:rPr>
                <w:sz w:val="20"/>
                <w:szCs w:val="20"/>
                <w:color w:val="auto"/>
              </w:rPr>
            </w:pPr>
            <w:r>
              <w:rPr>
                <w:rFonts w:ascii="Arial" w:cs="Arial" w:eastAsia="Arial" w:hAnsi="Arial"/>
                <w:sz w:val="12"/>
                <w:szCs w:val="12"/>
                <w:color w:val="auto"/>
              </w:rPr>
              <w:t>1,065,021</w:t>
            </w: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236,521</w:t>
            </w:r>
          </w:p>
        </w:tc>
        <w:tc>
          <w:tcPr>
            <w:tcW w:w="3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w:t>
            </w: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Common Equity</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1,949,627</w:t>
            </w:r>
          </w:p>
        </w:tc>
        <w:tc>
          <w:tcPr>
            <w:tcW w:w="3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0.0</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Total Investments - 861.6%</w:t>
            </w:r>
          </w:p>
        </w:tc>
        <w:tc>
          <w:tcPr>
            <w:tcW w:w="8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180" w:type="dxa"/>
            <w:vAlign w:val="bottom"/>
            <w:tcBorders>
              <w:bottom w:val="single" w:sz="8" w:color="CFF0FC"/>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060" w:type="dxa"/>
            <w:vAlign w:val="bottom"/>
            <w:tcBorders>
              <w:bottom w:val="single" w:sz="8" w:color="CFF0FC"/>
            </w:tcBorders>
          </w:tcPr>
          <w:p>
            <w:pPr>
              <w:spacing w:after="0"/>
              <w:rPr>
                <w:sz w:val="12"/>
                <w:szCs w:val="12"/>
                <w:color w:val="auto"/>
              </w:rPr>
            </w:pPr>
          </w:p>
        </w:tc>
        <w:tc>
          <w:tcPr>
            <w:tcW w:w="440" w:type="dxa"/>
            <w:vAlign w:val="bottom"/>
            <w:tcBorders>
              <w:bottom w:val="single" w:sz="8" w:color="CFF0FC"/>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408,251,402</w:t>
            </w:r>
          </w:p>
        </w:tc>
        <w:tc>
          <w:tcPr>
            <w:tcW w:w="3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392,986,090</w:t>
            </w:r>
          </w:p>
        </w:tc>
        <w:tc>
          <w:tcPr>
            <w:tcW w:w="4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861.6</w:t>
            </w: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Cash and Cash Equivalents—24.4%</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9"/>
              </w:rPr>
              <w:t>11,115,373</w:t>
            </w:r>
          </w:p>
        </w:tc>
        <w:tc>
          <w:tcPr>
            <w:tcW w:w="3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11,121,479</w:t>
            </w: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24.4</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Total Investments and Cash Equivalents—886.0%</w:t>
            </w:r>
          </w:p>
        </w:tc>
        <w:tc>
          <w:tcPr>
            <w:tcW w:w="82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180" w:type="dxa"/>
            <w:vAlign w:val="bottom"/>
            <w:tcBorders>
              <w:bottom w:val="single" w:sz="8" w:color="CFF0FC"/>
            </w:tcBorders>
          </w:tcPr>
          <w:p>
            <w:pPr>
              <w:spacing w:after="0"/>
              <w:rPr>
                <w:sz w:val="15"/>
                <w:szCs w:val="15"/>
                <w:color w:val="auto"/>
              </w:rPr>
            </w:pPr>
          </w:p>
        </w:tc>
        <w:tc>
          <w:tcPr>
            <w:tcW w:w="420" w:type="dxa"/>
            <w:vAlign w:val="bottom"/>
            <w:tcBorders>
              <w:bottom w:val="single" w:sz="8" w:color="CFF0FC"/>
            </w:tcBorders>
          </w:tcPr>
          <w:p>
            <w:pPr>
              <w:spacing w:after="0"/>
              <w:rPr>
                <w:sz w:val="15"/>
                <w:szCs w:val="15"/>
                <w:color w:val="auto"/>
              </w:rPr>
            </w:pPr>
          </w:p>
        </w:tc>
        <w:tc>
          <w:tcPr>
            <w:tcW w:w="1500" w:type="dxa"/>
            <w:vAlign w:val="bottom"/>
            <w:tcBorders>
              <w:bottom w:val="single" w:sz="8" w:color="CFF0FC"/>
            </w:tcBorders>
            <w:gridSpan w:val="2"/>
          </w:tcPr>
          <w:p>
            <w:pPr>
              <w:spacing w:after="0"/>
              <w:rPr>
                <w:sz w:val="15"/>
                <w:szCs w:val="15"/>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419,366,775</w:t>
            </w:r>
          </w:p>
        </w:tc>
        <w:tc>
          <w:tcPr>
            <w:tcW w:w="3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404,107,569</w:t>
            </w:r>
          </w:p>
        </w:tc>
        <w:tc>
          <w:tcPr>
            <w:tcW w:w="4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886.0</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00" w:type="dxa"/>
            <w:vAlign w:val="bottom"/>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Liabilities in Excess of Other Assets—(786.0)%</w:t>
            </w: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w w:val="90"/>
              </w:rPr>
              <w:t>(358,495,484</w:t>
            </w:r>
          </w:p>
        </w:tc>
        <w:tc>
          <w:tcPr>
            <w:tcW w:w="260" w:type="dxa"/>
            <w:vAlign w:val="bottom"/>
            <w:gridSpan w:val="2"/>
            <w:shd w:val="clear" w:color="auto" w:fill="CFF0FC"/>
          </w:tcPr>
          <w:p>
            <w:pPr>
              <w:jc w:val="right"/>
              <w:ind w:right="220"/>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2"/>
                <w:szCs w:val="12"/>
                <w:color w:val="auto"/>
              </w:rPr>
              <w:t>(786.0)</w:t>
            </w:r>
          </w:p>
        </w:tc>
        <w:tc>
          <w:tcPr>
            <w:tcW w:w="3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b w:val="1"/>
                <w:bCs w:val="1"/>
                <w:color w:val="auto"/>
              </w:rPr>
              <w:t>Members’ Equity—100.0%</w:t>
            </w:r>
          </w:p>
        </w:tc>
        <w:tc>
          <w:tcPr>
            <w:tcW w:w="8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CFF0FC"/>
            </w:tcBorders>
            <w:vMerge w:val="restart"/>
          </w:tcPr>
          <w:p>
            <w:pPr>
              <w:jc w:val="right"/>
              <w:ind w:right="122"/>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line="20" w:lineRule="exact"/>
              <w:rPr>
                <w:sz w:val="1"/>
                <w:szCs w:val="1"/>
                <w:color w:val="auto"/>
              </w:rPr>
            </w:pPr>
          </w:p>
        </w:tc>
      </w:tr>
      <w:tr>
        <w:trPr>
          <w:trHeight w:val="129"/>
        </w:trPr>
        <w:tc>
          <w:tcPr>
            <w:tcW w:w="32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45,612,085</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100.0</w:t>
            </w:r>
          </w:p>
        </w:tc>
        <w:tc>
          <w:tcPr>
            <w:tcW w:w="1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68834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149" w:lineRule="exact"/>
        <w:rPr>
          <w:sz w:val="20"/>
          <w:szCs w:val="20"/>
          <w:color w:val="auto"/>
        </w:rPr>
      </w:pPr>
    </w:p>
    <w:p>
      <w:pPr>
        <w:ind w:left="260" w:right="500" w:hanging="5"/>
        <w:spacing w:after="0" w:line="354" w:lineRule="auto"/>
        <w:tabs>
          <w:tab w:leader="none" w:pos="425" w:val="left"/>
        </w:tabs>
        <w:numPr>
          <w:ilvl w:val="0"/>
          <w:numId w:val="100"/>
        </w:numPr>
        <w:rPr>
          <w:rFonts w:ascii="Arial" w:cs="Arial" w:eastAsia="Arial" w:hAnsi="Arial"/>
          <w:sz w:val="9"/>
          <w:szCs w:val="9"/>
          <w:color w:val="auto"/>
        </w:rPr>
      </w:pPr>
      <w:r>
        <w:rPr>
          <w:rFonts w:ascii="Arial" w:cs="Arial" w:eastAsia="Arial" w:hAnsi="Arial"/>
          <w:sz w:val="9"/>
          <w:szCs w:val="9"/>
          <w:color w:val="auto"/>
        </w:rPr>
        <w:t>Represents floating rate instruments that accrue interest at a predetermined spread relative to an index, typically the applicable LIBOR, or “L” or Prime rate or “P”. The spread may change based on the type of rate used. The terms in the Consolidated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9"/>
          <w:szCs w:val="9"/>
          <w:color w:val="auto"/>
        </w:rPr>
      </w:pPr>
    </w:p>
    <w:p>
      <w:pPr>
        <w:ind w:left="420" w:hanging="165"/>
        <w:spacing w:after="0"/>
        <w:tabs>
          <w:tab w:leader="none" w:pos="42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105" w:lineRule="exact"/>
        <w:rPr>
          <w:rFonts w:ascii="Arial" w:cs="Arial" w:eastAsia="Arial" w:hAnsi="Arial"/>
          <w:sz w:val="12"/>
          <w:szCs w:val="12"/>
          <w:color w:val="auto"/>
        </w:rPr>
      </w:pPr>
    </w:p>
    <w:p>
      <w:pPr>
        <w:ind w:left="420" w:hanging="165"/>
        <w:spacing w:after="0"/>
        <w:tabs>
          <w:tab w:leader="none" w:pos="42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105" w:lineRule="exact"/>
        <w:rPr>
          <w:rFonts w:ascii="Arial" w:cs="Arial" w:eastAsia="Arial" w:hAnsi="Arial"/>
          <w:sz w:val="12"/>
          <w:szCs w:val="12"/>
          <w:color w:val="auto"/>
        </w:rPr>
      </w:pPr>
    </w:p>
    <w:p>
      <w:pPr>
        <w:ind w:left="420" w:hanging="165"/>
        <w:spacing w:after="0"/>
        <w:tabs>
          <w:tab w:leader="none" w:pos="42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Security currently on interest non-accrual status.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200" w:lineRule="exact"/>
        <w:rPr>
          <w:sz w:val="20"/>
          <w:szCs w:val="20"/>
          <w:color w:val="auto"/>
        </w:rPr>
      </w:pPr>
    </w:p>
    <w:p>
      <w:pPr>
        <w:spacing w:after="0" w:line="263" w:lineRule="exact"/>
        <w:rPr>
          <w:sz w:val="20"/>
          <w:szCs w:val="20"/>
          <w:color w:val="auto"/>
        </w:rPr>
      </w:pPr>
    </w:p>
    <w:p>
      <w:pPr>
        <w:ind w:left="380" w:hanging="372"/>
        <w:spacing w:after="0"/>
        <w:tabs>
          <w:tab w:leader="none" w:pos="3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56"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8"/>
          <w:szCs w:val="18"/>
          <w:color w:val="auto"/>
        </w:rPr>
        <w:t>PennantPark Senior Secured Loan Fund I LLC, or PSSL, is organized as a Delaware limited liability company and commenced operations in May 2017. In this report, except where the context suggests otherwise, the terms “Company,” “we,” “our,” or “us” refer to PSSL and its subsidiary. PSSL is a joint venture between PennantPark Floating Rate Capital Ltd., or PFLT, and a subsidiary of Kemper Corporation (NYSE: KMPR), Trinity Universal Insurance Company, or Kemper.</w:t>
      </w:r>
    </w:p>
    <w:p>
      <w:pPr>
        <w:spacing w:after="0" w:line="214" w:lineRule="exact"/>
        <w:rPr>
          <w:sz w:val="20"/>
          <w:szCs w:val="20"/>
          <w:color w:val="auto"/>
        </w:rPr>
      </w:pPr>
    </w:p>
    <w:p>
      <w:pPr>
        <w:jc w:val="both"/>
        <w:ind w:firstLine="384"/>
        <w:spacing w:after="0" w:line="279" w:lineRule="auto"/>
        <w:rPr>
          <w:sz w:val="20"/>
          <w:szCs w:val="20"/>
          <w:color w:val="auto"/>
        </w:rPr>
      </w:pPr>
      <w:r>
        <w:rPr>
          <w:rFonts w:ascii="Arial" w:cs="Arial" w:eastAsia="Arial" w:hAnsi="Arial"/>
          <w:sz w:val="17"/>
          <w:szCs w:val="17"/>
          <w:color w:val="auto"/>
        </w:rPr>
        <w:t>Our investment objectives are to generate current income and capital appreciation while seeking to preserve capital. We seek to achieve our investment objective by investing primarily in loans bearing a variable-rate of interest, or floating rate loans, and other investments made to U.S. middle-market companies whose debt is rated below investment grade. Floating rate loans pay interest at variable rates, which are determined periodically, on the basis of a floating base lending rate such as London Interbank Offered Rate, or LIBOR, with or without a floor, plus a fixed spread.</w:t>
      </w:r>
    </w:p>
    <w:p>
      <w:pPr>
        <w:spacing w:after="0" w:line="198" w:lineRule="exact"/>
        <w:rPr>
          <w:sz w:val="20"/>
          <w:szCs w:val="20"/>
          <w:color w:val="auto"/>
        </w:rPr>
      </w:pPr>
    </w:p>
    <w:p>
      <w:pPr>
        <w:jc w:val="both"/>
        <w:ind w:firstLine="384"/>
        <w:spacing w:after="0" w:line="257" w:lineRule="auto"/>
        <w:rPr>
          <w:sz w:val="20"/>
          <w:szCs w:val="20"/>
          <w:color w:val="auto"/>
        </w:rPr>
      </w:pPr>
      <w:r>
        <w:rPr>
          <w:rFonts w:ascii="Arial" w:cs="Arial" w:eastAsia="Arial" w:hAnsi="Arial"/>
          <w:sz w:val="18"/>
          <w:szCs w:val="18"/>
          <w:color w:val="auto"/>
        </w:rPr>
        <w:t>PFLT and Kemper, as members of PSSL, or the Members, provide capital to PSSL in the form of notes and equity interests. As of September 30, 2021 and 2020, PFLT and Kemper owned 87.5% and 12.5%, respectively, of each of the outstanding notes and equity interests. The administrative agent of the Company is PennantPark Investment Administration, LLC, or the Administrative Agent. The Bank of New York Mellon Corporation, or the Sub-Administrator, provides certain services to the Administrative Agent with respect to certain accounting matters and has the responsibility for the official books and records.</w:t>
      </w:r>
    </w:p>
    <w:p>
      <w:pPr>
        <w:spacing w:after="0" w:line="215" w:lineRule="exact"/>
        <w:rPr>
          <w:sz w:val="20"/>
          <w:szCs w:val="20"/>
          <w:color w:val="auto"/>
        </w:rPr>
      </w:pPr>
    </w:p>
    <w:p>
      <w:pPr>
        <w:jc w:val="both"/>
        <w:ind w:firstLine="384"/>
        <w:spacing w:after="0" w:line="272" w:lineRule="auto"/>
        <w:rPr>
          <w:sz w:val="20"/>
          <w:szCs w:val="20"/>
          <w:color w:val="auto"/>
        </w:rPr>
      </w:pPr>
      <w:r>
        <w:rPr>
          <w:rFonts w:ascii="Arial" w:cs="Arial" w:eastAsia="Arial" w:hAnsi="Arial"/>
          <w:sz w:val="17"/>
          <w:szCs w:val="17"/>
          <w:color w:val="auto"/>
        </w:rPr>
        <w:t>PFLT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of the Members;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of the Members.</w:t>
      </w:r>
    </w:p>
    <w:p>
      <w:pPr>
        <w:spacing w:after="0" w:line="204" w:lineRule="exact"/>
        <w:rPr>
          <w:sz w:val="20"/>
          <w:szCs w:val="20"/>
          <w:color w:val="auto"/>
        </w:rPr>
      </w:pPr>
    </w:p>
    <w:p>
      <w:pPr>
        <w:jc w:val="both"/>
        <w:ind w:firstLine="384"/>
        <w:spacing w:after="0" w:line="263" w:lineRule="auto"/>
        <w:rPr>
          <w:sz w:val="20"/>
          <w:szCs w:val="20"/>
          <w:color w:val="auto"/>
        </w:rPr>
      </w:pPr>
      <w:r>
        <w:rPr>
          <w:rFonts w:ascii="Arial" w:cs="Arial" w:eastAsia="Arial" w:hAnsi="Arial"/>
          <w:sz w:val="18"/>
          <w:szCs w:val="18"/>
          <w:color w:val="auto"/>
        </w:rPr>
        <w:t>In May of 2017, PSSL entered into a multi-currency senior secured revolving credit facility, or the Credit Facility, with Capital One, N.A. through its wholly-owned subsidiary PennantPark Senior Secured Loan Facility LLC, or PSSL Subsidiary. The $325 million Credit Facility has a maturity date of May 2, 2023 and is priced at 2.25% over LIBOR. On January 27, 2021, PSSL terminated the facility with Capital One, N.A.</w:t>
      </w:r>
    </w:p>
    <w:p>
      <w:pPr>
        <w:spacing w:after="0" w:line="211" w:lineRule="exact"/>
        <w:rPr>
          <w:sz w:val="20"/>
          <w:szCs w:val="20"/>
          <w:color w:val="auto"/>
        </w:rPr>
      </w:pPr>
    </w:p>
    <w:p>
      <w:pPr>
        <w:jc w:val="both"/>
        <w:ind w:firstLine="384"/>
        <w:spacing w:after="0" w:line="286" w:lineRule="auto"/>
        <w:rPr>
          <w:sz w:val="20"/>
          <w:szCs w:val="20"/>
          <w:color w:val="auto"/>
        </w:rPr>
      </w:pPr>
      <w:r>
        <w:rPr>
          <w:rFonts w:ascii="Arial" w:cs="Arial" w:eastAsia="Arial" w:hAnsi="Arial"/>
          <w:sz w:val="17"/>
          <w:szCs w:val="17"/>
          <w:color w:val="auto"/>
        </w:rPr>
        <w:t>On January 26, 2021, PSSL entered into a new $125.0 million senior secured revolving Credit Facility (“Credit Facility 2”) with Ally Bank through its wholly-owned subsidiary Pennant Park Senior Secured Loan Facility II, LLC (“PSSL II”). Credit Facility 2 has a maturity date of January 26, 2026 with an interest rate at 2.6% over LIBOR. On June 3, 2021, the facility amount was increased to $155.0 million from $125.0 million.</w:t>
      </w:r>
    </w:p>
    <w:p>
      <w:pPr>
        <w:spacing w:after="0" w:line="192"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8"/>
          <w:szCs w:val="18"/>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56" w:lineRule="exact"/>
        <w:rPr>
          <w:sz w:val="20"/>
          <w:szCs w:val="20"/>
          <w:color w:val="auto"/>
        </w:rPr>
      </w:pPr>
    </w:p>
    <w:p>
      <w:pPr>
        <w:jc w:val="both"/>
        <w:ind w:firstLine="384"/>
        <w:spacing w:after="0" w:line="289" w:lineRule="auto"/>
        <w:rPr>
          <w:sz w:val="20"/>
          <w:szCs w:val="20"/>
          <w:color w:val="auto"/>
        </w:rPr>
      </w:pPr>
      <w:r>
        <w:rPr>
          <w:rFonts w:ascii="Arial" w:cs="Arial" w:eastAsia="Arial" w:hAnsi="Arial"/>
          <w:sz w:val="16"/>
          <w:szCs w:val="16"/>
          <w:color w:val="auto"/>
        </w:rPr>
        <w:t>PSSL is considered an investment company under U.S. generally accepted accounting principles, or GAAP, and follows the accounting and reporting guidance applicable to investment companies in the Financial Accounting Standards Board Accounting Standards Codification Topic 946. References to the Accounting Standards Codification, as amended, or ASC, serves as a source of accounting literature. Subsequent events are evaluated and recognized or disclosed as appropriate for events occurring through the date the consolidated financial statements are available to be issued. The preparation of our consolidated financial statements in conformity with GAAP requires the Members to make estimates and assumptions that affect the reported amount of our assets and liabilities at the date of the consolidated financial statements and the reported amounts of income and expenses during the reported periods. In the opinion of the Members,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have eliminated all intercompany balances and transactions.</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 (Continued)</w:t>
      </w: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252" w:lineRule="exact"/>
        <w:rPr>
          <w:sz w:val="20"/>
          <w:szCs w:val="20"/>
          <w:color w:val="auto"/>
        </w:rPr>
      </w:pPr>
    </w:p>
    <w:p>
      <w:pPr>
        <w:jc w:val="both"/>
        <w:ind w:firstLine="384"/>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consider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in determining our valuation. Due to the inherent uncertainty of determining the fair value of investments that do not have a readily available market value, the price used in an actual transaction may be different than our valuation and the difference may be material. See Note 4.</w:t>
      </w:r>
    </w:p>
    <w:p>
      <w:pPr>
        <w:spacing w:after="0" w:line="208" w:lineRule="exact"/>
        <w:rPr>
          <w:sz w:val="20"/>
          <w:szCs w:val="20"/>
          <w:color w:val="auto"/>
        </w:rPr>
      </w:pPr>
    </w:p>
    <w:p>
      <w:pPr>
        <w:jc w:val="both"/>
        <w:ind w:firstLine="462"/>
        <w:spacing w:after="0" w:line="263" w:lineRule="auto"/>
        <w:rPr>
          <w:sz w:val="20"/>
          <w:szCs w:val="20"/>
          <w:color w:val="auto"/>
        </w:rPr>
      </w:pPr>
      <w:r>
        <w:rPr>
          <w:rFonts w:ascii="Arial" w:cs="Arial" w:eastAsia="Arial" w:hAnsi="Arial"/>
          <w:sz w:val="18"/>
          <w:szCs w:val="18"/>
          <w:color w:val="auto"/>
        </w:rPr>
        <w:t>Our portfolio generally consists of illiquid securities, including debt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84" w:lineRule="exact"/>
        <w:rPr>
          <w:sz w:val="20"/>
          <w:szCs w:val="20"/>
          <w:color w:val="auto"/>
        </w:rPr>
      </w:pPr>
    </w:p>
    <w:p>
      <w:pPr>
        <w:ind w:left="960" w:hanging="372"/>
        <w:spacing w:after="0" w:line="308" w:lineRule="auto"/>
        <w:tabs>
          <w:tab w:leader="none" w:pos="9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Our quarterly valuation process begins with each portfolio company or investment being initially valued by the investment professionals of PennantPark Investment Advisers, LLC, the investment adviser to PFLT, responsible for the portfolio investment;</w:t>
      </w:r>
    </w:p>
    <w:p>
      <w:pPr>
        <w:spacing w:after="0" w:line="173" w:lineRule="exact"/>
        <w:rPr>
          <w:rFonts w:ascii="Arial" w:cs="Arial" w:eastAsia="Arial" w:hAnsi="Arial"/>
          <w:sz w:val="17"/>
          <w:szCs w:val="17"/>
          <w:color w:val="auto"/>
        </w:rPr>
      </w:pPr>
    </w:p>
    <w:p>
      <w:pPr>
        <w:ind w:left="960" w:hanging="372"/>
        <w:spacing w:after="0"/>
        <w:tabs>
          <w:tab w:leader="none" w:pos="9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the management of PennantPark Investment Advisers, LLC;</w:t>
      </w:r>
    </w:p>
    <w:p>
      <w:pPr>
        <w:spacing w:after="0" w:line="263" w:lineRule="exact"/>
        <w:rPr>
          <w:rFonts w:ascii="Arial" w:cs="Arial" w:eastAsia="Arial" w:hAnsi="Arial"/>
          <w:sz w:val="17"/>
          <w:szCs w:val="17"/>
          <w:color w:val="auto"/>
        </w:rPr>
      </w:pPr>
    </w:p>
    <w:p>
      <w:pPr>
        <w:jc w:val="both"/>
        <w:ind w:left="960" w:hanging="372"/>
        <w:spacing w:after="0" w:line="279" w:lineRule="auto"/>
        <w:tabs>
          <w:tab w:leader="none" w:pos="9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PennantPark Investment Advisers, LLC’s preliminary valuations in light of their own independent assessment and also in light of any market quotations obtained from an independent pricing service, broker, dealer or market maker;</w:t>
      </w:r>
    </w:p>
    <w:p>
      <w:pPr>
        <w:spacing w:after="0" w:line="198" w:lineRule="exact"/>
        <w:rPr>
          <w:rFonts w:ascii="Arial" w:cs="Arial" w:eastAsia="Arial" w:hAnsi="Arial"/>
          <w:sz w:val="17"/>
          <w:szCs w:val="17"/>
          <w:color w:val="auto"/>
        </w:rPr>
      </w:pPr>
    </w:p>
    <w:p>
      <w:pPr>
        <w:jc w:val="both"/>
        <w:ind w:left="960" w:hanging="372"/>
        <w:spacing w:after="0" w:line="263" w:lineRule="auto"/>
        <w:tabs>
          <w:tab w:leader="none" w:pos="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Our board of directors reviews the preliminary valuations of PennantPark Investment Advisers, LLC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210" w:lineRule="exact"/>
        <w:rPr>
          <w:rFonts w:ascii="Arial" w:cs="Arial" w:eastAsia="Arial" w:hAnsi="Arial"/>
          <w:sz w:val="18"/>
          <w:szCs w:val="18"/>
          <w:color w:val="auto"/>
        </w:rPr>
      </w:pPr>
    </w:p>
    <w:p>
      <w:pPr>
        <w:ind w:left="960" w:right="20" w:hanging="372"/>
        <w:spacing w:after="0" w:line="277" w:lineRule="auto"/>
        <w:tabs>
          <w:tab w:leader="none" w:pos="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Our board of directors assesses these valuations and determines the fair value of each investment in our portfolio in good faith, based on the input of PennantPark Investment Advisers, LLC and the respective independent valuation firms.</w:t>
      </w:r>
    </w:p>
    <w:p>
      <w:pPr>
        <w:spacing w:after="0" w:line="197" w:lineRule="exact"/>
        <w:rPr>
          <w:sz w:val="20"/>
          <w:szCs w:val="20"/>
          <w:color w:val="auto"/>
        </w:rPr>
      </w:pPr>
    </w:p>
    <w:p>
      <w:pPr>
        <w:jc w:val="both"/>
        <w:ind w:firstLine="462"/>
        <w:spacing w:after="0" w:line="255"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PennantPark Investment Advisers, LLC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252" w:lineRule="exact"/>
        <w:rPr>
          <w:sz w:val="20"/>
          <w:szCs w:val="20"/>
          <w:color w:val="auto"/>
        </w:rPr>
      </w:pPr>
    </w:p>
    <w:p>
      <w:pPr>
        <w:jc w:val="both"/>
        <w:ind w:firstLine="462"/>
        <w:spacing w:after="0" w:line="275" w:lineRule="auto"/>
        <w:rPr>
          <w:sz w:val="20"/>
          <w:szCs w:val="20"/>
          <w:color w:val="auto"/>
        </w:rPr>
      </w:pPr>
      <w:r>
        <w:rPr>
          <w:rFonts w:ascii="Arial" w:cs="Arial" w:eastAsia="Arial" w:hAnsi="Arial"/>
          <w:sz w:val="17"/>
          <w:szCs w:val="17"/>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and foreign currency translations on our Credit Facility during the reporting period, including any reversal of previously recorded unrealized appreciation or depreciation, when gains or losses are realized.</w:t>
      </w:r>
    </w:p>
    <w:p>
      <w:pPr>
        <w:spacing w:after="0" w:line="203" w:lineRule="exact"/>
        <w:rPr>
          <w:sz w:val="20"/>
          <w:szCs w:val="20"/>
          <w:color w:val="auto"/>
        </w:rPr>
      </w:pPr>
    </w:p>
    <w:p>
      <w:pPr>
        <w:jc w:val="both"/>
        <w:ind w:firstLine="462"/>
        <w:spacing w:after="0" w:line="257"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215" w:lineRule="exact"/>
        <w:rPr>
          <w:sz w:val="20"/>
          <w:szCs w:val="20"/>
          <w:color w:val="auto"/>
        </w:rPr>
      </w:pPr>
    </w:p>
    <w:p>
      <w:pPr>
        <w:jc w:val="both"/>
        <w:ind w:firstLine="462"/>
        <w:spacing w:after="0" w:line="255" w:lineRule="auto"/>
        <w:rPr>
          <w:sz w:val="20"/>
          <w:szCs w:val="20"/>
          <w:color w:val="auto"/>
        </w:rPr>
      </w:pPr>
      <w:r>
        <w:rPr>
          <w:rFonts w:ascii="Arial" w:cs="Arial" w:eastAsia="Arial" w:hAnsi="Arial"/>
          <w:sz w:val="18"/>
          <w:szCs w:val="18"/>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the Members’ judgment. Non-accrual loans are restored to accrual status when past due principal and interest is paid and, in the Members’ judgment, are likely to remain current. As of September 30, 2021and 2020, we had one portfolio company on non-accrual, representing 0.7% and 0.9% of our overall portfolio on a cost and fair value basis and zero investments on non-accrual, respectively.</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Income Taxes</w:t>
      </w:r>
    </w:p>
    <w:p>
      <w:pPr>
        <w:spacing w:after="0" w:line="252" w:lineRule="exact"/>
        <w:rPr>
          <w:sz w:val="20"/>
          <w:szCs w:val="20"/>
          <w:color w:val="auto"/>
        </w:rPr>
      </w:pPr>
    </w:p>
    <w:p>
      <w:pPr>
        <w:jc w:val="both"/>
        <w:ind w:right="20" w:firstLine="462"/>
        <w:spacing w:after="0" w:line="342" w:lineRule="auto"/>
        <w:rPr>
          <w:sz w:val="20"/>
          <w:szCs w:val="20"/>
          <w:color w:val="auto"/>
        </w:rPr>
      </w:pPr>
      <w:r>
        <w:rPr>
          <w:rFonts w:ascii="Arial" w:cs="Arial" w:eastAsia="Arial" w:hAnsi="Arial"/>
          <w:sz w:val="16"/>
          <w:szCs w:val="16"/>
          <w:color w:val="auto"/>
        </w:rPr>
        <w:t>PSSL is classified as a partnership for U.S. federal income tax purposes and is not subject to U.S. federal income tax. Accordingly, no provisions for U.S. income taxes have been made. The Members are responsible for reporting their share of the PSSL’s income or loss on their U.S. income tax returns.</w:t>
      </w:r>
    </w:p>
    <w:p>
      <w:pPr>
        <w:spacing w:after="0" w:line="151" w:lineRule="exact"/>
        <w:rPr>
          <w:sz w:val="20"/>
          <w:szCs w:val="20"/>
          <w:color w:val="auto"/>
        </w:rPr>
      </w:pPr>
    </w:p>
    <w:p>
      <w:pPr>
        <w:jc w:val="both"/>
        <w:ind w:firstLine="462"/>
        <w:spacing w:after="0" w:line="279" w:lineRule="auto"/>
        <w:rPr>
          <w:sz w:val="20"/>
          <w:szCs w:val="20"/>
          <w:color w:val="auto"/>
        </w:rPr>
      </w:pPr>
      <w:r>
        <w:rPr>
          <w:rFonts w:ascii="Arial" w:cs="Arial" w:eastAsia="Arial" w:hAnsi="Arial"/>
          <w:sz w:val="17"/>
          <w:szCs w:val="17"/>
          <w:color w:val="auto"/>
        </w:rPr>
        <w:t>In accordance with FASB ASC Topic 740, the board of directors is required to determine whether a tax position of PSSL is more likely than not, based on the technical merits of the position, to be sustained upon examination including resolution of any related appeals or litigation processes. The tax benefit to be recognized is measured as the largest amount of benefit that is greater than 50% likely of being realized upon ultimate settlement. De-recognition of a tax benefit previously recognized could result in PSSL recording a tax liability that would reduce members’ capital.</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and for the year ended September 30, 2021 and 2020 there were no material uncertain income tax positions.</w:t>
      </w:r>
    </w:p>
    <w:p>
      <w:pPr>
        <w:spacing w:after="0" w:line="200" w:lineRule="exact"/>
        <w:rPr>
          <w:sz w:val="20"/>
          <w:szCs w:val="20"/>
          <w:color w:val="auto"/>
        </w:rPr>
      </w:pP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 Foreign Currency Translation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264" w:lineRule="exact"/>
        <w:rPr>
          <w:sz w:val="20"/>
          <w:szCs w:val="20"/>
          <w:color w:val="auto"/>
        </w:rPr>
      </w:pPr>
    </w:p>
    <w:p>
      <w:pPr>
        <w:ind w:left="960" w:hanging="372"/>
        <w:spacing w:after="0"/>
        <w:tabs>
          <w:tab w:leader="none" w:pos="9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 – at the exchange rates prevailing at the end of the applicable period; and</w:t>
      </w:r>
    </w:p>
    <w:p>
      <w:pPr>
        <w:spacing w:after="0" w:line="263" w:lineRule="exact"/>
        <w:rPr>
          <w:rFonts w:ascii="Arial" w:cs="Arial" w:eastAsia="Arial" w:hAnsi="Arial"/>
          <w:sz w:val="17"/>
          <w:szCs w:val="17"/>
          <w:color w:val="auto"/>
        </w:rPr>
      </w:pPr>
    </w:p>
    <w:p>
      <w:pPr>
        <w:ind w:left="960" w:hanging="372"/>
        <w:spacing w:after="0"/>
        <w:tabs>
          <w:tab w:leader="none" w:pos="9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Purchases and sales of investment securities, income and expenses – at the exchange rates prevailing on the respective dates of such transactions.</w:t>
      </w:r>
    </w:p>
    <w:p>
      <w:pPr>
        <w:spacing w:after="0" w:line="287" w:lineRule="exact"/>
        <w:rPr>
          <w:sz w:val="20"/>
          <w:szCs w:val="20"/>
          <w:color w:val="auto"/>
        </w:rPr>
      </w:pPr>
    </w:p>
    <w:p>
      <w:pPr>
        <w:jc w:val="both"/>
        <w:ind w:firstLine="462"/>
        <w:spacing w:after="0" w:line="286" w:lineRule="auto"/>
        <w:rPr>
          <w:sz w:val="20"/>
          <w:szCs w:val="20"/>
          <w:color w:val="auto"/>
        </w:rPr>
      </w:pPr>
      <w:r>
        <w:rPr>
          <w:rFonts w:ascii="Arial" w:cs="Arial" w:eastAsia="Arial" w:hAnsi="Arial"/>
          <w:sz w:val="17"/>
          <w:szCs w:val="17"/>
          <w:color w:val="auto"/>
        </w:rPr>
        <w:t>Although Members’ capital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held. Such fluctuations are included with the net realized and unrealized gain or loss from investments.</w:t>
      </w:r>
    </w:p>
    <w:p>
      <w:pPr>
        <w:spacing w:after="0" w:line="192" w:lineRule="exact"/>
        <w:rPr>
          <w:sz w:val="20"/>
          <w:szCs w:val="20"/>
          <w:color w:val="auto"/>
        </w:rPr>
      </w:pPr>
    </w:p>
    <w:p>
      <w:pPr>
        <w:jc w:val="both"/>
        <w:ind w:firstLine="462"/>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Consolidation</w:t>
      </w:r>
    </w:p>
    <w:p>
      <w:pPr>
        <w:spacing w:after="0" w:line="252" w:lineRule="exact"/>
        <w:rPr>
          <w:sz w:val="20"/>
          <w:szCs w:val="20"/>
          <w:color w:val="auto"/>
        </w:rPr>
      </w:pPr>
    </w:p>
    <w:p>
      <w:pPr>
        <w:jc w:val="both"/>
        <w:ind w:firstLine="462"/>
        <w:spacing w:after="0" w:line="263" w:lineRule="auto"/>
        <w:rPr>
          <w:sz w:val="20"/>
          <w:szCs w:val="20"/>
          <w:color w:val="auto"/>
        </w:rPr>
      </w:pPr>
      <w:r>
        <w:rPr>
          <w:rFonts w:ascii="Arial" w:cs="Arial" w:eastAsia="Arial" w:hAnsi="Arial"/>
          <w:sz w:val="18"/>
          <w:szCs w:val="18"/>
          <w:color w:val="auto"/>
        </w:rPr>
        <w:t>As explained by ASC paragraph 946-810-45, PSSL will generally not consolidate its investment in a company other than an investment company subsidiary or a controlled operating company whose business consists of providing services to us. We have consolidated the results of our PSSL subsidiaries in our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256" w:lineRule="exact"/>
        <w:rPr>
          <w:sz w:val="20"/>
          <w:szCs w:val="20"/>
          <w:color w:val="auto"/>
        </w:rPr>
      </w:pPr>
    </w:p>
    <w:p>
      <w:pPr>
        <w:jc w:val="both"/>
        <w:ind w:firstLine="481"/>
        <w:spacing w:after="0" w:line="301" w:lineRule="auto"/>
        <w:rPr>
          <w:sz w:val="20"/>
          <w:szCs w:val="20"/>
          <w:color w:val="auto"/>
        </w:rPr>
      </w:pPr>
      <w:r>
        <w:rPr>
          <w:rFonts w:ascii="Arial" w:cs="Arial" w:eastAsia="Arial" w:hAnsi="Arial"/>
          <w:sz w:val="16"/>
          <w:szCs w:val="16"/>
          <w:color w:val="auto"/>
        </w:rPr>
        <w:t>During the fiscal years ended September 30, 2021 and 2020, PSSL purchased $285.8 million and $86.7 million, respectively, in investments from PFLT. Additionally, during the same periods, PSSL incurred $1.2 million in administrative services to the Administrative Agent. The Administrative Agent provides administration services to PSSL at an annual rate of 0.25% of average gross assets under management. PSSL incurred $12.6 million and $13.5 million, in interest expense related to the notes outstanding with both PFLT and Kemper for the years ended September 30,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256" w:lineRule="exact"/>
        <w:rPr>
          <w:sz w:val="20"/>
          <w:szCs w:val="20"/>
          <w:color w:val="auto"/>
        </w:rPr>
      </w:pPr>
    </w:p>
    <w:p>
      <w:pPr>
        <w:jc w:val="both"/>
        <w:ind w:firstLine="462"/>
        <w:spacing w:after="0" w:line="254"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580"/>
        <w:spacing w:after="0"/>
        <w:tabs>
          <w:tab w:leader="none" w:pos="14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252" w:lineRule="exact"/>
        <w:rPr>
          <w:sz w:val="20"/>
          <w:szCs w:val="20"/>
          <w:color w:val="auto"/>
        </w:rPr>
      </w:pPr>
    </w:p>
    <w:p>
      <w:pPr>
        <w:jc w:val="both"/>
        <w:ind w:left="1440" w:hanging="850"/>
        <w:spacing w:after="0" w:line="263" w:lineRule="auto"/>
        <w:tabs>
          <w:tab w:leader="none" w:pos="142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211" w:lineRule="exact"/>
        <w:rPr>
          <w:sz w:val="20"/>
          <w:szCs w:val="20"/>
          <w:color w:val="auto"/>
        </w:rPr>
      </w:pPr>
    </w:p>
    <w:p>
      <w:pPr>
        <w:jc w:val="both"/>
        <w:ind w:left="1440" w:hanging="850"/>
        <w:spacing w:after="0" w:line="277" w:lineRule="auto"/>
        <w:tabs>
          <w:tab w:leader="none" w:pos="142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97" w:lineRule="exact"/>
        <w:rPr>
          <w:sz w:val="20"/>
          <w:szCs w:val="20"/>
          <w:color w:val="auto"/>
        </w:rPr>
      </w:pPr>
    </w:p>
    <w:p>
      <w:pPr>
        <w:jc w:val="both"/>
        <w:ind w:firstLine="462"/>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14" w:lineRule="exact"/>
        <w:rPr>
          <w:sz w:val="20"/>
          <w:szCs w:val="20"/>
          <w:color w:val="auto"/>
        </w:rPr>
      </w:pPr>
    </w:p>
    <w:p>
      <w:pPr>
        <w:jc w:val="both"/>
        <w:ind w:firstLine="462"/>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205" w:lineRule="exact"/>
        <w:rPr>
          <w:sz w:val="20"/>
          <w:szCs w:val="20"/>
          <w:color w:val="auto"/>
        </w:rPr>
      </w:pPr>
    </w:p>
    <w:p>
      <w:pPr>
        <w:jc w:val="both"/>
        <w:ind w:firstLine="462"/>
        <w:spacing w:after="0" w:line="255" w:lineRule="auto"/>
        <w:rPr>
          <w:sz w:val="20"/>
          <w:szCs w:val="20"/>
          <w:color w:val="auto"/>
        </w:rPr>
      </w:pPr>
      <w:r>
        <w:rPr>
          <w:rFonts w:ascii="Arial" w:cs="Arial" w:eastAsia="Arial" w:hAnsi="Arial"/>
          <w:sz w:val="18"/>
          <w:szCs w:val="18"/>
          <w:color w:val="auto"/>
        </w:rPr>
        <w:t>Our investments are generally structured as debt in the form of first lien secured debt, but may also include second lien secured debt, subordinated debt and equity investments. The transaction price, excluding transaction costs, is typically the best estimate of fair value at inception. Ongoing reviews by the Members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219" w:lineRule="exact"/>
        <w:rPr>
          <w:sz w:val="20"/>
          <w:szCs w:val="20"/>
          <w:color w:val="auto"/>
        </w:rPr>
      </w:pPr>
    </w:p>
    <w:p>
      <w:pPr>
        <w:jc w:val="both"/>
        <w:ind w:firstLine="462"/>
        <w:spacing w:after="0" w:line="277"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w:t>
      </w:r>
    </w:p>
    <w:p>
      <w:pPr>
        <w:spacing w:after="0" w:line="197" w:lineRule="exact"/>
        <w:rPr>
          <w:sz w:val="20"/>
          <w:szCs w:val="20"/>
          <w:color w:val="auto"/>
        </w:rPr>
      </w:pPr>
    </w:p>
    <w:p>
      <w:pPr>
        <w:jc w:val="both"/>
        <w:ind w:firstLine="462"/>
        <w:spacing w:after="0" w:line="263" w:lineRule="auto"/>
        <w:rPr>
          <w:sz w:val="20"/>
          <w:szCs w:val="20"/>
          <w:color w:val="auto"/>
        </w:rPr>
      </w:pPr>
      <w:r>
        <w:rPr>
          <w:rFonts w:ascii="Arial" w:cs="Arial" w:eastAsia="Arial" w:hAnsi="Arial"/>
          <w:sz w:val="18"/>
          <w:szCs w:val="18"/>
          <w:color w:val="auto"/>
        </w:rPr>
        <w:t>In addition to using the above inputs in valuing cash equivalents and investments,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 (Continued)</w:t>
      </w:r>
    </w:p>
    <w:p>
      <w:pPr>
        <w:spacing w:after="0" w:line="200" w:lineRule="exact"/>
        <w:rPr>
          <w:sz w:val="20"/>
          <w:szCs w:val="20"/>
          <w:color w:val="auto"/>
        </w:rPr>
      </w:pPr>
    </w:p>
    <w:p>
      <w:pPr>
        <w:spacing w:after="0" w:line="240" w:lineRule="exact"/>
        <w:rPr>
          <w:sz w:val="20"/>
          <w:szCs w:val="20"/>
          <w:color w:val="auto"/>
        </w:rPr>
      </w:pPr>
    </w:p>
    <w:p>
      <w:pPr>
        <w:jc w:val="both"/>
        <w:ind w:firstLine="462"/>
        <w:spacing w:after="0" w:line="275" w:lineRule="auto"/>
        <w:rPr>
          <w:sz w:val="20"/>
          <w:szCs w:val="20"/>
          <w:color w:val="auto"/>
        </w:rPr>
      </w:pPr>
      <w:r>
        <w:rPr>
          <w:rFonts w:ascii="Arial" w:cs="Arial" w:eastAsia="Arial" w:hAnsi="Arial"/>
          <w:sz w:val="17"/>
          <w:szCs w:val="17"/>
          <w:color w:val="auto"/>
        </w:rPr>
        <w:t>As outlined in the table below, some of our Level 3 investments using a market comparable valuation technique are valued using the average of the bids from brokers or dealers. The bids include a disclaimer, may not have corroborating evidence, may be the result of a disorderly transaction and may be the result of consensus pricing. The Members assess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03" w:lineRule="exact"/>
        <w:rPr>
          <w:sz w:val="20"/>
          <w:szCs w:val="20"/>
          <w:color w:val="auto"/>
        </w:rPr>
      </w:pPr>
    </w:p>
    <w:p>
      <w:pPr>
        <w:jc w:val="both"/>
        <w:ind w:firstLine="462"/>
        <w:spacing w:after="0" w:line="287" w:lineRule="auto"/>
        <w:rPr>
          <w:sz w:val="20"/>
          <w:szCs w:val="20"/>
          <w:color w:val="auto"/>
        </w:rPr>
      </w:pPr>
      <w:r>
        <w:rPr>
          <w:rFonts w:ascii="Arial" w:cs="Arial" w:eastAsia="Arial" w:hAnsi="Arial"/>
          <w:sz w:val="16"/>
          <w:szCs w:val="16"/>
          <w:color w:val="auto"/>
        </w:rPr>
        <w:t>Some of our investments can also be valued using a market comparable or an enterprise market value technique. With respect to investments for which there is no readily available market value, the factors that the board of directors may consider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Fair value at</w:t>
            </w: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Range of Input</w:t>
            </w:r>
          </w:p>
        </w:tc>
      </w:tr>
      <w:tr>
        <w:trPr>
          <w:trHeight w:val="234"/>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220" w:type="dxa"/>
            <w:vAlign w:val="bottom"/>
          </w:tcPr>
          <w:p>
            <w:pPr>
              <w:spacing w:after="0"/>
              <w:rPr>
                <w:sz w:val="20"/>
                <w:szCs w:val="20"/>
                <w:color w:val="auto"/>
              </w:rPr>
            </w:pPr>
          </w:p>
        </w:tc>
        <w:tc>
          <w:tcPr>
            <w:tcW w:w="1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September 30, 2021</w:t>
            </w:r>
          </w:p>
        </w:tc>
        <w:tc>
          <w:tcPr>
            <w:tcW w:w="180" w:type="dxa"/>
            <w:vAlign w:val="bottom"/>
          </w:tcPr>
          <w:p>
            <w:pPr>
              <w:spacing w:after="0"/>
              <w:rPr>
                <w:sz w:val="20"/>
                <w:szCs w:val="20"/>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Valuation Technique</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Unobservable Input</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0"/>
              </w:rPr>
              <w:t xml:space="preserve">(Weighted Average) </w:t>
            </w:r>
            <w:r>
              <w:rPr>
                <w:rFonts w:ascii="Arial" w:cs="Arial" w:eastAsia="Arial" w:hAnsi="Arial"/>
                <w:sz w:val="15"/>
                <w:szCs w:val="15"/>
                <w:b w:val="1"/>
                <w:bCs w:val="1"/>
                <w:color w:val="auto"/>
                <w:w w:val="90"/>
              </w:rPr>
              <w:t>(1)</w:t>
            </w: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First lien</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168,834,377</w:t>
            </w:r>
          </w:p>
        </w:tc>
        <w:tc>
          <w:tcPr>
            <w:tcW w:w="180" w:type="dxa"/>
            <w:vAlign w:val="bottom"/>
            <w:tcBorders>
              <w:top w:val="single" w:sz="8" w:color="CFF0FC"/>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Market Comparable</w:t>
            </w:r>
          </w:p>
        </w:tc>
        <w:tc>
          <w:tcPr>
            <w:tcW w:w="8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Broker/Dealer bids or quotes</w:t>
            </w:r>
          </w:p>
        </w:tc>
        <w:tc>
          <w:tcPr>
            <w:tcW w:w="60" w:type="dxa"/>
            <w:vAlign w:val="bottom"/>
            <w:tcBorders>
              <w:top w:val="single" w:sz="8" w:color="CFF0FC"/>
            </w:tcBorders>
            <w:shd w:val="clear" w:color="auto" w:fill="CFF0FC"/>
          </w:tcPr>
          <w:p>
            <w:pPr>
              <w:spacing w:after="0"/>
              <w:rPr>
                <w:sz w:val="19"/>
                <w:szCs w:val="19"/>
                <w:color w:val="auto"/>
              </w:rPr>
            </w:pPr>
          </w:p>
        </w:tc>
        <w:tc>
          <w:tcPr>
            <w:tcW w:w="2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29"/>
        </w:trPr>
        <w:tc>
          <w:tcPr>
            <w:tcW w:w="22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388,897,469</w:t>
            </w:r>
          </w:p>
        </w:tc>
        <w:tc>
          <w:tcPr>
            <w:tcW w:w="180" w:type="dxa"/>
            <w:vAlign w:val="bottom"/>
          </w:tcPr>
          <w:p>
            <w:pPr>
              <w:spacing w:after="0"/>
              <w:rPr>
                <w:sz w:val="19"/>
                <w:szCs w:val="19"/>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Market Comparable</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Market Yield</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5.6% – 11.4% (7.8%)</w:t>
            </w:r>
          </w:p>
        </w:tc>
      </w:tr>
      <w:tr>
        <w:trPr>
          <w:trHeight w:val="230"/>
        </w:trPr>
        <w:tc>
          <w:tcPr>
            <w:tcW w:w="2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Lien</w:t>
            </w:r>
          </w:p>
        </w:tc>
        <w:tc>
          <w:tcPr>
            <w:tcW w:w="22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5,374,333</w:t>
            </w:r>
          </w:p>
        </w:tc>
        <w:tc>
          <w:tcPr>
            <w:tcW w:w="18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2"/>
              </w:rPr>
              <w:t>Market Comparable</w:t>
            </w:r>
          </w:p>
        </w:tc>
        <w:tc>
          <w:tcPr>
            <w:tcW w:w="216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5"/>
              </w:rPr>
              <w:t>Market Yield</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10.9% - 11.0% (10.9%)</w:t>
            </w:r>
          </w:p>
        </w:tc>
      </w:tr>
      <w:tr>
        <w:trPr>
          <w:trHeight w:val="230"/>
        </w:trPr>
        <w:tc>
          <w:tcPr>
            <w:tcW w:w="2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Equity</w:t>
            </w: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1,676,949</w:t>
            </w:r>
          </w:p>
        </w:tc>
        <w:tc>
          <w:tcPr>
            <w:tcW w:w="180" w:type="dxa"/>
            <w:vAlign w:val="bottom"/>
            <w:tcBorders>
              <w:bottom w:val="single" w:sz="8" w:color="CFF0FC"/>
            </w:tcBorders>
          </w:tcPr>
          <w:p>
            <w:pPr>
              <w:spacing w:after="0"/>
              <w:rPr>
                <w:sz w:val="19"/>
                <w:szCs w:val="19"/>
                <w:color w:val="auto"/>
              </w:rPr>
            </w:pPr>
          </w:p>
        </w:tc>
        <w:tc>
          <w:tcPr>
            <w:tcW w:w="2280" w:type="dxa"/>
            <w:vAlign w:val="bottom"/>
            <w:tcBorders>
              <w:bottom w:val="single" w:sz="8" w:color="CFF0FC"/>
            </w:tcBorders>
            <w:gridSpan w:val="2"/>
          </w:tcPr>
          <w:p>
            <w:pPr>
              <w:jc w:val="center"/>
              <w:ind w:right="80"/>
              <w:spacing w:after="0"/>
              <w:rPr>
                <w:sz w:val="20"/>
                <w:szCs w:val="20"/>
                <w:color w:val="auto"/>
              </w:rPr>
            </w:pPr>
            <w:r>
              <w:rPr>
                <w:rFonts w:ascii="Arial" w:cs="Arial" w:eastAsia="Arial" w:hAnsi="Arial"/>
                <w:sz w:val="18"/>
                <w:szCs w:val="18"/>
                <w:color w:val="auto"/>
                <w:w w:val="91"/>
              </w:rPr>
              <w:t>Enterprise Market Value</w:t>
            </w:r>
          </w:p>
        </w:tc>
        <w:tc>
          <w:tcPr>
            <w:tcW w:w="2160" w:type="dxa"/>
            <w:vAlign w:val="bottom"/>
            <w:tcBorders>
              <w:bottom w:val="single" w:sz="8" w:color="CFF0FC"/>
            </w:tcBorders>
            <w:gridSpan w:val="2"/>
          </w:tcPr>
          <w:p>
            <w:pPr>
              <w:jc w:val="center"/>
              <w:ind w:right="80"/>
              <w:spacing w:after="0"/>
              <w:rPr>
                <w:sz w:val="20"/>
                <w:szCs w:val="20"/>
                <w:color w:val="auto"/>
              </w:rPr>
            </w:pPr>
            <w:r>
              <w:rPr>
                <w:rFonts w:ascii="Arial" w:cs="Arial" w:eastAsia="Arial" w:hAnsi="Arial"/>
                <w:sz w:val="18"/>
                <w:szCs w:val="18"/>
                <w:color w:val="auto"/>
                <w:w w:val="99"/>
              </w:rPr>
              <w:t>EBITDA Multiple</w:t>
            </w:r>
          </w:p>
        </w:tc>
        <w:tc>
          <w:tcPr>
            <w:tcW w:w="22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3"/>
              </w:rPr>
              <w:t>7.6x</w:t>
            </w:r>
          </w:p>
        </w:tc>
      </w:tr>
      <w:tr>
        <w:trPr>
          <w:trHeight w:val="223"/>
        </w:trPr>
        <w:tc>
          <w:tcPr>
            <w:tcW w:w="2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Level 3 investments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564,783,128</w:t>
            </w:r>
          </w:p>
        </w:tc>
        <w:tc>
          <w:tcPr>
            <w:tcW w:w="180" w:type="dxa"/>
            <w:vAlign w:val="bottom"/>
            <w:tcBorders>
              <w:bottom w:val="single" w:sz="8" w:color="CFF0FC"/>
            </w:tcBorders>
            <w:shd w:val="clear" w:color="auto" w:fill="CFF0FC"/>
          </w:tcPr>
          <w:p>
            <w:pPr>
              <w:spacing w:after="0"/>
              <w:rPr>
                <w:sz w:val="19"/>
                <w:szCs w:val="19"/>
                <w:color w:val="auto"/>
              </w:rPr>
            </w:pPr>
          </w:p>
        </w:tc>
        <w:tc>
          <w:tcPr>
            <w:tcW w:w="2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60" w:type="dxa"/>
            <w:vAlign w:val="bottom"/>
            <w:tcBorders>
              <w:bottom w:val="single" w:sz="8" w:color="CFF0FC"/>
            </w:tcBorders>
            <w:shd w:val="clear" w:color="auto" w:fill="CFF0FC"/>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664"/>
        </w:trPr>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Fair value at</w:t>
            </w: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Range of Input</w:t>
            </w:r>
          </w:p>
        </w:tc>
      </w:tr>
      <w:tr>
        <w:trPr>
          <w:trHeight w:val="234"/>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220" w:type="dxa"/>
            <w:vAlign w:val="bottom"/>
          </w:tcPr>
          <w:p>
            <w:pPr>
              <w:spacing w:after="0"/>
              <w:rPr>
                <w:sz w:val="20"/>
                <w:szCs w:val="20"/>
                <w:color w:val="auto"/>
              </w:rPr>
            </w:pPr>
          </w:p>
        </w:tc>
        <w:tc>
          <w:tcPr>
            <w:tcW w:w="1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September 30, 2020</w:t>
            </w:r>
          </w:p>
        </w:tc>
        <w:tc>
          <w:tcPr>
            <w:tcW w:w="180" w:type="dxa"/>
            <w:vAlign w:val="bottom"/>
          </w:tcPr>
          <w:p>
            <w:pPr>
              <w:spacing w:after="0"/>
              <w:rPr>
                <w:sz w:val="20"/>
                <w:szCs w:val="20"/>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Valuation Technique</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Unobservable Input</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0"/>
              </w:rPr>
              <w:t xml:space="preserve">(Weighted Average) </w:t>
            </w:r>
            <w:r>
              <w:rPr>
                <w:rFonts w:ascii="Arial" w:cs="Arial" w:eastAsia="Arial" w:hAnsi="Arial"/>
                <w:sz w:val="15"/>
                <w:szCs w:val="15"/>
                <w:b w:val="1"/>
                <w:bCs w:val="1"/>
                <w:color w:val="auto"/>
                <w:w w:val="90"/>
              </w:rPr>
              <w:t>(1)</w:t>
            </w: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First lien</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72,312,542</w:t>
            </w:r>
          </w:p>
        </w:tc>
        <w:tc>
          <w:tcPr>
            <w:tcW w:w="180" w:type="dxa"/>
            <w:vAlign w:val="bottom"/>
            <w:tcBorders>
              <w:top w:val="single" w:sz="8" w:color="CFF0FC"/>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Market Comparable</w:t>
            </w:r>
          </w:p>
        </w:tc>
        <w:tc>
          <w:tcPr>
            <w:tcW w:w="8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Broker/Dealer bids or quotes</w:t>
            </w:r>
          </w:p>
        </w:tc>
        <w:tc>
          <w:tcPr>
            <w:tcW w:w="60" w:type="dxa"/>
            <w:vAlign w:val="bottom"/>
            <w:tcBorders>
              <w:top w:val="single" w:sz="8" w:color="CFF0FC"/>
            </w:tcBorders>
            <w:shd w:val="clear" w:color="auto" w:fill="CFF0FC"/>
          </w:tcPr>
          <w:p>
            <w:pPr>
              <w:spacing w:after="0"/>
              <w:rPr>
                <w:sz w:val="19"/>
                <w:szCs w:val="19"/>
                <w:color w:val="auto"/>
              </w:rPr>
            </w:pPr>
          </w:p>
        </w:tc>
        <w:tc>
          <w:tcPr>
            <w:tcW w:w="2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309,986,608</w:t>
            </w:r>
          </w:p>
        </w:tc>
        <w:tc>
          <w:tcPr>
            <w:tcW w:w="180" w:type="dxa"/>
            <w:vAlign w:val="bottom"/>
          </w:tcPr>
          <w:p>
            <w:pPr>
              <w:spacing w:after="0"/>
              <w:rPr>
                <w:sz w:val="19"/>
                <w:szCs w:val="19"/>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Market Comparable</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Market Yield</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5.5% - 16.9% (8.1%)</w:t>
            </w:r>
          </w:p>
        </w:tc>
      </w:tr>
      <w:tr>
        <w:trPr>
          <w:trHeight w:val="230"/>
        </w:trPr>
        <w:tc>
          <w:tcPr>
            <w:tcW w:w="2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Lien</w:t>
            </w:r>
          </w:p>
        </w:tc>
        <w:tc>
          <w:tcPr>
            <w:tcW w:w="22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8,883,272</w:t>
            </w:r>
          </w:p>
        </w:tc>
        <w:tc>
          <w:tcPr>
            <w:tcW w:w="18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2"/>
              </w:rPr>
              <w:t>Market Comparable</w:t>
            </w:r>
          </w:p>
        </w:tc>
        <w:tc>
          <w:tcPr>
            <w:tcW w:w="216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5"/>
              </w:rPr>
              <w:t>Market Yield</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9.5% (9.5%)</w:t>
            </w:r>
          </w:p>
        </w:tc>
      </w:tr>
      <w:tr>
        <w:trPr>
          <w:trHeight w:val="230"/>
        </w:trPr>
        <w:tc>
          <w:tcPr>
            <w:tcW w:w="2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Equity</w:t>
            </w: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1,803,668</w:t>
            </w:r>
          </w:p>
        </w:tc>
        <w:tc>
          <w:tcPr>
            <w:tcW w:w="180" w:type="dxa"/>
            <w:vAlign w:val="bottom"/>
            <w:tcBorders>
              <w:bottom w:val="single" w:sz="8" w:color="CFF0FC"/>
            </w:tcBorders>
          </w:tcPr>
          <w:p>
            <w:pPr>
              <w:spacing w:after="0"/>
              <w:rPr>
                <w:sz w:val="19"/>
                <w:szCs w:val="19"/>
                <w:color w:val="auto"/>
              </w:rPr>
            </w:pPr>
          </w:p>
        </w:tc>
        <w:tc>
          <w:tcPr>
            <w:tcW w:w="2280" w:type="dxa"/>
            <w:vAlign w:val="bottom"/>
            <w:tcBorders>
              <w:bottom w:val="single" w:sz="8" w:color="CFF0FC"/>
            </w:tcBorders>
            <w:gridSpan w:val="2"/>
          </w:tcPr>
          <w:p>
            <w:pPr>
              <w:jc w:val="center"/>
              <w:ind w:right="80"/>
              <w:spacing w:after="0"/>
              <w:rPr>
                <w:sz w:val="20"/>
                <w:szCs w:val="20"/>
                <w:color w:val="auto"/>
              </w:rPr>
            </w:pPr>
            <w:r>
              <w:rPr>
                <w:rFonts w:ascii="Arial" w:cs="Arial" w:eastAsia="Arial" w:hAnsi="Arial"/>
                <w:sz w:val="18"/>
                <w:szCs w:val="18"/>
                <w:color w:val="auto"/>
                <w:w w:val="91"/>
              </w:rPr>
              <w:t>Enterprise Market Value</w:t>
            </w:r>
          </w:p>
        </w:tc>
        <w:tc>
          <w:tcPr>
            <w:tcW w:w="2160" w:type="dxa"/>
            <w:vAlign w:val="bottom"/>
            <w:tcBorders>
              <w:bottom w:val="single" w:sz="8" w:color="CFF0FC"/>
            </w:tcBorders>
            <w:gridSpan w:val="2"/>
          </w:tcPr>
          <w:p>
            <w:pPr>
              <w:jc w:val="center"/>
              <w:ind w:right="80"/>
              <w:spacing w:after="0"/>
              <w:rPr>
                <w:sz w:val="20"/>
                <w:szCs w:val="20"/>
                <w:color w:val="auto"/>
              </w:rPr>
            </w:pPr>
            <w:r>
              <w:rPr>
                <w:rFonts w:ascii="Arial" w:cs="Arial" w:eastAsia="Arial" w:hAnsi="Arial"/>
                <w:sz w:val="18"/>
                <w:szCs w:val="18"/>
                <w:color w:val="auto"/>
                <w:w w:val="99"/>
              </w:rPr>
              <w:t>EBITDA Multiple</w:t>
            </w:r>
          </w:p>
        </w:tc>
        <w:tc>
          <w:tcPr>
            <w:tcW w:w="22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3"/>
              </w:rPr>
              <w:t>9.1x</w:t>
            </w:r>
          </w:p>
        </w:tc>
      </w:tr>
      <w:tr>
        <w:trPr>
          <w:trHeight w:val="223"/>
        </w:trPr>
        <w:tc>
          <w:tcPr>
            <w:tcW w:w="2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Level 3 investments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392,986,090</w:t>
            </w:r>
          </w:p>
        </w:tc>
        <w:tc>
          <w:tcPr>
            <w:tcW w:w="180" w:type="dxa"/>
            <w:vAlign w:val="bottom"/>
            <w:tcBorders>
              <w:bottom w:val="single" w:sz="8" w:color="CFF0FC"/>
            </w:tcBorders>
            <w:shd w:val="clear" w:color="auto" w:fill="CFF0FC"/>
          </w:tcPr>
          <w:p>
            <w:pPr>
              <w:spacing w:after="0"/>
              <w:rPr>
                <w:sz w:val="19"/>
                <w:szCs w:val="19"/>
                <w:color w:val="auto"/>
              </w:rPr>
            </w:pPr>
          </w:p>
        </w:tc>
        <w:tc>
          <w:tcPr>
            <w:tcW w:w="2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60" w:type="dxa"/>
            <w:vAlign w:val="bottom"/>
            <w:tcBorders>
              <w:bottom w:val="single" w:sz="8" w:color="CFF0FC"/>
            </w:tcBorders>
            <w:shd w:val="clear" w:color="auto" w:fill="CFF0FC"/>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5"/>
        </w:trPr>
        <w:tc>
          <w:tcPr>
            <w:tcW w:w="2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60" w:type="dxa"/>
            <w:vAlign w:val="bottom"/>
          </w:tcPr>
          <w:p>
            <w:pPr>
              <w:spacing w:after="0"/>
              <w:rPr>
                <w:sz w:val="3"/>
                <w:szCs w:val="3"/>
                <w:color w:val="auto"/>
              </w:rPr>
            </w:pPr>
          </w:p>
        </w:tc>
      </w:tr>
    </w:tbl>
    <w:p>
      <w:pPr>
        <w:spacing w:after="0" w:line="22" w:lineRule="exact"/>
        <w:rPr>
          <w:sz w:val="20"/>
          <w:szCs w:val="20"/>
          <w:color w:val="auto"/>
        </w:rPr>
      </w:pPr>
    </w:p>
    <w:p>
      <w:pPr>
        <w:ind w:left="380" w:hanging="372"/>
        <w:spacing w:after="0"/>
        <w:tabs>
          <w:tab w:leader="none" w:pos="380" w:val="left"/>
        </w:tabs>
        <w:numPr>
          <w:ilvl w:val="0"/>
          <w:numId w:val="104"/>
        </w:numPr>
        <w:rPr>
          <w:rFonts w:ascii="Arial" w:cs="Arial" w:eastAsia="Arial" w:hAnsi="Arial"/>
          <w:sz w:val="12"/>
          <w:szCs w:val="12"/>
          <w:color w:val="auto"/>
        </w:rPr>
      </w:pPr>
      <w:r>
        <w:rPr>
          <w:rFonts w:ascii="Arial" w:cs="Arial" w:eastAsia="Arial" w:hAnsi="Arial"/>
          <w:sz w:val="14"/>
          <w:szCs w:val="14"/>
          <w:color w:val="auto"/>
        </w:rPr>
        <w:t>The weighted averages disclosed in the table above were weighted by their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 (Continued)</w:t>
      </w:r>
    </w:p>
    <w:p>
      <w:pPr>
        <w:spacing w:after="0" w:line="200" w:lineRule="exact"/>
        <w:rPr>
          <w:sz w:val="20"/>
          <w:szCs w:val="20"/>
          <w:color w:val="auto"/>
        </w:rPr>
      </w:pP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investments, cash and cash equivalents were categorized as follows in the fair value hierarchy for ASC 820 purposes: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4"/>
              </w:rPr>
              <w:t>Fair Value at September 30, 2021</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00" w:type="dxa"/>
            <w:vAlign w:val="bottom"/>
          </w:tcPr>
          <w:p>
            <w:pPr>
              <w:spacing w:after="0"/>
              <w:rPr>
                <w:sz w:val="19"/>
                <w:szCs w:val="19"/>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60" w:type="dxa"/>
            <w:vAlign w:val="bottom"/>
          </w:tcPr>
          <w:p>
            <w:pPr>
              <w:spacing w:after="0"/>
              <w:rPr>
                <w:sz w:val="19"/>
                <w:szCs w:val="19"/>
                <w:color w:val="auto"/>
              </w:rPr>
            </w:pPr>
          </w:p>
        </w:tc>
      </w:tr>
      <w:tr>
        <w:trPr>
          <w:trHeight w:val="223"/>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First lien</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557,731,846</w:t>
            </w:r>
          </w:p>
        </w:tc>
        <w:tc>
          <w:tcPr>
            <w:tcW w:w="34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gridSpan w:val="2"/>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557,731,846</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44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5,374,333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5,374,333</w:t>
            </w:r>
          </w:p>
        </w:tc>
        <w:tc>
          <w:tcPr>
            <w:tcW w:w="60" w:type="dxa"/>
            <w:vAlign w:val="bottom"/>
          </w:tcPr>
          <w:p>
            <w:pPr>
              <w:spacing w:after="0"/>
              <w:rPr>
                <w:sz w:val="19"/>
                <w:szCs w:val="19"/>
                <w:color w:val="auto"/>
              </w:rPr>
            </w:pPr>
          </w:p>
        </w:tc>
      </w:tr>
      <w:tr>
        <w:trPr>
          <w:trHeight w:val="230"/>
        </w:trPr>
        <w:tc>
          <w:tcPr>
            <w:tcW w:w="4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1,676,949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1,676,949</w:t>
            </w:r>
          </w:p>
        </w:tc>
        <w:tc>
          <w:tcPr>
            <w:tcW w:w="60" w:type="dxa"/>
            <w:vAlign w:val="bottom"/>
            <w:shd w:val="clear" w:color="auto" w:fill="CFF0FC"/>
          </w:tcPr>
          <w:p>
            <w:pPr>
              <w:spacing w:after="0"/>
              <w:rPr>
                <w:sz w:val="19"/>
                <w:szCs w:val="19"/>
                <w:color w:val="auto"/>
              </w:rPr>
            </w:pPr>
          </w:p>
        </w:tc>
      </w:tr>
      <w:tr>
        <w:trPr>
          <w:trHeight w:val="223"/>
        </w:trPr>
        <w:tc>
          <w:tcPr>
            <w:tcW w:w="44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investments</w:t>
            </w: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564,783,128</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564,783,128</w:t>
            </w:r>
          </w:p>
        </w:tc>
        <w:tc>
          <w:tcPr>
            <w:tcW w:w="60" w:type="dxa"/>
            <w:vAlign w:val="bottom"/>
            <w:tcBorders>
              <w:bottom w:val="single" w:sz="8" w:color="CFF0FC"/>
            </w:tcBorders>
          </w:tcPr>
          <w:p>
            <w:pPr>
              <w:spacing w:after="0"/>
              <w:rPr>
                <w:sz w:val="19"/>
                <w:szCs w:val="19"/>
                <w:color w:val="auto"/>
              </w:rPr>
            </w:pPr>
          </w:p>
        </w:tc>
      </w:tr>
      <w:tr>
        <w:trPr>
          <w:trHeight w:val="223"/>
        </w:trPr>
        <w:tc>
          <w:tcPr>
            <w:tcW w:w="4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28,373,541</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28,373,541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Total investments, 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593,156,669</w:t>
            </w:r>
          </w:p>
        </w:tc>
        <w:tc>
          <w:tcPr>
            <w:tcW w:w="120" w:type="dxa"/>
            <w:vAlign w:val="bottom"/>
          </w:tcPr>
          <w:p>
            <w:pPr>
              <w:spacing w:after="0"/>
              <w:rPr>
                <w:sz w:val="19"/>
                <w:szCs w:val="19"/>
                <w:color w:val="auto"/>
              </w:rPr>
            </w:pP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28,373,541</w:t>
            </w:r>
          </w:p>
        </w:tc>
        <w:tc>
          <w:tcPr>
            <w:tcW w:w="120" w:type="dxa"/>
            <w:vAlign w:val="bottom"/>
          </w:tcPr>
          <w:p>
            <w:pPr>
              <w:spacing w:after="0"/>
              <w:rPr>
                <w:sz w:val="19"/>
                <w:szCs w:val="19"/>
                <w:color w:val="auto"/>
              </w:rPr>
            </w:pPr>
          </w:p>
        </w:tc>
        <w:tc>
          <w:tcPr>
            <w:tcW w:w="142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564,783,128</w:t>
            </w:r>
          </w:p>
        </w:tc>
        <w:tc>
          <w:tcPr>
            <w:tcW w:w="6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4"/>
              </w:rPr>
              <w:t>Fair Value at September 30, 2020</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00" w:type="dxa"/>
            <w:vAlign w:val="bottom"/>
          </w:tcPr>
          <w:p>
            <w:pPr>
              <w:spacing w:after="0"/>
              <w:rPr>
                <w:sz w:val="19"/>
                <w:szCs w:val="19"/>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60" w:type="dxa"/>
            <w:vAlign w:val="bottom"/>
          </w:tcPr>
          <w:p>
            <w:pPr>
              <w:spacing w:after="0"/>
              <w:rPr>
                <w:sz w:val="19"/>
                <w:szCs w:val="19"/>
                <w:color w:val="auto"/>
              </w:rPr>
            </w:pPr>
          </w:p>
        </w:tc>
      </w:tr>
      <w:tr>
        <w:trPr>
          <w:trHeight w:val="223"/>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First lien</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382,299,150</w:t>
            </w:r>
          </w:p>
        </w:tc>
        <w:tc>
          <w:tcPr>
            <w:tcW w:w="34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gridSpan w:val="2"/>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382,299,150</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44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8,883,272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8,883,272</w:t>
            </w:r>
          </w:p>
        </w:tc>
        <w:tc>
          <w:tcPr>
            <w:tcW w:w="60" w:type="dxa"/>
            <w:vAlign w:val="bottom"/>
          </w:tcPr>
          <w:p>
            <w:pPr>
              <w:spacing w:after="0"/>
              <w:rPr>
                <w:sz w:val="19"/>
                <w:szCs w:val="19"/>
                <w:color w:val="auto"/>
              </w:rPr>
            </w:pPr>
          </w:p>
        </w:tc>
      </w:tr>
      <w:tr>
        <w:trPr>
          <w:trHeight w:val="230"/>
        </w:trPr>
        <w:tc>
          <w:tcPr>
            <w:tcW w:w="4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1,803,668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1,803,668</w:t>
            </w:r>
          </w:p>
        </w:tc>
        <w:tc>
          <w:tcPr>
            <w:tcW w:w="60" w:type="dxa"/>
            <w:vAlign w:val="bottom"/>
            <w:shd w:val="clear" w:color="auto" w:fill="CFF0FC"/>
          </w:tcPr>
          <w:p>
            <w:pPr>
              <w:spacing w:after="0"/>
              <w:rPr>
                <w:sz w:val="19"/>
                <w:szCs w:val="19"/>
                <w:color w:val="auto"/>
              </w:rPr>
            </w:pPr>
          </w:p>
        </w:tc>
      </w:tr>
      <w:tr>
        <w:trPr>
          <w:trHeight w:val="223"/>
        </w:trPr>
        <w:tc>
          <w:tcPr>
            <w:tcW w:w="44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investments</w:t>
            </w: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392,986,090</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392,986,090</w:t>
            </w:r>
          </w:p>
        </w:tc>
        <w:tc>
          <w:tcPr>
            <w:tcW w:w="60" w:type="dxa"/>
            <w:vAlign w:val="bottom"/>
            <w:tcBorders>
              <w:bottom w:val="single" w:sz="8" w:color="CFF0FC"/>
            </w:tcBorders>
          </w:tcPr>
          <w:p>
            <w:pPr>
              <w:spacing w:after="0"/>
              <w:rPr>
                <w:sz w:val="19"/>
                <w:szCs w:val="19"/>
                <w:color w:val="auto"/>
              </w:rPr>
            </w:pPr>
          </w:p>
        </w:tc>
      </w:tr>
      <w:tr>
        <w:trPr>
          <w:trHeight w:val="223"/>
        </w:trPr>
        <w:tc>
          <w:tcPr>
            <w:tcW w:w="4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11,121,479</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11,121,479</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Total investments, 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404,107,569</w:t>
            </w:r>
          </w:p>
        </w:tc>
        <w:tc>
          <w:tcPr>
            <w:tcW w:w="120" w:type="dxa"/>
            <w:vAlign w:val="bottom"/>
          </w:tcPr>
          <w:p>
            <w:pPr>
              <w:spacing w:after="0"/>
              <w:rPr>
                <w:sz w:val="19"/>
                <w:szCs w:val="19"/>
                <w:color w:val="auto"/>
              </w:rPr>
            </w:pP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11,121,479</w:t>
            </w:r>
          </w:p>
        </w:tc>
        <w:tc>
          <w:tcPr>
            <w:tcW w:w="120" w:type="dxa"/>
            <w:vAlign w:val="bottom"/>
          </w:tcPr>
          <w:p>
            <w:pPr>
              <w:spacing w:after="0"/>
              <w:rPr>
                <w:sz w:val="19"/>
                <w:szCs w:val="19"/>
                <w:color w:val="auto"/>
              </w:rPr>
            </w:pPr>
          </w:p>
        </w:tc>
        <w:tc>
          <w:tcPr>
            <w:tcW w:w="142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392,986,090</w:t>
            </w:r>
          </w:p>
        </w:tc>
        <w:tc>
          <w:tcPr>
            <w:tcW w:w="6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62"/>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8"/>
          </w:tcPr>
          <w:p>
            <w:pPr>
              <w:jc w:val="right"/>
              <w:ind w:right="87"/>
              <w:spacing w:after="0"/>
              <w:rPr>
                <w:sz w:val="20"/>
                <w:szCs w:val="20"/>
                <w:color w:val="auto"/>
              </w:rPr>
            </w:pPr>
            <w:r>
              <w:rPr>
                <w:rFonts w:ascii="Arial" w:cs="Arial" w:eastAsia="Arial" w:hAnsi="Arial"/>
                <w:sz w:val="18"/>
                <w:szCs w:val="18"/>
                <w:b w:val="1"/>
                <w:bCs w:val="1"/>
                <w:color w:val="auto"/>
              </w:rPr>
              <w:t>For the Year Ended September 30, 2021</w:t>
            </w:r>
          </w:p>
        </w:tc>
        <w:tc>
          <w:tcPr>
            <w:tcW w:w="1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19"/>
                <w:szCs w:val="19"/>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b w:val="1"/>
                <w:bCs w:val="1"/>
                <w:color w:val="auto"/>
              </w:rPr>
              <w:t>Debt Investments</w:t>
            </w:r>
          </w:p>
        </w:tc>
        <w:tc>
          <w:tcPr>
            <w:tcW w:w="120" w:type="dxa"/>
            <w:vAlign w:val="bottom"/>
          </w:tcPr>
          <w:p>
            <w:pPr>
              <w:spacing w:after="0"/>
              <w:rPr>
                <w:sz w:val="19"/>
                <w:szCs w:val="19"/>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Equity Investments</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9"/>
                <w:szCs w:val="19"/>
                <w:color w:val="auto"/>
              </w:rPr>
            </w:pPr>
          </w:p>
        </w:tc>
      </w:tr>
      <w:tr>
        <w:trPr>
          <w:trHeight w:val="223"/>
        </w:trPr>
        <w:tc>
          <w:tcPr>
            <w:tcW w:w="512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391,182,422</w:t>
            </w:r>
          </w:p>
        </w:tc>
        <w:tc>
          <w:tcPr>
            <w:tcW w:w="10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auto"/>
            </w:tcBorders>
            <w:shd w:val="clear" w:color="auto" w:fill="CCECFF"/>
          </w:tcPr>
          <w:p>
            <w:pPr>
              <w:spacing w:after="0"/>
              <w:rPr>
                <w:sz w:val="19"/>
                <w:szCs w:val="19"/>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1,803,668</w:t>
            </w:r>
          </w:p>
        </w:tc>
        <w:tc>
          <w:tcPr>
            <w:tcW w:w="140" w:type="dxa"/>
            <w:vAlign w:val="bottom"/>
            <w:tcBorders>
              <w:top w:val="single" w:sz="8" w:color="CCECFF"/>
            </w:tcBorders>
            <w:shd w:val="clear" w:color="auto" w:fill="CCECFF"/>
          </w:tcPr>
          <w:p>
            <w:pPr>
              <w:spacing w:after="0"/>
              <w:rPr>
                <w:sz w:val="19"/>
                <w:szCs w:val="19"/>
                <w:color w:val="auto"/>
              </w:rPr>
            </w:pPr>
          </w:p>
        </w:tc>
        <w:tc>
          <w:tcPr>
            <w:tcW w:w="80" w:type="dxa"/>
            <w:vAlign w:val="bottom"/>
            <w:tcBorders>
              <w:top w:val="single" w:sz="8" w:color="CCECFF"/>
            </w:tcBorders>
            <w:shd w:val="clear" w:color="auto" w:fill="CCECFF"/>
          </w:tcPr>
          <w:p>
            <w:pPr>
              <w:spacing w:after="0"/>
              <w:rPr>
                <w:sz w:val="19"/>
                <w:szCs w:val="19"/>
                <w:color w:val="auto"/>
              </w:rPr>
            </w:pPr>
          </w:p>
        </w:tc>
        <w:tc>
          <w:tcPr>
            <w:tcW w:w="540" w:type="dxa"/>
            <w:vAlign w:val="bottom"/>
            <w:tcBorders>
              <w:top w:val="single" w:sz="8" w:color="auto"/>
            </w:tcBorders>
            <w:shd w:val="clear" w:color="auto" w:fill="CCECFF"/>
          </w:tcPr>
          <w:p>
            <w:pPr>
              <w:jc w:val="right"/>
              <w:ind w:right="38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392,986,090</w:t>
            </w:r>
          </w:p>
        </w:tc>
        <w:tc>
          <w:tcPr>
            <w:tcW w:w="80" w:type="dxa"/>
            <w:vAlign w:val="bottom"/>
            <w:tcBorders>
              <w:top w:val="single" w:sz="8" w:color="CCECFF"/>
            </w:tcBorders>
            <w:shd w:val="clear" w:color="auto" w:fill="CCECFF"/>
          </w:tcPr>
          <w:p>
            <w:pPr>
              <w:spacing w:after="0"/>
              <w:rPr>
                <w:sz w:val="19"/>
                <w:szCs w:val="19"/>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Net realized losses</w:t>
            </w:r>
          </w:p>
        </w:tc>
        <w:tc>
          <w:tcPr>
            <w:tcW w:w="1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(4,732,408)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(4,732,408)</w:t>
            </w:r>
          </w:p>
        </w:tc>
      </w:tr>
      <w:tr>
        <w:trPr>
          <w:trHeight w:val="230"/>
        </w:trPr>
        <w:tc>
          <w:tcPr>
            <w:tcW w:w="524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Net unrealized depreciation</w:t>
            </w:r>
          </w:p>
        </w:tc>
        <w:tc>
          <w:tcPr>
            <w:tcW w:w="180" w:type="dxa"/>
            <w:vAlign w:val="bottom"/>
            <w:shd w:val="clear" w:color="auto" w:fill="CCECFF"/>
          </w:tcPr>
          <w:p>
            <w:pPr>
              <w:spacing w:after="0"/>
              <w:rPr>
                <w:sz w:val="19"/>
                <w:szCs w:val="19"/>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9,138,741</w:t>
            </w:r>
          </w:p>
        </w:tc>
        <w:tc>
          <w:tcPr>
            <w:tcW w:w="1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84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(5,144,959)</w:t>
            </w:r>
          </w:p>
        </w:tc>
        <w:tc>
          <w:tcPr>
            <w:tcW w:w="80" w:type="dxa"/>
            <w:vAlign w:val="bottom"/>
            <w:shd w:val="clear" w:color="auto" w:fill="CCECFF"/>
          </w:tcPr>
          <w:p>
            <w:pPr>
              <w:spacing w:after="0"/>
              <w:rPr>
                <w:sz w:val="19"/>
                <w:szCs w:val="19"/>
                <w:color w:val="auto"/>
              </w:rPr>
            </w:pPr>
          </w:p>
        </w:tc>
        <w:tc>
          <w:tcPr>
            <w:tcW w:w="540" w:type="dxa"/>
            <w:vAlign w:val="bottom"/>
            <w:shd w:val="clear" w:color="auto" w:fill="CCECFF"/>
          </w:tcPr>
          <w:p>
            <w:pPr>
              <w:spacing w:after="0"/>
              <w:rPr>
                <w:sz w:val="19"/>
                <w:szCs w:val="19"/>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3,993,782</w:t>
            </w:r>
          </w:p>
        </w:tc>
        <w:tc>
          <w:tcPr>
            <w:tcW w:w="80" w:type="dxa"/>
            <w:vAlign w:val="bottom"/>
            <w:shd w:val="clear" w:color="auto" w:fill="CCECFF"/>
          </w:tcPr>
          <w:p>
            <w:pPr>
              <w:spacing w:after="0"/>
              <w:rPr>
                <w:sz w:val="19"/>
                <w:szCs w:val="19"/>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Purchases, net discount accretion and non-cash exchanges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353,242,429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5,018,241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358,260,670</w:t>
            </w:r>
          </w:p>
        </w:tc>
        <w:tc>
          <w:tcPr>
            <w:tcW w:w="80" w:type="dxa"/>
            <w:vAlign w:val="bottom"/>
          </w:tcPr>
          <w:p>
            <w:pPr>
              <w:spacing w:after="0"/>
              <w:rPr>
                <w:sz w:val="19"/>
                <w:szCs w:val="19"/>
                <w:color w:val="auto"/>
              </w:rPr>
            </w:pPr>
          </w:p>
        </w:tc>
      </w:tr>
      <w:tr>
        <w:trPr>
          <w:trHeight w:val="230"/>
        </w:trPr>
        <w:tc>
          <w:tcPr>
            <w:tcW w:w="524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Sales, repayments and non-cash exchanges</w:t>
            </w:r>
          </w:p>
        </w:tc>
        <w:tc>
          <w:tcPr>
            <w:tcW w:w="180" w:type="dxa"/>
            <w:vAlign w:val="bottom"/>
            <w:shd w:val="clear" w:color="auto" w:fill="CCECFF"/>
          </w:tcPr>
          <w:p>
            <w:pPr>
              <w:spacing w:after="0"/>
              <w:rPr>
                <w:sz w:val="19"/>
                <w:szCs w:val="19"/>
                <w:color w:val="auto"/>
              </w:rPr>
            </w:pPr>
          </w:p>
        </w:tc>
        <w:tc>
          <w:tcPr>
            <w:tcW w:w="17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(185,725,006)</w:t>
            </w:r>
          </w:p>
        </w:tc>
        <w:tc>
          <w:tcPr>
            <w:tcW w:w="1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8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19"/>
                <w:szCs w:val="19"/>
                <w:color w:val="auto"/>
              </w:rPr>
            </w:pPr>
          </w:p>
        </w:tc>
        <w:tc>
          <w:tcPr>
            <w:tcW w:w="540" w:type="dxa"/>
            <w:vAlign w:val="bottom"/>
            <w:shd w:val="clear" w:color="auto" w:fill="CCECFF"/>
          </w:tcPr>
          <w:p>
            <w:pPr>
              <w:spacing w:after="0"/>
              <w:rPr>
                <w:sz w:val="19"/>
                <w:szCs w:val="19"/>
                <w:color w:val="auto"/>
              </w:rPr>
            </w:pPr>
          </w:p>
        </w:tc>
        <w:tc>
          <w:tcPr>
            <w:tcW w:w="13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(185,725,006)</w:t>
            </w: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Transfers into and/or out of Level 3</w:t>
            </w:r>
          </w:p>
        </w:tc>
        <w:tc>
          <w:tcPr>
            <w:tcW w:w="180" w:type="dxa"/>
            <w:vAlign w:val="bottom"/>
          </w:tcPr>
          <w:p>
            <w:pPr>
              <w:spacing w:after="0"/>
              <w:rPr>
                <w:sz w:val="19"/>
                <w:szCs w:val="19"/>
                <w:color w:val="auto"/>
              </w:rPr>
            </w:pPr>
          </w:p>
        </w:tc>
        <w:tc>
          <w:tcPr>
            <w:tcW w:w="1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Borders>
              <w:top w:val="single" w:sz="8" w:color="CCECFF"/>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563,106,178</w:t>
            </w:r>
          </w:p>
        </w:tc>
        <w:tc>
          <w:tcPr>
            <w:tcW w:w="100" w:type="dxa"/>
            <w:vAlign w:val="bottom"/>
            <w:tcBorders>
              <w:top w:val="single" w:sz="8" w:color="CCECFF"/>
              <w:bottom w:val="single" w:sz="8" w:color="CCECFF"/>
            </w:tcBorders>
            <w:shd w:val="clear" w:color="auto" w:fill="CCECFF"/>
          </w:tcPr>
          <w:p>
            <w:pPr>
              <w:spacing w:after="0"/>
              <w:rPr>
                <w:sz w:val="19"/>
                <w:szCs w:val="19"/>
                <w:color w:val="auto"/>
              </w:rPr>
            </w:pPr>
          </w:p>
        </w:tc>
        <w:tc>
          <w:tcPr>
            <w:tcW w:w="120" w:type="dxa"/>
            <w:vAlign w:val="bottom"/>
            <w:tcBorders>
              <w:top w:val="single" w:sz="8" w:color="CCECFF"/>
              <w:bottom w:val="single" w:sz="8" w:color="CCECFF"/>
            </w:tcBorders>
            <w:shd w:val="clear" w:color="auto" w:fill="CCECFF"/>
          </w:tcPr>
          <w:p>
            <w:pPr>
              <w:spacing w:after="0"/>
              <w:rPr>
                <w:sz w:val="19"/>
                <w:szCs w:val="19"/>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1,676,950</w:t>
            </w:r>
          </w:p>
        </w:tc>
        <w:tc>
          <w:tcPr>
            <w:tcW w:w="140" w:type="dxa"/>
            <w:vAlign w:val="bottom"/>
            <w:tcBorders>
              <w:top w:val="single" w:sz="8" w:color="CCECFF"/>
              <w:bottom w:val="single" w:sz="8" w:color="CCECFF"/>
            </w:tcBorders>
            <w:shd w:val="clear" w:color="auto" w:fill="CCECFF"/>
          </w:tcPr>
          <w:p>
            <w:pPr>
              <w:spacing w:after="0"/>
              <w:rPr>
                <w:sz w:val="19"/>
                <w:szCs w:val="19"/>
                <w:color w:val="auto"/>
              </w:rPr>
            </w:pP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c>
          <w:tcPr>
            <w:tcW w:w="540" w:type="dxa"/>
            <w:vAlign w:val="bottom"/>
            <w:tcBorders>
              <w:top w:val="single" w:sz="8" w:color="auto"/>
              <w:bottom w:val="single" w:sz="8" w:color="auto"/>
            </w:tcBorders>
            <w:shd w:val="clear" w:color="auto" w:fill="CCECFF"/>
          </w:tcPr>
          <w:p>
            <w:pPr>
              <w:jc w:val="right"/>
              <w:ind w:right="38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564,783,128</w:t>
            </w: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8"/>
                <w:szCs w:val="18"/>
                <w:b w:val="1"/>
                <w:bCs w:val="1"/>
                <w:color w:val="auto"/>
              </w:rPr>
              <w:t>For the Year Ended September 30, 2020</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Debt Investments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Equity Investments</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r>
      <w:tr>
        <w:trPr>
          <w:trHeight w:val="223"/>
        </w:trPr>
        <w:tc>
          <w:tcPr>
            <w:tcW w:w="51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Beginning Balance</w:t>
            </w:r>
          </w:p>
        </w:tc>
        <w:tc>
          <w:tcPr>
            <w:tcW w:w="8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ind w:right="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482,744,879</w:t>
            </w:r>
          </w:p>
        </w:tc>
        <w:tc>
          <w:tcPr>
            <w:tcW w:w="120" w:type="dxa"/>
            <w:vAlign w:val="bottom"/>
            <w:tcBorders>
              <w:top w:val="single" w:sz="8" w:color="CCECFF"/>
            </w:tcBorders>
            <w:shd w:val="clear" w:color="auto" w:fill="CCECFF"/>
          </w:tcPr>
          <w:p>
            <w:pPr>
              <w:spacing w:after="0"/>
              <w:rPr>
                <w:sz w:val="19"/>
                <w:szCs w:val="19"/>
                <w:color w:val="auto"/>
              </w:rPr>
            </w:pPr>
          </w:p>
        </w:tc>
        <w:tc>
          <w:tcPr>
            <w:tcW w:w="200" w:type="dxa"/>
            <w:vAlign w:val="bottom"/>
            <w:tcBorders>
              <w:top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5,804,968</w:t>
            </w:r>
          </w:p>
        </w:tc>
        <w:tc>
          <w:tcPr>
            <w:tcW w:w="120" w:type="dxa"/>
            <w:vAlign w:val="bottom"/>
            <w:tcBorders>
              <w:top w:val="single" w:sz="8" w:color="CCECFF"/>
            </w:tcBorders>
            <w:shd w:val="clear" w:color="auto" w:fill="CCECFF"/>
          </w:tcPr>
          <w:p>
            <w:pPr>
              <w:spacing w:after="0"/>
              <w:rPr>
                <w:sz w:val="19"/>
                <w:szCs w:val="19"/>
                <w:color w:val="auto"/>
              </w:rPr>
            </w:pPr>
          </w:p>
        </w:tc>
        <w:tc>
          <w:tcPr>
            <w:tcW w:w="60" w:type="dxa"/>
            <w:vAlign w:val="bottom"/>
            <w:tcBorders>
              <w:top w:val="single" w:sz="8" w:color="CCECFF"/>
            </w:tcBorders>
            <w:shd w:val="clear" w:color="auto" w:fill="CCECFF"/>
          </w:tcPr>
          <w:p>
            <w:pPr>
              <w:spacing w:after="0"/>
              <w:rPr>
                <w:sz w:val="19"/>
                <w:szCs w:val="19"/>
                <w:color w:val="auto"/>
              </w:rPr>
            </w:pPr>
          </w:p>
        </w:tc>
        <w:tc>
          <w:tcPr>
            <w:tcW w:w="560" w:type="dxa"/>
            <w:vAlign w:val="bottom"/>
            <w:tcBorders>
              <w:top w:val="single" w:sz="8" w:color="auto"/>
            </w:tcBorders>
            <w:shd w:val="clear" w:color="auto" w:fill="CCECFF"/>
          </w:tcPr>
          <w:p>
            <w:pPr>
              <w:jc w:val="right"/>
              <w:ind w:right="3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488,549,847</w:t>
            </w:r>
          </w:p>
        </w:tc>
        <w:tc>
          <w:tcPr>
            <w:tcW w:w="120" w:type="dxa"/>
            <w:vAlign w:val="bottom"/>
            <w:tcBorders>
              <w:top w:val="single" w:sz="8" w:color="CCECFF"/>
            </w:tcBorders>
            <w:shd w:val="clear" w:color="auto" w:fill="CCECFF"/>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Net realized losses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(2,098,244)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(2,098,244)</w:t>
            </w:r>
          </w:p>
        </w:tc>
      </w:tr>
      <w:tr>
        <w:trPr>
          <w:trHeight w:val="230"/>
        </w:trPr>
        <w:tc>
          <w:tcPr>
            <w:tcW w:w="5160" w:type="dxa"/>
            <w:vAlign w:val="bottom"/>
            <w:shd w:val="clear" w:color="auto" w:fill="CCECFF"/>
          </w:tcPr>
          <w:p>
            <w:pPr>
              <w:spacing w:after="0"/>
              <w:rPr>
                <w:sz w:val="20"/>
                <w:szCs w:val="20"/>
                <w:color w:val="auto"/>
              </w:rPr>
            </w:pPr>
            <w:r>
              <w:rPr>
                <w:rFonts w:ascii="Arial" w:cs="Arial" w:eastAsia="Arial" w:hAnsi="Arial"/>
                <w:sz w:val="18"/>
                <w:szCs w:val="18"/>
                <w:color w:val="auto"/>
              </w:rPr>
              <w:t>Net unrealized depreciation</w:t>
            </w:r>
          </w:p>
        </w:tc>
        <w:tc>
          <w:tcPr>
            <w:tcW w:w="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78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(5,400,669)</w:t>
            </w:r>
          </w:p>
        </w:tc>
        <w:tc>
          <w:tcPr>
            <w:tcW w:w="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84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(4,001,300)</w:t>
            </w:r>
          </w:p>
        </w:tc>
        <w:tc>
          <w:tcPr>
            <w:tcW w:w="60" w:type="dxa"/>
            <w:vAlign w:val="bottom"/>
            <w:shd w:val="clear" w:color="auto" w:fill="CCECFF"/>
          </w:tcPr>
          <w:p>
            <w:pPr>
              <w:spacing w:after="0"/>
              <w:rPr>
                <w:sz w:val="19"/>
                <w:szCs w:val="19"/>
                <w:color w:val="auto"/>
              </w:rPr>
            </w:pPr>
          </w:p>
        </w:tc>
        <w:tc>
          <w:tcPr>
            <w:tcW w:w="560" w:type="dxa"/>
            <w:vAlign w:val="bottom"/>
            <w:shd w:val="clear" w:color="auto" w:fill="CCECFF"/>
          </w:tcPr>
          <w:p>
            <w:pPr>
              <w:spacing w:after="0"/>
              <w:rPr>
                <w:sz w:val="19"/>
                <w:szCs w:val="19"/>
                <w:color w:val="auto"/>
              </w:rPr>
            </w:pPr>
          </w:p>
        </w:tc>
        <w:tc>
          <w:tcPr>
            <w:tcW w:w="14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(9,401,969)</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Purchases, net discount accretion and non-cash exchanges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88,524,399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88,524,399</w:t>
            </w:r>
          </w:p>
        </w:tc>
        <w:tc>
          <w:tcPr>
            <w:tcW w:w="120" w:type="dxa"/>
            <w:vAlign w:val="bottom"/>
          </w:tcPr>
          <w:p>
            <w:pPr>
              <w:spacing w:after="0"/>
              <w:rPr>
                <w:sz w:val="19"/>
                <w:szCs w:val="19"/>
                <w:color w:val="auto"/>
              </w:rPr>
            </w:pPr>
          </w:p>
        </w:tc>
      </w:tr>
      <w:tr>
        <w:trPr>
          <w:trHeight w:val="230"/>
        </w:trPr>
        <w:tc>
          <w:tcPr>
            <w:tcW w:w="5160" w:type="dxa"/>
            <w:vAlign w:val="bottom"/>
            <w:shd w:val="clear" w:color="auto" w:fill="CCECFF"/>
          </w:tcPr>
          <w:p>
            <w:pPr>
              <w:spacing w:after="0"/>
              <w:rPr>
                <w:sz w:val="20"/>
                <w:szCs w:val="20"/>
                <w:color w:val="auto"/>
              </w:rPr>
            </w:pPr>
            <w:r>
              <w:rPr>
                <w:rFonts w:ascii="Arial" w:cs="Arial" w:eastAsia="Arial" w:hAnsi="Arial"/>
                <w:sz w:val="18"/>
                <w:szCs w:val="18"/>
                <w:color w:val="auto"/>
              </w:rPr>
              <w:t>Sales, repayments and non-cash exchanges</w:t>
            </w:r>
          </w:p>
        </w:tc>
        <w:tc>
          <w:tcPr>
            <w:tcW w:w="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78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(172,587,943)</w:t>
            </w:r>
          </w:p>
        </w:tc>
        <w:tc>
          <w:tcPr>
            <w:tcW w:w="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84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CFF"/>
          </w:tcPr>
          <w:p>
            <w:pPr>
              <w:spacing w:after="0"/>
              <w:rPr>
                <w:sz w:val="19"/>
                <w:szCs w:val="19"/>
                <w:color w:val="auto"/>
              </w:rPr>
            </w:pPr>
          </w:p>
        </w:tc>
        <w:tc>
          <w:tcPr>
            <w:tcW w:w="560" w:type="dxa"/>
            <w:vAlign w:val="bottom"/>
            <w:shd w:val="clear" w:color="auto" w:fill="CCECFF"/>
          </w:tcPr>
          <w:p>
            <w:pPr>
              <w:spacing w:after="0"/>
              <w:rPr>
                <w:sz w:val="19"/>
                <w:szCs w:val="19"/>
                <w:color w:val="auto"/>
              </w:rPr>
            </w:pPr>
          </w:p>
        </w:tc>
        <w:tc>
          <w:tcPr>
            <w:tcW w:w="140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(172,587,943)</w:t>
            </w: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Transfers into and/or out of Level 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Ending Balance</w:t>
            </w: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c>
          <w:tcPr>
            <w:tcW w:w="160" w:type="dxa"/>
            <w:vAlign w:val="bottom"/>
            <w:tcBorders>
              <w:top w:val="single" w:sz="8" w:color="auto"/>
              <w:bottom w:val="single" w:sz="8" w:color="auto"/>
            </w:tcBorders>
            <w:shd w:val="clear" w:color="auto" w:fill="CCECFF"/>
          </w:tcPr>
          <w:p>
            <w:pPr>
              <w:jc w:val="right"/>
              <w:ind w:right="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391,182,422</w:t>
            </w:r>
          </w:p>
        </w:tc>
        <w:tc>
          <w:tcPr>
            <w:tcW w:w="120" w:type="dxa"/>
            <w:vAlign w:val="bottom"/>
            <w:tcBorders>
              <w:top w:val="single" w:sz="8" w:color="CCECFF"/>
              <w:bottom w:val="single" w:sz="8" w:color="CCECFF"/>
            </w:tcBorders>
            <w:shd w:val="clear" w:color="auto" w:fill="CCECFF"/>
          </w:tcPr>
          <w:p>
            <w:pPr>
              <w:spacing w:after="0"/>
              <w:rPr>
                <w:sz w:val="19"/>
                <w:szCs w:val="19"/>
                <w:color w:val="auto"/>
              </w:rPr>
            </w:pP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1,803,668</w:t>
            </w:r>
          </w:p>
        </w:tc>
        <w:tc>
          <w:tcPr>
            <w:tcW w:w="120" w:type="dxa"/>
            <w:vAlign w:val="bottom"/>
            <w:tcBorders>
              <w:top w:val="single" w:sz="8" w:color="CCECFF"/>
              <w:bottom w:val="single" w:sz="8" w:color="CCECFF"/>
            </w:tcBorders>
            <w:shd w:val="clear" w:color="auto" w:fill="CCECFF"/>
          </w:tcPr>
          <w:p>
            <w:pPr>
              <w:spacing w:after="0"/>
              <w:rPr>
                <w:sz w:val="19"/>
                <w:szCs w:val="19"/>
                <w:color w:val="auto"/>
              </w:rPr>
            </w:pPr>
          </w:p>
        </w:tc>
        <w:tc>
          <w:tcPr>
            <w:tcW w:w="60" w:type="dxa"/>
            <w:vAlign w:val="bottom"/>
            <w:tcBorders>
              <w:top w:val="single" w:sz="8" w:color="CCECFF"/>
              <w:bottom w:val="single" w:sz="8" w:color="CCECFF"/>
            </w:tcBorders>
            <w:shd w:val="clear" w:color="auto" w:fill="CCECFF"/>
          </w:tcPr>
          <w:p>
            <w:pPr>
              <w:spacing w:after="0"/>
              <w:rPr>
                <w:sz w:val="19"/>
                <w:szCs w:val="19"/>
                <w:color w:val="auto"/>
              </w:rPr>
            </w:pPr>
          </w:p>
        </w:tc>
        <w:tc>
          <w:tcPr>
            <w:tcW w:w="560" w:type="dxa"/>
            <w:vAlign w:val="bottom"/>
            <w:tcBorders>
              <w:top w:val="single" w:sz="8" w:color="auto"/>
              <w:bottom w:val="single" w:sz="8" w:color="auto"/>
            </w:tcBorders>
            <w:shd w:val="clear" w:color="auto" w:fill="CCECFF"/>
          </w:tcPr>
          <w:p>
            <w:pPr>
              <w:jc w:val="right"/>
              <w:ind w:right="3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392,986,090</w:t>
            </w:r>
          </w:p>
        </w:tc>
        <w:tc>
          <w:tcPr>
            <w:tcW w:w="120" w:type="dxa"/>
            <w:vAlign w:val="bottom"/>
            <w:tcBorders>
              <w:top w:val="single" w:sz="8" w:color="CCECFF"/>
              <w:bottom w:val="single" w:sz="8" w:color="CCECFF"/>
            </w:tcBorders>
            <w:shd w:val="clear" w:color="auto" w:fill="CCEC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 (Continued)</w:t>
      </w:r>
    </w:p>
    <w:p>
      <w:pPr>
        <w:spacing w:after="0" w:line="200" w:lineRule="exact"/>
        <w:rPr>
          <w:sz w:val="20"/>
          <w:szCs w:val="20"/>
          <w:color w:val="auto"/>
        </w:rPr>
      </w:pP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2021, we had no outstanding non-U.S. dollar borrowings on our Credit Facility 2.</w:t>
      </w:r>
    </w:p>
    <w:p>
      <w:pPr>
        <w:spacing w:after="0" w:line="252" w:lineRule="exact"/>
        <w:rPr>
          <w:sz w:val="20"/>
          <w:szCs w:val="20"/>
          <w:color w:val="auto"/>
        </w:rPr>
      </w:pPr>
    </w:p>
    <w:p>
      <w:pPr>
        <w:ind w:right="340" w:firstLine="462"/>
        <w:spacing w:after="0" w:line="277" w:lineRule="auto"/>
        <w:rPr>
          <w:sz w:val="20"/>
          <w:szCs w:val="20"/>
          <w:color w:val="auto"/>
        </w:rPr>
      </w:pPr>
      <w:r>
        <w:rPr>
          <w:rFonts w:ascii="Arial" w:cs="Arial" w:eastAsia="Arial" w:hAnsi="Arial"/>
          <w:sz w:val="18"/>
          <w:szCs w:val="18"/>
          <w:color w:val="auto"/>
        </w:rPr>
        <w:t>As of September 30, 2020, we had outstanding non-U.S. dollar borrowings on our Credit Facility. Net change in fair value from foreign currency translation on outstanding borrowings is listed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vMerge w:val="restart"/>
          </w:tcPr>
          <w:p>
            <w:pPr>
              <w:spacing w:after="0"/>
              <w:rPr>
                <w:sz w:val="20"/>
                <w:szCs w:val="20"/>
                <w:color w:val="auto"/>
              </w:rPr>
            </w:pPr>
            <w:r>
              <w:rPr>
                <w:rFonts w:ascii="Arial" w:cs="Arial" w:eastAsia="Arial" w:hAnsi="Arial"/>
                <w:sz w:val="18"/>
                <w:szCs w:val="18"/>
                <w:b w:val="1"/>
                <w:bCs w:val="1"/>
                <w:color w:val="auto"/>
              </w:rPr>
              <w:t>Foreign Currency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Borrowing</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4"/>
              </w:rPr>
              <w:t>Current Value</w:t>
            </w:r>
          </w:p>
        </w:tc>
        <w:tc>
          <w:tcPr>
            <w:tcW w:w="280" w:type="dxa"/>
            <w:vAlign w:val="bottom"/>
          </w:tcPr>
          <w:p>
            <w:pPr>
              <w:spacing w:after="0"/>
              <w:rPr>
                <w:sz w:val="18"/>
                <w:szCs w:val="18"/>
                <w:color w:val="auto"/>
              </w:rPr>
            </w:pPr>
          </w:p>
        </w:tc>
        <w:tc>
          <w:tcPr>
            <w:tcW w:w="23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8"/>
              </w:rPr>
              <w:t>Reset Date</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Change in Fair</w:t>
            </w: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Borrowed</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3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Australian Dollar</w:t>
            </w:r>
          </w:p>
        </w:tc>
        <w:tc>
          <w:tcPr>
            <w:tcW w:w="240" w:type="dxa"/>
            <w:vAlign w:val="bottom"/>
            <w:tcBorders>
              <w:top w:val="single" w:sz="8" w:color="CCECFF"/>
            </w:tcBorders>
            <w:shd w:val="clear" w:color="auto" w:fill="CCECFF"/>
          </w:tcPr>
          <w:p>
            <w:pPr>
              <w:ind w:left="100"/>
              <w:spacing w:after="0"/>
              <w:rPr>
                <w:sz w:val="20"/>
                <w:szCs w:val="20"/>
                <w:color w:val="auto"/>
              </w:rPr>
            </w:pPr>
            <w:r>
              <w:rPr>
                <w:rFonts w:ascii="Arial" w:cs="Arial" w:eastAsia="Arial" w:hAnsi="Arial"/>
                <w:sz w:val="18"/>
                <w:szCs w:val="18"/>
                <w:color w:val="auto"/>
                <w:w w:val="99"/>
              </w:rPr>
              <w:t>A</w:t>
            </w:r>
          </w:p>
        </w:tc>
        <w:tc>
          <w:tcPr>
            <w:tcW w:w="200" w:type="dxa"/>
            <w:vAlign w:val="bottom"/>
            <w:tcBorders>
              <w:top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9,700,000</w:t>
            </w:r>
          </w:p>
        </w:tc>
        <w:tc>
          <w:tcPr>
            <w:tcW w:w="28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7,314,285</w:t>
            </w:r>
          </w:p>
        </w:tc>
        <w:tc>
          <w:tcPr>
            <w:tcW w:w="28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6,952,475</w:t>
            </w:r>
          </w:p>
        </w:tc>
        <w:tc>
          <w:tcPr>
            <w:tcW w:w="280" w:type="dxa"/>
            <w:vAlign w:val="bottom"/>
            <w:tcBorders>
              <w:top w:val="single" w:sz="8" w:color="CCECFF"/>
            </w:tcBorders>
            <w:shd w:val="clear" w:color="auto" w:fill="CCECFF"/>
          </w:tcPr>
          <w:p>
            <w:pPr>
              <w:spacing w:after="0"/>
              <w:rPr>
                <w:sz w:val="19"/>
                <w:szCs w:val="19"/>
                <w:color w:val="auto"/>
              </w:rPr>
            </w:pPr>
          </w:p>
        </w:tc>
        <w:tc>
          <w:tcPr>
            <w:tcW w:w="216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8"/>
                <w:szCs w:val="18"/>
                <w:color w:val="auto"/>
                <w:w w:val="91"/>
              </w:rPr>
              <w:t>November 30, 2020</w:t>
            </w:r>
          </w:p>
        </w:tc>
        <w:tc>
          <w:tcPr>
            <w:tcW w:w="180" w:type="dxa"/>
            <w:vAlign w:val="bottom"/>
            <w:tcBorders>
              <w:top w:val="single" w:sz="8" w:color="CCECFF"/>
            </w:tcBorders>
            <w:shd w:val="clear" w:color="auto" w:fill="CCECFF"/>
          </w:tcPr>
          <w:p>
            <w:pPr>
              <w:spacing w:after="0"/>
              <w:rPr>
                <w:sz w:val="19"/>
                <w:szCs w:val="19"/>
                <w:color w:val="auto"/>
              </w:rPr>
            </w:pPr>
          </w:p>
        </w:tc>
        <w:tc>
          <w:tcPr>
            <w:tcW w:w="2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CFF"/>
          </w:tcPr>
          <w:p>
            <w:pPr>
              <w:ind w:left="300"/>
              <w:spacing w:after="0"/>
              <w:rPr>
                <w:sz w:val="20"/>
                <w:szCs w:val="20"/>
                <w:color w:val="auto"/>
              </w:rPr>
            </w:pPr>
            <w:r>
              <w:rPr>
                <w:rFonts w:ascii="Arial" w:cs="Arial" w:eastAsia="Arial" w:hAnsi="Arial"/>
                <w:sz w:val="18"/>
                <w:szCs w:val="18"/>
                <w:color w:val="auto"/>
                <w:w w:val="90"/>
              </w:rPr>
              <w:t>(361,810</w:t>
            </w:r>
          </w:p>
        </w:tc>
        <w:tc>
          <w:tcPr>
            <w:tcW w:w="12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Canadian Dollar</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C$</w:t>
            </w:r>
          </w:p>
        </w:tc>
        <w:tc>
          <w:tcPr>
            <w:tcW w:w="1180" w:type="dxa"/>
            <w:vAlign w:val="bottom"/>
          </w:tcPr>
          <w:p>
            <w:pPr>
              <w:jc w:val="right"/>
              <w:spacing w:after="0"/>
              <w:rPr>
                <w:sz w:val="20"/>
                <w:szCs w:val="20"/>
                <w:color w:val="auto"/>
              </w:rPr>
            </w:pPr>
            <w:r>
              <w:rPr>
                <w:rFonts w:ascii="Arial" w:cs="Arial" w:eastAsia="Arial" w:hAnsi="Arial"/>
                <w:sz w:val="18"/>
                <w:szCs w:val="18"/>
                <w:color w:val="auto"/>
              </w:rPr>
              <w:t>5,900,000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4,544,218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4,416,994</w:t>
            </w:r>
          </w:p>
        </w:tc>
        <w:tc>
          <w:tcPr>
            <w:tcW w:w="280" w:type="dxa"/>
            <w:vAlign w:val="bottom"/>
          </w:tcPr>
          <w:p>
            <w:pPr>
              <w:spacing w:after="0"/>
              <w:rPr>
                <w:sz w:val="19"/>
                <w:szCs w:val="19"/>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November 30, 2020</w:t>
            </w:r>
          </w:p>
        </w:tc>
        <w:tc>
          <w:tcPr>
            <w:tcW w:w="240" w:type="dxa"/>
            <w:vAlign w:val="bottom"/>
          </w:tcPr>
          <w:p>
            <w:pPr>
              <w:spacing w:after="0"/>
              <w:rPr>
                <w:sz w:val="19"/>
                <w:szCs w:val="19"/>
                <w:color w:val="auto"/>
              </w:rPr>
            </w:pP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w w:val="98"/>
              </w:rPr>
              <w:t>(127,224)</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CFF"/>
              <w:bottom w:val="single" w:sz="8" w:color="CCECFF"/>
            </w:tcBorders>
            <w:shd w:val="clear" w:color="auto" w:fill="CCECFF"/>
          </w:tcPr>
          <w:p>
            <w:pPr>
              <w:spacing w:after="0"/>
              <w:rPr>
                <w:sz w:val="19"/>
                <w:szCs w:val="19"/>
                <w:color w:val="auto"/>
              </w:rPr>
            </w:pPr>
          </w:p>
        </w:tc>
        <w:tc>
          <w:tcPr>
            <w:tcW w:w="240" w:type="dxa"/>
            <w:vAlign w:val="bottom"/>
            <w:tcBorders>
              <w:top w:val="single" w:sz="8" w:color="CCECFF"/>
              <w:bottom w:val="single" w:sz="8" w:color="CCECFF"/>
            </w:tcBorders>
            <w:shd w:val="clear" w:color="auto" w:fill="CCECFF"/>
          </w:tcPr>
          <w:p>
            <w:pPr>
              <w:spacing w:after="0"/>
              <w:rPr>
                <w:sz w:val="19"/>
                <w:szCs w:val="19"/>
                <w:color w:val="auto"/>
              </w:rPr>
            </w:pPr>
          </w:p>
        </w:tc>
        <w:tc>
          <w:tcPr>
            <w:tcW w:w="200" w:type="dxa"/>
            <w:vAlign w:val="bottom"/>
            <w:tcBorders>
              <w:top w:val="single" w:sz="8" w:color="CCECFF"/>
              <w:bottom w:val="single" w:sz="8" w:color="CCECFF"/>
            </w:tcBorders>
            <w:shd w:val="clear" w:color="auto" w:fill="CCECFF"/>
          </w:tcPr>
          <w:p>
            <w:pPr>
              <w:spacing w:after="0"/>
              <w:rPr>
                <w:sz w:val="19"/>
                <w:szCs w:val="19"/>
                <w:color w:val="auto"/>
              </w:rPr>
            </w:pPr>
          </w:p>
        </w:tc>
        <w:tc>
          <w:tcPr>
            <w:tcW w:w="1180" w:type="dxa"/>
            <w:vAlign w:val="bottom"/>
            <w:tcBorders>
              <w:top w:val="single" w:sz="8" w:color="CCECFF"/>
              <w:bottom w:val="single" w:sz="8" w:color="CCECFF"/>
            </w:tcBorders>
            <w:shd w:val="clear" w:color="auto" w:fill="CCECFF"/>
          </w:tcPr>
          <w:p>
            <w:pPr>
              <w:spacing w:after="0"/>
              <w:rPr>
                <w:sz w:val="19"/>
                <w:szCs w:val="19"/>
                <w:color w:val="auto"/>
              </w:rPr>
            </w:pPr>
          </w:p>
        </w:tc>
        <w:tc>
          <w:tcPr>
            <w:tcW w:w="280" w:type="dxa"/>
            <w:vAlign w:val="bottom"/>
            <w:tcBorders>
              <w:top w:val="single" w:sz="8" w:color="CCECFF"/>
              <w:bottom w:val="single" w:sz="8" w:color="CCECFF"/>
            </w:tcBorders>
            <w:shd w:val="clear" w:color="auto" w:fill="CCECFF"/>
          </w:tcPr>
          <w:p>
            <w:pPr>
              <w:spacing w:after="0"/>
              <w:rPr>
                <w:sz w:val="19"/>
                <w:szCs w:val="19"/>
                <w:color w:val="auto"/>
              </w:rPr>
            </w:pP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11,858,503</w:t>
            </w:r>
          </w:p>
        </w:tc>
        <w:tc>
          <w:tcPr>
            <w:tcW w:w="280" w:type="dxa"/>
            <w:vAlign w:val="bottom"/>
            <w:tcBorders>
              <w:top w:val="single" w:sz="8" w:color="CCECFF"/>
              <w:bottom w:val="single" w:sz="8" w:color="CCECFF"/>
            </w:tcBorders>
            <w:shd w:val="clear" w:color="auto" w:fill="CCECFF"/>
          </w:tcPr>
          <w:p>
            <w:pPr>
              <w:spacing w:after="0"/>
              <w:rPr>
                <w:sz w:val="19"/>
                <w:szCs w:val="19"/>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11,369,469</w:t>
            </w:r>
          </w:p>
        </w:tc>
        <w:tc>
          <w:tcPr>
            <w:tcW w:w="280" w:type="dxa"/>
            <w:vAlign w:val="bottom"/>
            <w:tcBorders>
              <w:top w:val="single" w:sz="8" w:color="CCECFF"/>
              <w:bottom w:val="single" w:sz="8" w:color="CCECFF"/>
            </w:tcBorders>
            <w:shd w:val="clear" w:color="auto" w:fill="CCECFF"/>
          </w:tcPr>
          <w:p>
            <w:pPr>
              <w:spacing w:after="0"/>
              <w:rPr>
                <w:sz w:val="19"/>
                <w:szCs w:val="19"/>
                <w:color w:val="auto"/>
              </w:rPr>
            </w:pPr>
          </w:p>
        </w:tc>
        <w:tc>
          <w:tcPr>
            <w:tcW w:w="2160" w:type="dxa"/>
            <w:vAlign w:val="bottom"/>
            <w:tcBorders>
              <w:top w:val="single" w:sz="8" w:color="CCECFF"/>
              <w:bottom w:val="single" w:sz="8" w:color="CCECFF"/>
            </w:tcBorders>
            <w:shd w:val="clear" w:color="auto" w:fill="CCECFF"/>
          </w:tcPr>
          <w:p>
            <w:pPr>
              <w:spacing w:after="0"/>
              <w:rPr>
                <w:sz w:val="19"/>
                <w:szCs w:val="19"/>
                <w:color w:val="auto"/>
              </w:rPr>
            </w:pPr>
          </w:p>
        </w:tc>
        <w:tc>
          <w:tcPr>
            <w:tcW w:w="180" w:type="dxa"/>
            <w:vAlign w:val="bottom"/>
            <w:tcBorders>
              <w:top w:val="single" w:sz="8" w:color="CCECFF"/>
              <w:bottom w:val="single" w:sz="8" w:color="CCECFF"/>
            </w:tcBorders>
            <w:shd w:val="clear" w:color="auto" w:fill="CCECFF"/>
          </w:tcPr>
          <w:p>
            <w:pPr>
              <w:spacing w:after="0"/>
              <w:rPr>
                <w:sz w:val="19"/>
                <w:szCs w:val="19"/>
                <w:color w:val="auto"/>
              </w:rPr>
            </w:pPr>
          </w:p>
        </w:tc>
        <w:tc>
          <w:tcPr>
            <w:tcW w:w="240" w:type="dxa"/>
            <w:vAlign w:val="bottom"/>
            <w:tcBorders>
              <w:top w:val="single" w:sz="8" w:color="auto"/>
              <w:bottom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CFF"/>
          </w:tcPr>
          <w:p>
            <w:pPr>
              <w:ind w:left="300"/>
              <w:spacing w:after="0"/>
              <w:rPr>
                <w:sz w:val="20"/>
                <w:szCs w:val="20"/>
                <w:color w:val="auto"/>
              </w:rPr>
            </w:pPr>
            <w:r>
              <w:rPr>
                <w:rFonts w:ascii="Arial" w:cs="Arial" w:eastAsia="Arial" w:hAnsi="Arial"/>
                <w:sz w:val="18"/>
                <w:szCs w:val="18"/>
                <w:color w:val="auto"/>
                <w:w w:val="83"/>
              </w:rPr>
              <w:t>(489,034)</w:t>
            </w:r>
          </w:p>
        </w:tc>
        <w:tc>
          <w:tcPr>
            <w:tcW w:w="120" w:type="dxa"/>
            <w:vAlign w:val="bottom"/>
            <w:tcBorders>
              <w:top w:val="single" w:sz="8" w:color="CCECFF"/>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AND CASH EQUIVALENTS</w:t>
      </w:r>
    </w:p>
    <w:p>
      <w:pPr>
        <w:spacing w:after="0" w:line="256" w:lineRule="exact"/>
        <w:rPr>
          <w:sz w:val="20"/>
          <w:szCs w:val="20"/>
          <w:color w:val="auto"/>
        </w:rPr>
      </w:pPr>
    </w:p>
    <w:p>
      <w:pPr>
        <w:jc w:val="both"/>
        <w:ind w:firstLine="462"/>
        <w:spacing w:after="0" w:line="255" w:lineRule="auto"/>
        <w:rPr>
          <w:sz w:val="20"/>
          <w:szCs w:val="20"/>
          <w:color w:val="auto"/>
        </w:rPr>
      </w:pPr>
      <w:r>
        <w:rPr>
          <w:rFonts w:ascii="Arial" w:cs="Arial" w:eastAsia="Arial" w:hAnsi="Arial"/>
          <w:sz w:val="18"/>
          <w:szCs w:val="18"/>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U.S. Treasury Bills with maturities greater than 60 days from the time of purchase are valued consistent with our valuation policy. As of September 30, 2021 and 2020, cash and cash equivalents consisted of money market funds in the amounts of $28.4 million and $11.1 million at fair value,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MEMBERS’ EQUITY</w:t>
      </w:r>
    </w:p>
    <w:p>
      <w:pPr>
        <w:spacing w:after="0" w:line="256" w:lineRule="exact"/>
        <w:rPr>
          <w:sz w:val="20"/>
          <w:szCs w:val="20"/>
          <w:color w:val="auto"/>
        </w:rPr>
      </w:pPr>
    </w:p>
    <w:p>
      <w:pPr>
        <w:jc w:val="both"/>
        <w:ind w:firstLine="462"/>
        <w:spacing w:after="0" w:line="277" w:lineRule="auto"/>
        <w:rPr>
          <w:sz w:val="20"/>
          <w:szCs w:val="20"/>
          <w:color w:val="auto"/>
        </w:rPr>
      </w:pPr>
      <w:r>
        <w:rPr>
          <w:rFonts w:ascii="Arial" w:cs="Arial" w:eastAsia="Arial" w:hAnsi="Arial"/>
          <w:sz w:val="18"/>
          <w:szCs w:val="18"/>
          <w:color w:val="auto"/>
        </w:rPr>
        <w:t>PFLT and Kemper provide capital to PSSL in the form of equity interests. As of September 30, 2021 and 2020, PFLT and Kemper owned 87.5% and 12.5%, respectively, of equity interests in PSSL.</w:t>
      </w:r>
    </w:p>
    <w:p>
      <w:pPr>
        <w:spacing w:after="0" w:line="197" w:lineRule="exact"/>
        <w:rPr>
          <w:sz w:val="20"/>
          <w:szCs w:val="20"/>
          <w:color w:val="auto"/>
        </w:rPr>
      </w:pPr>
    </w:p>
    <w:p>
      <w:pPr>
        <w:jc w:val="both"/>
        <w:ind w:firstLine="462"/>
        <w:spacing w:after="0" w:line="277" w:lineRule="auto"/>
        <w:rPr>
          <w:sz w:val="20"/>
          <w:szCs w:val="20"/>
          <w:color w:val="auto"/>
        </w:rPr>
      </w:pPr>
      <w:r>
        <w:rPr>
          <w:rFonts w:ascii="Arial" w:cs="Arial" w:eastAsia="Arial" w:hAnsi="Arial"/>
          <w:sz w:val="18"/>
          <w:szCs w:val="18"/>
          <w:color w:val="auto"/>
        </w:rPr>
        <w:t>As of September 30, 2021 and 2020, PFLT had commitments to fund equity interests to PSSL of $73.0 million and $60.4 million, respectively, of which $12.6 million and $6.6 million were unfunded as of the years then ended.</w:t>
      </w:r>
    </w:p>
    <w:p>
      <w:pPr>
        <w:spacing w:after="0" w:line="197" w:lineRule="exact"/>
        <w:rPr>
          <w:sz w:val="20"/>
          <w:szCs w:val="20"/>
          <w:color w:val="auto"/>
        </w:rPr>
      </w:pPr>
    </w:p>
    <w:p>
      <w:pPr>
        <w:jc w:val="both"/>
        <w:ind w:right="20" w:firstLine="462"/>
        <w:spacing w:after="0" w:line="277" w:lineRule="auto"/>
        <w:rPr>
          <w:sz w:val="20"/>
          <w:szCs w:val="20"/>
          <w:color w:val="auto"/>
        </w:rPr>
      </w:pPr>
      <w:r>
        <w:rPr>
          <w:rFonts w:ascii="Arial" w:cs="Arial" w:eastAsia="Arial" w:hAnsi="Arial"/>
          <w:sz w:val="18"/>
          <w:szCs w:val="18"/>
          <w:color w:val="auto"/>
        </w:rPr>
        <w:t>As of September 30, 2021 and 2020, Kemper had commitments to fund equity interests to PSSL of $10.4 million and $8.6 million, respectively, of which $1.8 million and $0.9 million were unfunded as of the years then 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NOTES PAYABLE TO MEMBERS</w:t>
      </w:r>
    </w:p>
    <w:p>
      <w:pPr>
        <w:spacing w:after="0" w:line="256" w:lineRule="exact"/>
        <w:rPr>
          <w:sz w:val="20"/>
          <w:szCs w:val="20"/>
          <w:color w:val="auto"/>
        </w:rPr>
      </w:pPr>
    </w:p>
    <w:p>
      <w:pPr>
        <w:jc w:val="both"/>
        <w:ind w:firstLine="462"/>
        <w:spacing w:after="0" w:line="259" w:lineRule="auto"/>
        <w:rPr>
          <w:sz w:val="20"/>
          <w:szCs w:val="20"/>
          <w:color w:val="auto"/>
        </w:rPr>
      </w:pPr>
      <w:r>
        <w:rPr>
          <w:rFonts w:ascii="Arial" w:cs="Arial" w:eastAsia="Arial" w:hAnsi="Arial"/>
          <w:sz w:val="18"/>
          <w:szCs w:val="18"/>
          <w:color w:val="auto"/>
        </w:rPr>
        <w:t>PFLT and Kemper provide capital to PSSL in the form of first lien secured debt (“Member notes”). The Member notes were previously subordinated debt that were modified during the year ended September 30, 2018 to eliminate the subordination provision. The Member notes bear an interest rate of LIBOR plus 8.0% and matures on May 6, 2024. As of September 30, 2021 and 2020, PFLT and Kemper owned 87.5% and 12.5%, respectively, of the Member notes.</w:t>
      </w:r>
    </w:p>
    <w:p>
      <w:pPr>
        <w:spacing w:after="0" w:line="214" w:lineRule="exact"/>
        <w:rPr>
          <w:sz w:val="20"/>
          <w:szCs w:val="20"/>
          <w:color w:val="auto"/>
        </w:rPr>
      </w:pPr>
    </w:p>
    <w:p>
      <w:pPr>
        <w:jc w:val="both"/>
        <w:ind w:firstLine="462"/>
        <w:spacing w:after="0" w:line="277" w:lineRule="auto"/>
        <w:rPr>
          <w:sz w:val="20"/>
          <w:szCs w:val="20"/>
          <w:color w:val="auto"/>
        </w:rPr>
      </w:pPr>
      <w:r>
        <w:rPr>
          <w:rFonts w:ascii="Arial" w:cs="Arial" w:eastAsia="Arial" w:hAnsi="Arial"/>
          <w:sz w:val="18"/>
          <w:szCs w:val="18"/>
          <w:color w:val="auto"/>
        </w:rPr>
        <w:t>As of September 30, 2021 and 2020, PFLT had commitments to fund Member notes to PSSL of $170.3 million and $140.9 million, respectively, of which $29.4 million and $15.5 million, respectively, were unfunded.</w:t>
      </w:r>
    </w:p>
    <w:p>
      <w:pPr>
        <w:spacing w:after="0" w:line="197" w:lineRule="exact"/>
        <w:rPr>
          <w:sz w:val="20"/>
          <w:szCs w:val="20"/>
          <w:color w:val="auto"/>
        </w:rPr>
      </w:pPr>
    </w:p>
    <w:p>
      <w:pPr>
        <w:jc w:val="both"/>
        <w:ind w:firstLine="462"/>
        <w:spacing w:after="0" w:line="277" w:lineRule="auto"/>
        <w:rPr>
          <w:sz w:val="20"/>
          <w:szCs w:val="20"/>
          <w:color w:val="auto"/>
        </w:rPr>
      </w:pPr>
      <w:r>
        <w:rPr>
          <w:rFonts w:ascii="Arial" w:cs="Arial" w:eastAsia="Arial" w:hAnsi="Arial"/>
          <w:sz w:val="18"/>
          <w:szCs w:val="18"/>
          <w:color w:val="auto"/>
        </w:rPr>
        <w:t>As of September 30, 2021 and 2020, Kemper had commitments to fund Member notes to PSSL of $24.3 million and $20.1 million, respectively, of which $4.2 million and $2.2 million, respectively, were unfunded.</w:t>
      </w:r>
    </w:p>
    <w:p>
      <w:pPr>
        <w:spacing w:after="0" w:line="200" w:lineRule="exact"/>
        <w:rPr>
          <w:sz w:val="20"/>
          <w:szCs w:val="20"/>
          <w:color w:val="auto"/>
        </w:rPr>
      </w:pPr>
    </w:p>
    <w:p>
      <w:pPr>
        <w:spacing w:after="0" w:line="236" w:lineRule="exact"/>
        <w:rPr>
          <w:sz w:val="20"/>
          <w:szCs w:val="20"/>
          <w:color w:val="auto"/>
        </w:rPr>
      </w:pPr>
    </w:p>
    <w:p>
      <w:pPr>
        <w:ind w:right="8560" w:firstLine="8"/>
        <w:spacing w:after="0" w:line="549" w:lineRule="auto"/>
        <w:tabs>
          <w:tab w:leader="none" w:pos="180"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RISKS AND UNCERTAINTIES Investment risk</w:t>
      </w:r>
    </w:p>
    <w:p>
      <w:pPr>
        <w:spacing w:after="0" w:line="1" w:lineRule="exact"/>
        <w:rPr>
          <w:sz w:val="20"/>
          <w:szCs w:val="20"/>
          <w:color w:val="auto"/>
        </w:rPr>
      </w:pPr>
    </w:p>
    <w:p>
      <w:pPr>
        <w:jc w:val="both"/>
        <w:ind w:firstLine="462"/>
        <w:spacing w:after="0" w:line="255" w:lineRule="auto"/>
        <w:rPr>
          <w:sz w:val="20"/>
          <w:szCs w:val="20"/>
          <w:color w:val="auto"/>
        </w:rPr>
      </w:pPr>
      <w:r>
        <w:rPr>
          <w:rFonts w:ascii="Arial" w:cs="Arial" w:eastAsia="Arial" w:hAnsi="Arial"/>
          <w:sz w:val="18"/>
          <w:szCs w:val="18"/>
          <w:color w:val="auto"/>
        </w:rPr>
        <w:t>PSSL seeks investment opportunities that offer the possibility of attaining income generation, capital preservation and capital appreciation including investments in private companies. Certain events particular to each industry in which PSSL’s investments conduct their operations, as well as general economic and political conditions, may have a significant negative impact on the investee’s operations and profitability. Such events are beyond PSSL’s controls, and the likelihood that they may occur cannot be predicted. Furthermore, investments of PSSL are made in private companies and there are generally no public markets for these securities at the current time. The ability of PSSL to liquidate these investments and realize value is subject to significant limitations and uncertainties.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 Risk</w:t>
      </w:r>
    </w:p>
    <w:p>
      <w:pPr>
        <w:spacing w:after="0" w:line="256" w:lineRule="exact"/>
        <w:rPr>
          <w:sz w:val="20"/>
          <w:szCs w:val="20"/>
          <w:color w:val="auto"/>
        </w:rPr>
      </w:pPr>
    </w:p>
    <w:p>
      <w:pPr>
        <w:jc w:val="both"/>
        <w:ind w:firstLine="462"/>
        <w:spacing w:after="0" w:line="271" w:lineRule="auto"/>
        <w:rPr>
          <w:sz w:val="20"/>
          <w:szCs w:val="20"/>
          <w:color w:val="auto"/>
        </w:rPr>
      </w:pPr>
      <w:r>
        <w:rPr>
          <w:rFonts w:ascii="Arial" w:cs="Arial" w:eastAsia="Arial" w:hAnsi="Arial"/>
          <w:sz w:val="17"/>
          <w:szCs w:val="17"/>
          <w:color w:val="auto"/>
        </w:rPr>
        <w:t>PSSL may borrow funds in order to increase the amount of capital available for investment. The use of leverage can improve the return on invested capital, however, such use may also magnify the potential for loss on invested equity capital. If the value of PSSL’s assets decreases, leveraging would cause Members’ equity to decline more sharply than it otherwise would have had PSSL not leveraged. Similarly, any decrease in PSSL’s income would cause Members’ equity to decline more sharply than it would have had PSSL not borrowed. Borrowings will usually be from credit facilities and will typically be secured by PSSL’s securities and other assets. Under certain circumstances, such credit facilities may demand an increase in the collateral that secures PSSL’s obligations and if PSSL was unable to provide additional collateral, the credit facilities could liquidate assets held in the account to satisfy PSSL’s obligations. Liquidation in this manner could have adverse consequences. Additionally, the amount of PSSL’s borrowings and the interest rates on those borrowings, which will fluctuate, could have a significant effect on PSSL’s profitability.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56" w:lineRule="exact"/>
        <w:rPr>
          <w:sz w:val="20"/>
          <w:szCs w:val="20"/>
          <w:color w:val="auto"/>
        </w:rPr>
      </w:pPr>
    </w:p>
    <w:p>
      <w:pPr>
        <w:jc w:val="both"/>
        <w:ind w:firstLine="462"/>
        <w:spacing w:after="0" w:line="286" w:lineRule="auto"/>
        <w:rPr>
          <w:sz w:val="20"/>
          <w:szCs w:val="20"/>
          <w:color w:val="auto"/>
        </w:rPr>
      </w:pPr>
      <w:r>
        <w:rPr>
          <w:rFonts w:ascii="Arial" w:cs="Arial" w:eastAsia="Arial" w:hAnsi="Arial"/>
          <w:sz w:val="17"/>
          <w:szCs w:val="17"/>
          <w:color w:val="auto"/>
        </w:rPr>
        <w:t>PSSL primarily invests in first lien secured debt to middle-market companies. A majority of the investments held by PSSL are subject to restrictions on their resale or are otherwise illiquid. PSSL assumes the credit risk of the borrower. In the event that the borrower becomes insolvent or enters bankruptcy, PSSL may incur certain costs and delays in realizing payment, or may suffer a loss of principal and/or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256" w:lineRule="exact"/>
        <w:rPr>
          <w:sz w:val="20"/>
          <w:szCs w:val="20"/>
          <w:color w:val="auto"/>
        </w:rPr>
      </w:pPr>
    </w:p>
    <w:p>
      <w:pPr>
        <w:jc w:val="both"/>
        <w:ind w:firstLine="462"/>
        <w:spacing w:after="0" w:line="277" w:lineRule="auto"/>
        <w:rPr>
          <w:sz w:val="20"/>
          <w:szCs w:val="20"/>
          <w:color w:val="auto"/>
        </w:rPr>
      </w:pPr>
      <w:r>
        <w:rPr>
          <w:rFonts w:ascii="Arial" w:cs="Arial" w:eastAsia="Arial" w:hAnsi="Arial"/>
          <w:sz w:val="18"/>
          <w:szCs w:val="18"/>
          <w:color w:val="auto"/>
        </w:rPr>
        <w:t>The Members are responsible for all investment making and business decisions, and therefore, there is no requirement to show financial highlights per ASC 946, which have been omitted accordingly.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 AND ASSET BACKED DEBT</w:t>
      </w:r>
    </w:p>
    <w:p>
      <w:pPr>
        <w:spacing w:after="0" w:line="229" w:lineRule="exact"/>
        <w:rPr>
          <w:sz w:val="20"/>
          <w:szCs w:val="20"/>
          <w:color w:val="auto"/>
        </w:rPr>
      </w:pPr>
    </w:p>
    <w:p>
      <w:pPr>
        <w:jc w:val="both"/>
        <w:ind w:firstLine="384"/>
        <w:spacing w:after="0" w:line="257" w:lineRule="auto"/>
        <w:rPr>
          <w:sz w:val="20"/>
          <w:szCs w:val="20"/>
          <w:color w:val="auto"/>
        </w:rPr>
      </w:pPr>
      <w:r>
        <w:rPr>
          <w:rFonts w:ascii="Arial" w:cs="Arial" w:eastAsia="Arial" w:hAnsi="Arial"/>
          <w:sz w:val="18"/>
          <w:szCs w:val="18"/>
          <w:color w:val="auto"/>
        </w:rPr>
        <w:t>As of September 30, 2020, PSSL had a $325.0 million multi-currency Credit Facility with Capital One, N.A. as the lender and administrative agent. As of September 30, 2020, we had $217.5 million in outstanding borrowings under the Credit Facility. The Credit Facility had a weighted average interest rate of 2.4% excluding the undrawn commitment fees as of September 30, 2020. The Credit Facility is secured by substantially all of the assets held by us. The carrying value of our Credit Facility approximates fair value. The Credit Facility contains customary financial and other covenants. On January 27, 2021, PSSL terminated the facility with Capital One, N.A.</w:t>
      </w:r>
    </w:p>
    <w:p>
      <w:pPr>
        <w:spacing w:after="0" w:line="215" w:lineRule="exact"/>
        <w:rPr>
          <w:sz w:val="20"/>
          <w:szCs w:val="20"/>
          <w:color w:val="auto"/>
        </w:rPr>
      </w:pPr>
    </w:p>
    <w:p>
      <w:pPr>
        <w:jc w:val="both"/>
        <w:ind w:firstLine="384"/>
        <w:spacing w:after="0" w:line="255" w:lineRule="auto"/>
        <w:rPr>
          <w:sz w:val="20"/>
          <w:szCs w:val="20"/>
          <w:color w:val="auto"/>
        </w:rPr>
      </w:pPr>
      <w:r>
        <w:rPr>
          <w:rFonts w:ascii="Arial" w:cs="Arial" w:eastAsia="Arial" w:hAnsi="Arial"/>
          <w:sz w:val="18"/>
          <w:szCs w:val="18"/>
          <w:color w:val="auto"/>
        </w:rPr>
        <w:t>On January 26, 2021, PSSL entered into a new $125.0 million senior secured revolving Credit Facility (“Credit Facility 2”) with Ally Bank through its wholly-owned subsidiary Pennant Park Senior Secured Loan Facility II, LLC (“PSSL II”). Credit Facility 2 has a maturity date of January 26, 2026 with an interest rate at 2.6% over LIBOR. Credit Facility 2 is secured by substantially all of the assets held by PSSL. On June 3, 2021 the facility amount was increased to $155.0 million from $125.0 million with no change to the interest rate and maturity date of Credit Facility 2. As of September 30, 2021, we had $112.0 million in outstanding borrowings under the Credit Facility 2. Credit Facility 2 contains customary financial and other covenants. As of September 30, 2021, we are in compliance with the covenants of Credit Facility 2.</w:t>
      </w:r>
    </w:p>
    <w:p>
      <w:pPr>
        <w:spacing w:after="0" w:line="219" w:lineRule="exact"/>
        <w:rPr>
          <w:sz w:val="20"/>
          <w:szCs w:val="20"/>
          <w:color w:val="auto"/>
        </w:rPr>
      </w:pPr>
    </w:p>
    <w:p>
      <w:pPr>
        <w:jc w:val="both"/>
        <w:ind w:firstLine="384"/>
        <w:spacing w:after="0" w:line="287" w:lineRule="auto"/>
        <w:rPr>
          <w:sz w:val="20"/>
          <w:szCs w:val="20"/>
          <w:color w:val="auto"/>
        </w:rPr>
      </w:pPr>
      <w:r>
        <w:rPr>
          <w:rFonts w:ascii="Arial" w:cs="Arial" w:eastAsia="Arial" w:hAnsi="Arial"/>
          <w:sz w:val="16"/>
          <w:szCs w:val="16"/>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Debt Securitization was executed through (A) a private placement of: (i) $171.0 million Class A-1 Senior Secured Floating Rate Loans maturing 2032, which bear interest at the three-month LIBOR plus 1.9%, (ii) $6.0 million Class A-2 Senior Secured Fixed Rate Notes due 2032, which bear interest at three month LIBOR plus 2.25%, (iii) $15.5 million Class B-1 Senior Secured Floating Rate Notes due 2032, which bear interest at the three-month LIBOR plus 2.6%, (iv) $8.5 million Class B-2 Senior Secured Fixed Rate Notes due 2032, which bear interest of 3.14%, (v) $27.0 million Class C Secured Deferrable Floating Rate Notes due 2032, which bear interest at the three-month LIBOR plus 4.25%, (vi) $18.0 million Class D Secured Deferrable Fixed Rate Notes due 2032, which bear interest at the three-month LIBOR plus 6.5%, and (vii) $18.0 million Class E Secured Deferrable Floating Rate Notes due 2032, which bear interest at the three-month LIBOR plus 8.5%, under a credit agreement by and among the Securitization Issuers, as borrowers, various financial institutions, as lenders, and U.S. Bank National Association, as collateral agent and as loan agent. As of September 30, 2021 the balance of the 2032 Asset-Backed Debt was $246.0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 (Continued)</w:t>
      </w:r>
    </w:p>
    <w:p>
      <w:pPr>
        <w:spacing w:after="0" w:line="200" w:lineRule="exact"/>
        <w:rPr>
          <w:sz w:val="20"/>
          <w:szCs w:val="20"/>
          <w:color w:val="auto"/>
        </w:rPr>
      </w:pPr>
    </w:p>
    <w:p>
      <w:pPr>
        <w:spacing w:after="0" w:line="240" w:lineRule="exact"/>
        <w:rPr>
          <w:sz w:val="20"/>
          <w:szCs w:val="20"/>
          <w:color w:val="auto"/>
        </w:rPr>
      </w:pPr>
    </w:p>
    <w:p>
      <w:pPr>
        <w:jc w:val="both"/>
        <w:ind w:firstLine="384"/>
        <w:spacing w:after="0" w:line="257" w:lineRule="auto"/>
        <w:rPr>
          <w:sz w:val="20"/>
          <w:szCs w:val="20"/>
          <w:color w:val="auto"/>
        </w:rPr>
      </w:pPr>
      <w:r>
        <w:rPr>
          <w:rFonts w:ascii="Arial" w:cs="Arial" w:eastAsia="Arial" w:hAnsi="Arial"/>
          <w:sz w:val="18"/>
          <w:szCs w:val="18"/>
          <w:color w:val="auto"/>
        </w:rPr>
        <w:t>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E Notes issued by the Securitization Issuer, and a portion of the net cash proceeds received from the sale of the 2032 Asset-Backed Debt. The Preferred Shares of the Securitization Issuer do not bear interest and had a stated value of approximately $36.7 million at the closing of the Debt Securitization.</w:t>
      </w:r>
    </w:p>
    <w:p>
      <w:pPr>
        <w:spacing w:after="0" w:line="215"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8"/>
          <w:szCs w:val="18"/>
          <w:color w:val="auto"/>
        </w:rPr>
        <w:t>The 2032 Asset-Backed Debt is included in the Consolidated Statement of Assets and Liabilities as debt of the Company and the Class E Notes and the Preferred Shares of the Securitization Issuer were eliminated in consolidation. As of September 30, 2021, the Company had $246.0 million 2032 Asset-Backed Debt outstanding with a weighted average interest rate of 2.7%. As of September 30, 2021, the unamortized fees on the 2032 Asset-Backed Debt were $3.2 million.</w:t>
      </w:r>
    </w:p>
    <w:p>
      <w:pPr>
        <w:spacing w:after="0" w:line="187" w:lineRule="exact"/>
        <w:rPr>
          <w:sz w:val="20"/>
          <w:szCs w:val="20"/>
          <w:color w:val="auto"/>
        </w:rPr>
      </w:pPr>
    </w:p>
    <w:p>
      <w:pPr>
        <w:jc w:val="both"/>
        <w:ind w:firstLine="384"/>
        <w:spacing w:after="0" w:line="263" w:lineRule="auto"/>
        <w:rPr>
          <w:sz w:val="20"/>
          <w:szCs w:val="20"/>
          <w:color w:val="auto"/>
        </w:rPr>
      </w:pPr>
      <w:r>
        <w:rPr>
          <w:rFonts w:ascii="Arial" w:cs="Arial" w:eastAsia="Arial" w:hAnsi="Arial"/>
          <w:sz w:val="18"/>
          <w:szCs w:val="18"/>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56" w:lineRule="exact"/>
        <w:rPr>
          <w:sz w:val="20"/>
          <w:szCs w:val="20"/>
          <w:color w:val="auto"/>
        </w:rPr>
      </w:pPr>
    </w:p>
    <w:p>
      <w:pPr>
        <w:jc w:val="both"/>
        <w:ind w:firstLine="462"/>
        <w:spacing w:after="0" w:line="277" w:lineRule="auto"/>
        <w:rPr>
          <w:sz w:val="20"/>
          <w:szCs w:val="20"/>
          <w:color w:val="auto"/>
        </w:rPr>
      </w:pPr>
      <w:r>
        <w:rPr>
          <w:rFonts w:ascii="Arial" w:cs="Arial" w:eastAsia="Arial" w:hAnsi="Arial"/>
          <w:sz w:val="18"/>
          <w:szCs w:val="18"/>
          <w:color w:val="auto"/>
        </w:rPr>
        <w:t>Subsequent events are evaluated and disclosed as appropriate for events occurring through the date the consolidated financial statements were available to be issued, November 17, 202</w:t>
      </w:r>
    </w:p>
    <w:p>
      <w:pPr>
        <w:spacing w:after="0" w:line="197" w:lineRule="exact"/>
        <w:rPr>
          <w:sz w:val="20"/>
          <w:szCs w:val="20"/>
          <w:color w:val="auto"/>
        </w:rPr>
      </w:pPr>
    </w:p>
    <w:p>
      <w:pPr>
        <w:ind w:right="540" w:firstLine="416"/>
        <w:spacing w:after="0" w:line="277" w:lineRule="auto"/>
        <w:rPr>
          <w:sz w:val="20"/>
          <w:szCs w:val="20"/>
          <w:color w:val="auto"/>
        </w:rPr>
      </w:pPr>
      <w:r>
        <w:rPr>
          <w:rFonts w:ascii="Arial" w:cs="Arial" w:eastAsia="Arial" w:hAnsi="Arial"/>
          <w:sz w:val="18"/>
          <w:szCs w:val="18"/>
          <w:color w:val="auto"/>
        </w:rPr>
        <w:t>On October 13, 2021, Credit Facility 2 was increased to $225 million from $155 million with an interest rate of 2.5% over LIBOR. The spread decreased by 10 basis points to LIBOR plus 2.5%.</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October 27, 2021 PSSL issued a capital call to its Members in the amount of $20.0 million.</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October 29, 2021, PSSL paid down $20 million on Credit Facility 2 from the proceeds from the capital call received on October 27, 2021.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PennantPark Senior Secured Loan Fund I LLC</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color w:val="auto"/>
        </w:rPr>
        <w:t>Consolidated Financial Statements and</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color w:val="auto"/>
        </w:rPr>
        <w:t>Independent Auditor’s Report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792480</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p>
      <w:pPr>
        <w:jc w:val="center"/>
        <w:ind w:right="20"/>
        <w:spacing w:after="0"/>
        <w:rPr>
          <w:sz w:val="20"/>
          <w:szCs w:val="20"/>
          <w:color w:val="auto"/>
        </w:rPr>
      </w:pPr>
      <w:r>
        <w:rPr>
          <w:rFonts w:ascii="Arial" w:cs="Arial" w:eastAsia="Arial" w:hAnsi="Arial"/>
          <w:sz w:val="18"/>
          <w:szCs w:val="18"/>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453"/>
        </w:trPr>
        <w:tc>
          <w:tcPr>
            <w:tcW w:w="9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Financial Statements:</w:t>
            </w:r>
          </w:p>
        </w:tc>
        <w:tc>
          <w:tcPr>
            <w:tcW w:w="1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9480" w:type="dxa"/>
            <w:vAlign w:val="bottom"/>
          </w:tcPr>
          <w:p>
            <w:pPr>
              <w:ind w:left="160"/>
              <w:spacing w:after="0"/>
              <w:rPr>
                <w:sz w:val="20"/>
                <w:szCs w:val="20"/>
                <w:color w:val="auto"/>
              </w:rPr>
            </w:pPr>
            <w:r>
              <w:rPr>
                <w:rFonts w:ascii="Arial" w:cs="Arial" w:eastAsia="Arial" w:hAnsi="Arial"/>
                <w:sz w:val="18"/>
                <w:szCs w:val="18"/>
                <w:color w:val="auto"/>
              </w:rPr>
              <w:t>Consolidated Statements of Assets, Liabilities and Members’ Equity as of September 30, 2020 and 2019</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459"/>
        </w:trPr>
        <w:tc>
          <w:tcPr>
            <w:tcW w:w="9480" w:type="dxa"/>
            <w:vAlign w:val="bottom"/>
          </w:tcPr>
          <w:p>
            <w:pPr>
              <w:ind w:left="160"/>
              <w:spacing w:after="0"/>
              <w:rPr>
                <w:sz w:val="20"/>
                <w:szCs w:val="20"/>
                <w:color w:val="auto"/>
              </w:rPr>
            </w:pPr>
            <w:r>
              <w:rPr>
                <w:rFonts w:ascii="Arial" w:cs="Arial" w:eastAsia="Arial" w:hAnsi="Arial"/>
                <w:sz w:val="18"/>
                <w:szCs w:val="18"/>
                <w:color w:val="auto"/>
              </w:rPr>
              <w:t>Consolidated Statements of Operations for the years ended September 30, 2020 and 2019</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459"/>
        </w:trPr>
        <w:tc>
          <w:tcPr>
            <w:tcW w:w="9480" w:type="dxa"/>
            <w:vAlign w:val="bottom"/>
          </w:tcPr>
          <w:p>
            <w:pPr>
              <w:ind w:left="160"/>
              <w:spacing w:after="0"/>
              <w:rPr>
                <w:sz w:val="20"/>
                <w:szCs w:val="20"/>
                <w:color w:val="auto"/>
              </w:rPr>
            </w:pPr>
            <w:r>
              <w:rPr>
                <w:rFonts w:ascii="Arial" w:cs="Arial" w:eastAsia="Arial" w:hAnsi="Arial"/>
                <w:sz w:val="18"/>
                <w:szCs w:val="18"/>
                <w:color w:val="auto"/>
              </w:rPr>
              <w:t>Consolidated Statements of Changes in Members’ Equity for the years ended September 30, 2020 and 2019</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459"/>
        </w:trPr>
        <w:tc>
          <w:tcPr>
            <w:tcW w:w="9480" w:type="dxa"/>
            <w:vAlign w:val="bottom"/>
          </w:tcPr>
          <w:p>
            <w:pPr>
              <w:ind w:left="160"/>
              <w:spacing w:after="0"/>
              <w:rPr>
                <w:sz w:val="20"/>
                <w:szCs w:val="20"/>
                <w:color w:val="auto"/>
              </w:rPr>
            </w:pPr>
            <w:r>
              <w:rPr>
                <w:rFonts w:ascii="Arial" w:cs="Arial" w:eastAsia="Arial" w:hAnsi="Arial"/>
                <w:sz w:val="18"/>
                <w:szCs w:val="18"/>
                <w:color w:val="auto"/>
              </w:rPr>
              <w:t>Consolidated Statements of Cash Flows for the years ended September 30, 2020 and 2019</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459"/>
        </w:trPr>
        <w:tc>
          <w:tcPr>
            <w:tcW w:w="9480" w:type="dxa"/>
            <w:vAlign w:val="bottom"/>
          </w:tcPr>
          <w:p>
            <w:pPr>
              <w:ind w:left="160"/>
              <w:spacing w:after="0"/>
              <w:rPr>
                <w:sz w:val="20"/>
                <w:szCs w:val="20"/>
                <w:color w:val="auto"/>
              </w:rPr>
            </w:pPr>
            <w:r>
              <w:rPr>
                <w:rFonts w:ascii="Arial" w:cs="Arial" w:eastAsia="Arial" w:hAnsi="Arial"/>
                <w:sz w:val="18"/>
                <w:szCs w:val="18"/>
                <w:color w:val="auto"/>
              </w:rPr>
              <w:t>Consolidated Schedules of Investments as of September 30, 2020 and 2019</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459"/>
        </w:trPr>
        <w:tc>
          <w:tcPr>
            <w:tcW w:w="9480" w:type="dxa"/>
            <w:vAlign w:val="bottom"/>
          </w:tcPr>
          <w:p>
            <w:pPr>
              <w:ind w:left="160"/>
              <w:spacing w:after="0"/>
              <w:rPr>
                <w:sz w:val="20"/>
                <w:szCs w:val="20"/>
                <w:color w:val="auto"/>
              </w:rPr>
            </w:pPr>
            <w:r>
              <w:rPr>
                <w:rFonts w:ascii="Arial" w:cs="Arial" w:eastAsia="Arial" w:hAnsi="Arial"/>
                <w:sz w:val="18"/>
                <w:szCs w:val="18"/>
                <w:color w:val="auto"/>
              </w:rPr>
              <w:t>Notes to Consolidated Financial Statements</w:t>
            </w: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r>
      <w:tr>
        <w:trPr>
          <w:trHeight w:val="243"/>
        </w:trPr>
        <w:tc>
          <w:tcPr>
            <w:tcW w:w="94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296"/>
        </w:trPr>
        <w:tc>
          <w:tcPr>
            <w:tcW w:w="94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Independent Auditor’s Report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Senior Secured Loan Fund I LLC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Financial Statements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financial statements of PennantPark Senior Secured Loan Fund I LLC (the Company), which comprise the consolidated statements of assets, liabilities, and members’ equity, including the consolidated schedules of investments, as of September 30, 2020 and 2019, and the related consolidated statements of operations, changes in members’ equity and cash flows for the years then ended, and the related notes to the consolidated financial statements (collectively, the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responsibility is to express an opinion on these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PennantPark Senior Secured Loan Fund I LLC as of September 30, 2020 and 2019, and the results of its operations, and its cash flows for the years then ended in accordance with accounting principles generally accepted in the United States of America.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18, 2020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31" w:name="page132"/>
    <w:bookmarkEnd w:id="131"/>
    <w:p>
      <w:pPr>
        <w:jc w:val="center"/>
        <w:ind w:right="100"/>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Assets, Liabilities and Members’ Equity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5"/>
              </w:rPr>
              <w:t>September 30, 2020</w:t>
            </w:r>
          </w:p>
        </w:tc>
        <w:tc>
          <w:tcPr>
            <w:tcW w:w="160" w:type="dxa"/>
            <w:vAlign w:val="bottom"/>
          </w:tcPr>
          <w:p>
            <w:pPr>
              <w:spacing w:after="0"/>
              <w:rPr>
                <w:sz w:val="18"/>
                <w:szCs w:val="18"/>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3"/>
              </w:rPr>
              <w:t>September 30, 2019</w:t>
            </w:r>
          </w:p>
        </w:tc>
      </w:tr>
      <w:tr>
        <w:trPr>
          <w:trHeight w:val="213"/>
        </w:trPr>
        <w:tc>
          <w:tcPr>
            <w:tcW w:w="7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7220" w:type="dxa"/>
            <w:vAlign w:val="bottom"/>
          </w:tcPr>
          <w:p>
            <w:pPr>
              <w:spacing w:after="0"/>
              <w:rPr>
                <w:sz w:val="20"/>
                <w:szCs w:val="20"/>
                <w:color w:val="auto"/>
              </w:rPr>
            </w:pPr>
            <w:r>
              <w:rPr>
                <w:rFonts w:ascii="Arial" w:cs="Arial" w:eastAsia="Arial" w:hAnsi="Arial"/>
                <w:sz w:val="16"/>
                <w:szCs w:val="16"/>
                <w:color w:val="auto"/>
              </w:rPr>
              <w:t>Investments at fair value</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Investments (cost—$408,251,402 and $494,413,190, respectively)</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392,986,090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488,549,847</w:t>
            </w:r>
          </w:p>
        </w:tc>
        <w:tc>
          <w:tcPr>
            <w:tcW w:w="100" w:type="dxa"/>
            <w:vAlign w:val="bottom"/>
            <w:shd w:val="clear" w:color="auto" w:fill="CFF0FC"/>
          </w:tcPr>
          <w:p>
            <w:pPr>
              <w:spacing w:after="0"/>
              <w:rPr>
                <w:sz w:val="19"/>
                <w:szCs w:val="19"/>
                <w:color w:val="auto"/>
              </w:rPr>
            </w:pPr>
          </w:p>
        </w:tc>
      </w:tr>
      <w:tr>
        <w:trPr>
          <w:trHeight w:val="213"/>
        </w:trPr>
        <w:tc>
          <w:tcPr>
            <w:tcW w:w="7220" w:type="dxa"/>
            <w:vAlign w:val="bottom"/>
          </w:tcPr>
          <w:p>
            <w:pPr>
              <w:spacing w:after="0"/>
              <w:rPr>
                <w:sz w:val="20"/>
                <w:szCs w:val="20"/>
                <w:color w:val="auto"/>
              </w:rPr>
            </w:pPr>
            <w:r>
              <w:rPr>
                <w:rFonts w:ascii="Arial" w:cs="Arial" w:eastAsia="Arial" w:hAnsi="Arial"/>
                <w:sz w:val="16"/>
                <w:szCs w:val="16"/>
                <w:color w:val="auto"/>
              </w:rPr>
              <w:t>Cash and cash equivalents (cost—$11,115,373 and $15,322,531, respectively)</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11,121,479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15,294,881</w:t>
            </w:r>
          </w:p>
        </w:tc>
        <w:tc>
          <w:tcPr>
            <w:tcW w:w="100" w:type="dxa"/>
            <w:vAlign w:val="bottom"/>
          </w:tcPr>
          <w:p>
            <w:pPr>
              <w:spacing w:after="0"/>
              <w:rPr>
                <w:sz w:val="18"/>
                <w:szCs w:val="18"/>
                <w:color w:val="auto"/>
              </w:rPr>
            </w:pPr>
          </w:p>
        </w:tc>
      </w:tr>
      <w:tr>
        <w:trPr>
          <w:trHeight w:val="219"/>
        </w:trPr>
        <w:tc>
          <w:tcPr>
            <w:tcW w:w="7220" w:type="dxa"/>
            <w:vAlign w:val="bottom"/>
            <w:shd w:val="clear" w:color="auto" w:fill="CFF0FC"/>
          </w:tcPr>
          <w:p>
            <w:pPr>
              <w:spacing w:after="0"/>
              <w:rPr>
                <w:sz w:val="20"/>
                <w:szCs w:val="20"/>
                <w:color w:val="auto"/>
              </w:rPr>
            </w:pPr>
            <w:r>
              <w:rPr>
                <w:rFonts w:ascii="Arial" w:cs="Arial" w:eastAsia="Arial" w:hAnsi="Arial"/>
                <w:sz w:val="16"/>
                <w:szCs w:val="16"/>
                <w:color w:val="auto"/>
              </w:rPr>
              <w:t>Interest receivable</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2,235,595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1,855,545</w:t>
            </w:r>
          </w:p>
        </w:tc>
        <w:tc>
          <w:tcPr>
            <w:tcW w:w="100" w:type="dxa"/>
            <w:vAlign w:val="bottom"/>
            <w:shd w:val="clear" w:color="auto" w:fill="CFF0FC"/>
          </w:tcPr>
          <w:p>
            <w:pPr>
              <w:spacing w:after="0"/>
              <w:rPr>
                <w:sz w:val="19"/>
                <w:szCs w:val="19"/>
                <w:color w:val="auto"/>
              </w:rPr>
            </w:pPr>
          </w:p>
        </w:tc>
      </w:tr>
      <w:tr>
        <w:trPr>
          <w:trHeight w:val="213"/>
        </w:trPr>
        <w:tc>
          <w:tcPr>
            <w:tcW w:w="7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Prepaid expenses and other assets</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62,812</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996,333</w:t>
            </w:r>
          </w:p>
        </w:tc>
        <w:tc>
          <w:tcPr>
            <w:tcW w:w="100" w:type="dxa"/>
            <w:vAlign w:val="bottom"/>
            <w:tcBorders>
              <w:bottom w:val="single" w:sz="8" w:color="CFF0FC"/>
            </w:tcBorders>
          </w:tcPr>
          <w:p>
            <w:pPr>
              <w:spacing w:after="0"/>
              <w:rPr>
                <w:sz w:val="18"/>
                <w:szCs w:val="18"/>
                <w:color w:val="auto"/>
              </w:rPr>
            </w:pPr>
          </w:p>
        </w:tc>
      </w:tr>
      <w:tr>
        <w:trPr>
          <w:trHeight w:val="213"/>
        </w:trPr>
        <w:tc>
          <w:tcPr>
            <w:tcW w:w="7220" w:type="dxa"/>
            <w:vAlign w:val="bottom"/>
            <w:shd w:val="clear" w:color="auto" w:fill="CFF0FC"/>
          </w:tcPr>
          <w:p>
            <w:pPr>
              <w:ind w:left="62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406,405,976</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506,696,606</w:t>
            </w:r>
          </w:p>
        </w:tc>
        <w:tc>
          <w:tcPr>
            <w:tcW w:w="100" w:type="dxa"/>
            <w:vAlign w:val="bottom"/>
            <w:shd w:val="clear" w:color="auto" w:fill="CFF0FC"/>
          </w:tcPr>
          <w:p>
            <w:pPr>
              <w:spacing w:after="0"/>
              <w:rPr>
                <w:sz w:val="18"/>
                <w:szCs w:val="18"/>
                <w:color w:val="auto"/>
              </w:rPr>
            </w:pPr>
          </w:p>
        </w:tc>
      </w:tr>
      <w:tr>
        <w:trPr>
          <w:trHeight w:val="207"/>
        </w:trPr>
        <w:tc>
          <w:tcPr>
            <w:tcW w:w="722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7220" w:type="dxa"/>
            <w:vAlign w:val="bottom"/>
            <w:shd w:val="clear" w:color="auto" w:fill="CFF0FC"/>
          </w:tcPr>
          <w:p>
            <w:pPr>
              <w:spacing w:after="0"/>
              <w:rPr>
                <w:sz w:val="20"/>
                <w:szCs w:val="20"/>
                <w:color w:val="auto"/>
              </w:rPr>
            </w:pPr>
            <w:r>
              <w:rPr>
                <w:rFonts w:ascii="Arial" w:cs="Arial" w:eastAsia="Arial" w:hAnsi="Arial"/>
                <w:sz w:val="16"/>
                <w:szCs w:val="16"/>
                <w:color w:val="auto"/>
              </w:rPr>
              <w:t>Credit Facility payable</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216,969,469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308,724,305</w:t>
            </w:r>
          </w:p>
        </w:tc>
        <w:tc>
          <w:tcPr>
            <w:tcW w:w="100" w:type="dxa"/>
            <w:vAlign w:val="bottom"/>
            <w:shd w:val="clear" w:color="auto" w:fill="CFF0FC"/>
          </w:tcPr>
          <w:p>
            <w:pPr>
              <w:spacing w:after="0"/>
              <w:rPr>
                <w:sz w:val="19"/>
                <w:szCs w:val="19"/>
                <w:color w:val="auto"/>
              </w:rPr>
            </w:pPr>
          </w:p>
        </w:tc>
      </w:tr>
      <w:tr>
        <w:trPr>
          <w:trHeight w:val="213"/>
        </w:trPr>
        <w:tc>
          <w:tcPr>
            <w:tcW w:w="7220" w:type="dxa"/>
            <w:vAlign w:val="bottom"/>
          </w:tcPr>
          <w:p>
            <w:pPr>
              <w:spacing w:after="0"/>
              <w:rPr>
                <w:sz w:val="20"/>
                <w:szCs w:val="20"/>
                <w:color w:val="auto"/>
              </w:rPr>
            </w:pPr>
            <w:r>
              <w:rPr>
                <w:rFonts w:ascii="Arial" w:cs="Arial" w:eastAsia="Arial" w:hAnsi="Arial"/>
                <w:sz w:val="16"/>
                <w:szCs w:val="16"/>
                <w:color w:val="auto"/>
              </w:rPr>
              <w:t>Notes payable to members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143,290,000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139,650,000</w:t>
            </w:r>
          </w:p>
        </w:tc>
        <w:tc>
          <w:tcPr>
            <w:tcW w:w="100" w:type="dxa"/>
            <w:vAlign w:val="bottom"/>
          </w:tcPr>
          <w:p>
            <w:pPr>
              <w:spacing w:after="0"/>
              <w:rPr>
                <w:sz w:val="18"/>
                <w:szCs w:val="18"/>
                <w:color w:val="auto"/>
              </w:rPr>
            </w:pPr>
          </w:p>
        </w:tc>
      </w:tr>
      <w:tr>
        <w:trPr>
          <w:trHeight w:val="219"/>
        </w:trPr>
        <w:tc>
          <w:tcPr>
            <w:tcW w:w="7220" w:type="dxa"/>
            <w:vAlign w:val="bottom"/>
            <w:shd w:val="clear" w:color="auto" w:fill="CFF0FC"/>
          </w:tcPr>
          <w:p>
            <w:pPr>
              <w:spacing w:after="0"/>
              <w:rPr>
                <w:sz w:val="20"/>
                <w:szCs w:val="20"/>
                <w:color w:val="auto"/>
              </w:rPr>
            </w:pPr>
            <w:r>
              <w:rPr>
                <w:rFonts w:ascii="Arial" w:cs="Arial" w:eastAsia="Arial" w:hAnsi="Arial"/>
                <w:sz w:val="16"/>
                <w:szCs w:val="16"/>
                <w:color w:val="auto"/>
              </w:rPr>
              <w:t>Interest payable on Credit Facility</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490,858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1,152,544</w:t>
            </w:r>
          </w:p>
        </w:tc>
        <w:tc>
          <w:tcPr>
            <w:tcW w:w="100" w:type="dxa"/>
            <w:vAlign w:val="bottom"/>
            <w:shd w:val="clear" w:color="auto" w:fill="CFF0FC"/>
          </w:tcPr>
          <w:p>
            <w:pPr>
              <w:spacing w:after="0"/>
              <w:rPr>
                <w:sz w:val="19"/>
                <w:szCs w:val="19"/>
                <w:color w:val="auto"/>
              </w:rPr>
            </w:pPr>
          </w:p>
        </w:tc>
      </w:tr>
      <w:tr>
        <w:trPr>
          <w:trHeight w:val="213"/>
        </w:trPr>
        <w:tc>
          <w:tcPr>
            <w:tcW w:w="7220" w:type="dxa"/>
            <w:vAlign w:val="bottom"/>
          </w:tcPr>
          <w:p>
            <w:pPr>
              <w:spacing w:after="0"/>
              <w:rPr>
                <w:sz w:val="20"/>
                <w:szCs w:val="20"/>
                <w:color w:val="auto"/>
              </w:rPr>
            </w:pPr>
            <w:r>
              <w:rPr>
                <w:rFonts w:ascii="Arial" w:cs="Arial" w:eastAsia="Arial" w:hAnsi="Arial"/>
                <w:sz w:val="16"/>
                <w:szCs w:val="16"/>
                <w:color w:val="auto"/>
              </w:rPr>
              <w:t>Interest payable on notes to members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32,719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39,197</w:t>
            </w:r>
          </w:p>
        </w:tc>
        <w:tc>
          <w:tcPr>
            <w:tcW w:w="100" w:type="dxa"/>
            <w:vAlign w:val="bottom"/>
          </w:tcPr>
          <w:p>
            <w:pPr>
              <w:spacing w:after="0"/>
              <w:rPr>
                <w:sz w:val="18"/>
                <w:szCs w:val="18"/>
                <w:color w:val="auto"/>
              </w:rPr>
            </w:pPr>
          </w:p>
        </w:tc>
      </w:tr>
      <w:tr>
        <w:trPr>
          <w:trHeight w:val="219"/>
        </w:trPr>
        <w:tc>
          <w:tcPr>
            <w:tcW w:w="7220" w:type="dxa"/>
            <w:vAlign w:val="bottom"/>
            <w:shd w:val="clear" w:color="auto" w:fill="CFF0FC"/>
          </w:tcPr>
          <w:p>
            <w:pPr>
              <w:spacing w:after="0"/>
              <w:rPr>
                <w:sz w:val="20"/>
                <w:szCs w:val="20"/>
                <w:color w:val="auto"/>
              </w:rPr>
            </w:pPr>
            <w:r>
              <w:rPr>
                <w:rFonts w:ascii="Arial" w:cs="Arial" w:eastAsia="Arial" w:hAnsi="Arial"/>
                <w:sz w:val="16"/>
                <w:szCs w:val="16"/>
                <w:color w:val="auto"/>
              </w:rPr>
              <w:t>Accrued other expenses</w:t>
            </w:r>
          </w:p>
        </w:tc>
        <w:tc>
          <w:tcPr>
            <w:tcW w:w="1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10,845</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22,754</w:t>
            </w:r>
          </w:p>
        </w:tc>
        <w:tc>
          <w:tcPr>
            <w:tcW w:w="100" w:type="dxa"/>
            <w:vAlign w:val="bottom"/>
            <w:shd w:val="clear" w:color="auto" w:fill="CFF0FC"/>
          </w:tcPr>
          <w:p>
            <w:pPr>
              <w:spacing w:after="0"/>
              <w:rPr>
                <w:sz w:val="19"/>
                <w:szCs w:val="19"/>
                <w:color w:val="auto"/>
              </w:rPr>
            </w:pPr>
          </w:p>
        </w:tc>
      </w:tr>
      <w:tr>
        <w:trPr>
          <w:trHeight w:val="207"/>
        </w:trPr>
        <w:tc>
          <w:tcPr>
            <w:tcW w:w="7220" w:type="dxa"/>
            <w:vAlign w:val="bottom"/>
            <w:tcBorders>
              <w:bottom w:val="single" w:sz="8" w:color="CFF0FC"/>
            </w:tcBorders>
          </w:tcPr>
          <w:p>
            <w:pPr>
              <w:ind w:left="6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360,793,891</w:t>
            </w:r>
          </w:p>
        </w:tc>
        <w:tc>
          <w:tcPr>
            <w:tcW w:w="2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449,588,800</w:t>
            </w:r>
          </w:p>
        </w:tc>
        <w:tc>
          <w:tcPr>
            <w:tcW w:w="100" w:type="dxa"/>
            <w:vAlign w:val="bottom"/>
            <w:tcBorders>
              <w:bottom w:val="single" w:sz="8" w:color="CFF0FC"/>
            </w:tcBorders>
          </w:tcPr>
          <w:p>
            <w:pPr>
              <w:spacing w:after="0"/>
              <w:rPr>
                <w:sz w:val="17"/>
                <w:szCs w:val="17"/>
                <w:color w:val="auto"/>
              </w:rPr>
            </w:pPr>
          </w:p>
        </w:tc>
      </w:tr>
      <w:tr>
        <w:trPr>
          <w:trHeight w:val="212"/>
        </w:trPr>
        <w:tc>
          <w:tcPr>
            <w:tcW w:w="7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Members’ equity</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220" w:type="dxa"/>
            <w:vAlign w:val="bottom"/>
          </w:tcPr>
          <w:p>
            <w:pPr>
              <w:spacing w:after="0"/>
              <w:rPr>
                <w:sz w:val="20"/>
                <w:szCs w:val="20"/>
                <w:color w:val="auto"/>
              </w:rPr>
            </w:pPr>
            <w:r>
              <w:rPr>
                <w:rFonts w:ascii="Arial" w:cs="Arial" w:eastAsia="Arial" w:hAnsi="Arial"/>
                <w:sz w:val="16"/>
                <w:szCs w:val="16"/>
                <w:color w:val="auto"/>
              </w:rPr>
              <w:t>Paid-in capital</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61,410,000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59,850,000</w:t>
            </w:r>
          </w:p>
        </w:tc>
        <w:tc>
          <w:tcPr>
            <w:tcW w:w="100" w:type="dxa"/>
            <w:vAlign w:val="bottom"/>
          </w:tcPr>
          <w:p>
            <w:pPr>
              <w:spacing w:after="0"/>
              <w:rPr>
                <w:sz w:val="18"/>
                <w:szCs w:val="18"/>
                <w:color w:val="auto"/>
              </w:rPr>
            </w:pPr>
          </w:p>
        </w:tc>
      </w:tr>
      <w:tr>
        <w:trPr>
          <w:trHeight w:val="219"/>
        </w:trPr>
        <w:tc>
          <w:tcPr>
            <w:tcW w:w="7220" w:type="dxa"/>
            <w:vAlign w:val="bottom"/>
            <w:shd w:val="clear" w:color="auto" w:fill="CFF0FC"/>
          </w:tcPr>
          <w:p>
            <w:pPr>
              <w:spacing w:after="0"/>
              <w:rPr>
                <w:sz w:val="20"/>
                <w:szCs w:val="20"/>
                <w:color w:val="auto"/>
              </w:rPr>
            </w:pPr>
            <w:r>
              <w:rPr>
                <w:rFonts w:ascii="Arial" w:cs="Arial" w:eastAsia="Arial" w:hAnsi="Arial"/>
                <w:sz w:val="16"/>
                <w:szCs w:val="16"/>
                <w:color w:val="auto"/>
              </w:rPr>
              <w:t>Undistributed net investment income</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638,076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1,121,794</w:t>
            </w:r>
          </w:p>
        </w:tc>
        <w:tc>
          <w:tcPr>
            <w:tcW w:w="100" w:type="dxa"/>
            <w:vAlign w:val="bottom"/>
            <w:shd w:val="clear" w:color="auto" w:fill="CFF0FC"/>
          </w:tcPr>
          <w:p>
            <w:pPr>
              <w:spacing w:after="0"/>
              <w:rPr>
                <w:sz w:val="19"/>
                <w:szCs w:val="19"/>
                <w:color w:val="auto"/>
              </w:rPr>
            </w:pPr>
          </w:p>
        </w:tc>
      </w:tr>
      <w:tr>
        <w:trPr>
          <w:trHeight w:val="213"/>
        </w:trPr>
        <w:tc>
          <w:tcPr>
            <w:tcW w:w="7220" w:type="dxa"/>
            <w:vAlign w:val="bottom"/>
          </w:tcPr>
          <w:p>
            <w:pPr>
              <w:spacing w:after="0"/>
              <w:rPr>
                <w:sz w:val="20"/>
                <w:szCs w:val="20"/>
                <w:color w:val="auto"/>
              </w:rPr>
            </w:pPr>
            <w:r>
              <w:rPr>
                <w:rFonts w:ascii="Arial" w:cs="Arial" w:eastAsia="Arial" w:hAnsi="Arial"/>
                <w:sz w:val="16"/>
                <w:szCs w:val="16"/>
                <w:color w:val="auto"/>
              </w:rPr>
              <w:t>Net realized loss on investments</w:t>
            </w:r>
          </w:p>
        </w:tc>
        <w:tc>
          <w:tcPr>
            <w:tcW w:w="16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6"/>
                <w:szCs w:val="16"/>
                <w:color w:val="auto"/>
              </w:rPr>
              <w:t>(1,665,908)</w:t>
            </w:r>
          </w:p>
        </w:tc>
        <w:tc>
          <w:tcPr>
            <w:tcW w:w="1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6"/>
                <w:szCs w:val="16"/>
                <w:color w:val="auto"/>
              </w:rPr>
              <w:t>(672,934)</w:t>
            </w:r>
          </w:p>
        </w:tc>
      </w:tr>
      <w:tr>
        <w:trPr>
          <w:trHeight w:val="219"/>
        </w:trPr>
        <w:tc>
          <w:tcPr>
            <w:tcW w:w="7220" w:type="dxa"/>
            <w:vAlign w:val="bottom"/>
            <w:shd w:val="clear" w:color="auto" w:fill="CFF0FC"/>
          </w:tcPr>
          <w:p>
            <w:pPr>
              <w:spacing w:after="0"/>
              <w:rPr>
                <w:sz w:val="20"/>
                <w:szCs w:val="20"/>
                <w:color w:val="auto"/>
              </w:rPr>
            </w:pPr>
            <w:r>
              <w:rPr>
                <w:rFonts w:ascii="Arial" w:cs="Arial" w:eastAsia="Arial" w:hAnsi="Arial"/>
                <w:sz w:val="16"/>
                <w:szCs w:val="16"/>
                <w:color w:val="auto"/>
              </w:rPr>
              <w:t>Net unrealized depreciation on investments</w:t>
            </w:r>
          </w:p>
        </w:tc>
        <w:tc>
          <w:tcPr>
            <w:tcW w:w="16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(15,259,116)</w:t>
            </w:r>
          </w:p>
        </w:tc>
        <w:tc>
          <w:tcPr>
            <w:tcW w:w="1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(5,890,994)</w:t>
            </w:r>
          </w:p>
        </w:tc>
      </w:tr>
      <w:tr>
        <w:trPr>
          <w:trHeight w:val="213"/>
        </w:trPr>
        <w:tc>
          <w:tcPr>
            <w:tcW w:w="7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unrealized depreciation on Credit Facility foreign currency translations</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489,033</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2,699,940</w:t>
            </w:r>
          </w:p>
        </w:tc>
        <w:tc>
          <w:tcPr>
            <w:tcW w:w="100" w:type="dxa"/>
            <w:vAlign w:val="bottom"/>
            <w:tcBorders>
              <w:bottom w:val="single" w:sz="8" w:color="CFF0FC"/>
            </w:tcBorders>
          </w:tcPr>
          <w:p>
            <w:pPr>
              <w:spacing w:after="0"/>
              <w:rPr>
                <w:sz w:val="18"/>
                <w:szCs w:val="18"/>
                <w:color w:val="auto"/>
              </w:rPr>
            </w:pPr>
          </w:p>
        </w:tc>
      </w:tr>
      <w:tr>
        <w:trPr>
          <w:trHeight w:val="213"/>
        </w:trPr>
        <w:tc>
          <w:tcPr>
            <w:tcW w:w="7220" w:type="dxa"/>
            <w:vAlign w:val="bottom"/>
            <w:shd w:val="clear" w:color="auto" w:fill="CFF0FC"/>
          </w:tcPr>
          <w:p>
            <w:pPr>
              <w:ind w:left="620"/>
              <w:spacing w:after="0"/>
              <w:rPr>
                <w:sz w:val="20"/>
                <w:szCs w:val="20"/>
                <w:color w:val="auto"/>
              </w:rPr>
            </w:pPr>
            <w:r>
              <w:rPr>
                <w:rFonts w:ascii="Arial" w:cs="Arial" w:eastAsia="Arial" w:hAnsi="Arial"/>
                <w:sz w:val="16"/>
                <w:szCs w:val="16"/>
                <w:b w:val="1"/>
                <w:bCs w:val="1"/>
                <w:color w:val="auto"/>
              </w:rPr>
              <w:t>Total members’ equity</w:t>
            </w:r>
          </w:p>
        </w:tc>
        <w:tc>
          <w:tcPr>
            <w:tcW w:w="1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45,612,085</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57,107,806</w:t>
            </w:r>
          </w:p>
        </w:tc>
        <w:tc>
          <w:tcPr>
            <w:tcW w:w="100" w:type="dxa"/>
            <w:vAlign w:val="bottom"/>
            <w:shd w:val="clear" w:color="auto" w:fill="CFF0FC"/>
          </w:tcPr>
          <w:p>
            <w:pPr>
              <w:spacing w:after="0"/>
              <w:rPr>
                <w:sz w:val="18"/>
                <w:szCs w:val="18"/>
                <w:color w:val="auto"/>
              </w:rPr>
            </w:pPr>
          </w:p>
        </w:tc>
      </w:tr>
      <w:tr>
        <w:trPr>
          <w:trHeight w:val="206"/>
        </w:trPr>
        <w:tc>
          <w:tcPr>
            <w:tcW w:w="7220" w:type="dxa"/>
            <w:vAlign w:val="bottom"/>
          </w:tcPr>
          <w:p>
            <w:pPr>
              <w:ind w:left="620"/>
              <w:spacing w:after="0"/>
              <w:rPr>
                <w:sz w:val="20"/>
                <w:szCs w:val="20"/>
                <w:color w:val="auto"/>
              </w:rPr>
            </w:pPr>
            <w:r>
              <w:rPr>
                <w:rFonts w:ascii="Arial" w:cs="Arial" w:eastAsia="Arial" w:hAnsi="Arial"/>
                <w:sz w:val="16"/>
                <w:szCs w:val="16"/>
                <w:b w:val="1"/>
                <w:bCs w:val="1"/>
                <w:color w:val="auto"/>
              </w:rPr>
              <w:t>Total liabilities and members’ equity</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406,405,976</w:t>
            </w:r>
          </w:p>
        </w:tc>
        <w:tc>
          <w:tcPr>
            <w:tcW w:w="26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506,696,606</w:t>
            </w:r>
          </w:p>
        </w:tc>
        <w:tc>
          <w:tcPr>
            <w:tcW w:w="100" w:type="dxa"/>
            <w:vAlign w:val="bottom"/>
          </w:tcPr>
          <w:p>
            <w:pPr>
              <w:spacing w:after="0"/>
              <w:rPr>
                <w:sz w:val="17"/>
                <w:szCs w:val="17"/>
                <w:color w:val="auto"/>
              </w:rPr>
            </w:pPr>
          </w:p>
        </w:tc>
      </w:tr>
      <w:tr>
        <w:trPr>
          <w:trHeight w:val="20"/>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32" w:name="page133"/>
    <w:bookmarkEnd w:id="132"/>
    <w:p>
      <w:pPr>
        <w:jc w:val="center"/>
        <w:ind w:right="120"/>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ind w:right="439"/>
              <w:spacing w:after="0"/>
              <w:rPr>
                <w:sz w:val="20"/>
                <w:szCs w:val="20"/>
                <w:color w:val="auto"/>
              </w:rPr>
            </w:pPr>
            <w:r>
              <w:rPr>
                <w:rFonts w:ascii="Arial" w:cs="Arial" w:eastAsia="Arial" w:hAnsi="Arial"/>
                <w:sz w:val="16"/>
                <w:szCs w:val="16"/>
                <w:b w:val="1"/>
                <w:bCs w:val="1"/>
                <w:color w:val="auto"/>
              </w:rPr>
              <w:t>Year Ended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Year Ended</w:t>
            </w:r>
          </w:p>
        </w:tc>
      </w:tr>
      <w:tr>
        <w:trPr>
          <w:trHeight w:val="219"/>
        </w:trPr>
        <w:tc>
          <w:tcPr>
            <w:tcW w:w="49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September 30, 2020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September 30, 2019</w:t>
            </w:r>
          </w:p>
        </w:tc>
      </w:tr>
      <w:tr>
        <w:trPr>
          <w:trHeight w:val="212"/>
        </w:trPr>
        <w:tc>
          <w:tcPr>
            <w:tcW w:w="498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6"/>
                <w:szCs w:val="16"/>
                <w:b w:val="1"/>
                <w:bCs w:val="1"/>
                <w:color w:val="auto"/>
              </w:rPr>
              <w:t>Investment income:</w:t>
            </w:r>
          </w:p>
        </w:tc>
        <w:tc>
          <w:tcPr>
            <w:tcW w:w="1980" w:type="dxa"/>
            <w:vAlign w:val="bottom"/>
            <w:tcBorders>
              <w:top w:val="single" w:sz="8" w:color="CCECFF"/>
            </w:tcBorders>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spacing w:after="0"/>
              <w:rPr>
                <w:sz w:val="18"/>
                <w:szCs w:val="18"/>
                <w:color w:val="auto"/>
              </w:rPr>
            </w:pPr>
          </w:p>
        </w:tc>
        <w:tc>
          <w:tcPr>
            <w:tcW w:w="1680" w:type="dxa"/>
            <w:vAlign w:val="bottom"/>
            <w:tcBorders>
              <w:top w:val="single" w:sz="8" w:color="auto"/>
            </w:tcBorders>
            <w:shd w:val="clear" w:color="auto" w:fill="CCECFF"/>
          </w:tcPr>
          <w:p>
            <w:pPr>
              <w:spacing w:after="0"/>
              <w:rPr>
                <w:sz w:val="18"/>
                <w:szCs w:val="18"/>
                <w:color w:val="auto"/>
              </w:rPr>
            </w:pPr>
          </w:p>
        </w:tc>
        <w:tc>
          <w:tcPr>
            <w:tcW w:w="300" w:type="dxa"/>
            <w:vAlign w:val="bottom"/>
            <w:tcBorders>
              <w:top w:val="single" w:sz="8" w:color="CCECFF"/>
            </w:tcBorders>
            <w:shd w:val="clear" w:color="auto" w:fill="CCECFF"/>
          </w:tcPr>
          <w:p>
            <w:pPr>
              <w:spacing w:after="0"/>
              <w:rPr>
                <w:sz w:val="18"/>
                <w:szCs w:val="18"/>
                <w:color w:val="auto"/>
              </w:rPr>
            </w:pPr>
          </w:p>
        </w:tc>
        <w:tc>
          <w:tcPr>
            <w:tcW w:w="200" w:type="dxa"/>
            <w:vAlign w:val="bottom"/>
            <w:tcBorders>
              <w:top w:val="single" w:sz="8" w:color="auto"/>
            </w:tcBorders>
            <w:shd w:val="clear" w:color="auto" w:fill="CCECFF"/>
          </w:tcPr>
          <w:p>
            <w:pPr>
              <w:spacing w:after="0"/>
              <w:rPr>
                <w:sz w:val="18"/>
                <w:szCs w:val="18"/>
                <w:color w:val="auto"/>
              </w:rPr>
            </w:pPr>
          </w:p>
        </w:tc>
        <w:tc>
          <w:tcPr>
            <w:tcW w:w="1840" w:type="dxa"/>
            <w:vAlign w:val="bottom"/>
            <w:tcBorders>
              <w:top w:val="single" w:sz="8" w:color="auto"/>
            </w:tcBorders>
            <w:shd w:val="clear" w:color="auto" w:fill="CCECFF"/>
          </w:tcPr>
          <w:p>
            <w:pPr>
              <w:spacing w:after="0"/>
              <w:rPr>
                <w:sz w:val="18"/>
                <w:szCs w:val="18"/>
                <w:color w:val="auto"/>
              </w:rPr>
            </w:pPr>
          </w:p>
        </w:tc>
        <w:tc>
          <w:tcPr>
            <w:tcW w:w="100" w:type="dxa"/>
            <w:vAlign w:val="bottom"/>
            <w:tcBorders>
              <w:top w:val="single" w:sz="8" w:color="CCECFF"/>
            </w:tcBorders>
            <w:shd w:val="clear" w:color="auto" w:fill="CCECFF"/>
          </w:tcPr>
          <w:p>
            <w:pPr>
              <w:spacing w:after="0"/>
              <w:rPr>
                <w:sz w:val="18"/>
                <w:szCs w:val="18"/>
                <w:color w:val="auto"/>
              </w:rPr>
            </w:pPr>
          </w:p>
        </w:tc>
      </w:tr>
      <w:tr>
        <w:trPr>
          <w:trHeight w:val="213"/>
        </w:trPr>
        <w:tc>
          <w:tcPr>
            <w:tcW w:w="4980" w:type="dxa"/>
            <w:vAlign w:val="bottom"/>
          </w:tcPr>
          <w:p>
            <w:pPr>
              <w:ind w:left="260"/>
              <w:spacing w:after="0"/>
              <w:rPr>
                <w:sz w:val="20"/>
                <w:szCs w:val="20"/>
                <w:color w:val="auto"/>
              </w:rPr>
            </w:pPr>
            <w:r>
              <w:rPr>
                <w:rFonts w:ascii="Arial" w:cs="Arial" w:eastAsia="Arial" w:hAnsi="Arial"/>
                <w:sz w:val="16"/>
                <w:szCs w:val="16"/>
                <w:color w:val="auto"/>
              </w:rPr>
              <w:t>Interest</w:t>
            </w:r>
          </w:p>
        </w:tc>
        <w:tc>
          <w:tcPr>
            <w:tcW w:w="21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33,260,154</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39,288,981</w:t>
            </w:r>
          </w:p>
        </w:tc>
        <w:tc>
          <w:tcPr>
            <w:tcW w:w="100" w:type="dxa"/>
            <w:vAlign w:val="bottom"/>
          </w:tcPr>
          <w:p>
            <w:pPr>
              <w:spacing w:after="0"/>
              <w:rPr>
                <w:sz w:val="18"/>
                <w:szCs w:val="18"/>
                <w:color w:val="auto"/>
              </w:rPr>
            </w:pPr>
          </w:p>
        </w:tc>
      </w:tr>
      <w:tr>
        <w:trPr>
          <w:trHeight w:val="219"/>
        </w:trPr>
        <w:tc>
          <w:tcPr>
            <w:tcW w:w="4980" w:type="dxa"/>
            <w:vAlign w:val="bottom"/>
            <w:shd w:val="clear" w:color="auto" w:fill="CCECFF"/>
          </w:tcPr>
          <w:p>
            <w:pPr>
              <w:ind w:left="260"/>
              <w:spacing w:after="0"/>
              <w:rPr>
                <w:sz w:val="20"/>
                <w:szCs w:val="20"/>
                <w:color w:val="auto"/>
              </w:rPr>
            </w:pPr>
            <w:r>
              <w:rPr>
                <w:rFonts w:ascii="Arial" w:cs="Arial" w:eastAsia="Arial" w:hAnsi="Arial"/>
                <w:sz w:val="16"/>
                <w:szCs w:val="16"/>
                <w:color w:val="auto"/>
              </w:rPr>
              <w:t>Other income</w:t>
            </w:r>
          </w:p>
        </w:tc>
        <w:tc>
          <w:tcPr>
            <w:tcW w:w="1980" w:type="dxa"/>
            <w:vAlign w:val="bottom"/>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138,795</w:t>
            </w:r>
          </w:p>
        </w:tc>
        <w:tc>
          <w:tcPr>
            <w:tcW w:w="300" w:type="dxa"/>
            <w:vAlign w:val="bottom"/>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spacing w:after="0"/>
              <w:rPr>
                <w:sz w:val="19"/>
                <w:szCs w:val="19"/>
                <w:color w:val="auto"/>
              </w:rPr>
            </w:pPr>
          </w:p>
        </w:tc>
        <w:tc>
          <w:tcPr>
            <w:tcW w:w="1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785,111</w:t>
            </w:r>
          </w:p>
        </w:tc>
        <w:tc>
          <w:tcPr>
            <w:tcW w:w="100" w:type="dxa"/>
            <w:vAlign w:val="bottom"/>
            <w:shd w:val="clear" w:color="auto" w:fill="CCECFF"/>
          </w:tcPr>
          <w:p>
            <w:pPr>
              <w:spacing w:after="0"/>
              <w:rPr>
                <w:sz w:val="19"/>
                <w:szCs w:val="19"/>
                <w:color w:val="auto"/>
              </w:rPr>
            </w:pPr>
          </w:p>
        </w:tc>
      </w:tr>
      <w:tr>
        <w:trPr>
          <w:trHeight w:val="207"/>
        </w:trPr>
        <w:tc>
          <w:tcPr>
            <w:tcW w:w="4980" w:type="dxa"/>
            <w:vAlign w:val="bottom"/>
            <w:tcBorders>
              <w:bottom w:val="single" w:sz="8" w:color="CCECFF"/>
            </w:tcBorders>
          </w:tcPr>
          <w:p>
            <w:pPr>
              <w:spacing w:after="0"/>
              <w:rPr>
                <w:sz w:val="20"/>
                <w:szCs w:val="20"/>
                <w:color w:val="auto"/>
              </w:rPr>
            </w:pPr>
            <w:r>
              <w:rPr>
                <w:rFonts w:ascii="Arial" w:cs="Arial" w:eastAsia="Arial" w:hAnsi="Arial"/>
                <w:sz w:val="16"/>
                <w:szCs w:val="16"/>
                <w:b w:val="1"/>
                <w:bCs w:val="1"/>
                <w:color w:val="auto"/>
              </w:rPr>
              <w:t>Total investment income</w:t>
            </w:r>
          </w:p>
        </w:tc>
        <w:tc>
          <w:tcPr>
            <w:tcW w:w="198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33,398,949</w:t>
            </w:r>
          </w:p>
        </w:tc>
        <w:tc>
          <w:tcPr>
            <w:tcW w:w="30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40,074,092</w:t>
            </w:r>
          </w:p>
        </w:tc>
        <w:tc>
          <w:tcPr>
            <w:tcW w:w="100" w:type="dxa"/>
            <w:vAlign w:val="bottom"/>
            <w:tcBorders>
              <w:bottom w:val="single" w:sz="8" w:color="CCECFF"/>
            </w:tcBorders>
          </w:tcPr>
          <w:p>
            <w:pPr>
              <w:spacing w:after="0"/>
              <w:rPr>
                <w:sz w:val="17"/>
                <w:szCs w:val="17"/>
                <w:color w:val="auto"/>
              </w:rPr>
            </w:pPr>
          </w:p>
        </w:tc>
      </w:tr>
      <w:tr>
        <w:trPr>
          <w:trHeight w:val="213"/>
        </w:trPr>
        <w:tc>
          <w:tcPr>
            <w:tcW w:w="4980" w:type="dxa"/>
            <w:vAlign w:val="bottom"/>
            <w:shd w:val="clear" w:color="auto" w:fill="CCECFF"/>
          </w:tcPr>
          <w:p>
            <w:pPr>
              <w:spacing w:after="0"/>
              <w:rPr>
                <w:sz w:val="20"/>
                <w:szCs w:val="20"/>
                <w:color w:val="auto"/>
              </w:rPr>
            </w:pPr>
            <w:r>
              <w:rPr>
                <w:rFonts w:ascii="Arial" w:cs="Arial" w:eastAsia="Arial" w:hAnsi="Arial"/>
                <w:sz w:val="16"/>
                <w:szCs w:val="16"/>
                <w:b w:val="1"/>
                <w:bCs w:val="1"/>
                <w:color w:val="auto"/>
              </w:rPr>
              <w:t>Expenses:</w:t>
            </w:r>
          </w:p>
        </w:tc>
        <w:tc>
          <w:tcPr>
            <w:tcW w:w="19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68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8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3"/>
        </w:trPr>
        <w:tc>
          <w:tcPr>
            <w:tcW w:w="4980" w:type="dxa"/>
            <w:vAlign w:val="bottom"/>
          </w:tcPr>
          <w:p>
            <w:pPr>
              <w:ind w:left="260"/>
              <w:spacing w:after="0"/>
              <w:rPr>
                <w:sz w:val="20"/>
                <w:szCs w:val="20"/>
                <w:color w:val="auto"/>
              </w:rPr>
            </w:pPr>
            <w:r>
              <w:rPr>
                <w:rFonts w:ascii="Arial" w:cs="Arial" w:eastAsia="Arial" w:hAnsi="Arial"/>
                <w:sz w:val="16"/>
                <w:szCs w:val="16"/>
                <w:color w:val="auto"/>
              </w:rPr>
              <w:t>Interest expense on Credit Facility</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11,865,971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16,487,783</w:t>
            </w:r>
          </w:p>
        </w:tc>
        <w:tc>
          <w:tcPr>
            <w:tcW w:w="100" w:type="dxa"/>
            <w:vAlign w:val="bottom"/>
          </w:tcPr>
          <w:p>
            <w:pPr>
              <w:spacing w:after="0"/>
              <w:rPr>
                <w:sz w:val="18"/>
                <w:szCs w:val="18"/>
                <w:color w:val="auto"/>
              </w:rPr>
            </w:pPr>
          </w:p>
        </w:tc>
      </w:tr>
      <w:tr>
        <w:trPr>
          <w:trHeight w:val="219"/>
        </w:trPr>
        <w:tc>
          <w:tcPr>
            <w:tcW w:w="4980" w:type="dxa"/>
            <w:vAlign w:val="bottom"/>
            <w:shd w:val="clear" w:color="auto" w:fill="CCECFF"/>
          </w:tcPr>
          <w:p>
            <w:pPr>
              <w:ind w:left="260"/>
              <w:spacing w:after="0"/>
              <w:rPr>
                <w:sz w:val="20"/>
                <w:szCs w:val="20"/>
                <w:color w:val="auto"/>
              </w:rPr>
            </w:pPr>
            <w:r>
              <w:rPr>
                <w:rFonts w:ascii="Arial" w:cs="Arial" w:eastAsia="Arial" w:hAnsi="Arial"/>
                <w:sz w:val="16"/>
                <w:szCs w:val="16"/>
                <w:color w:val="auto"/>
              </w:rPr>
              <w:t>Interest expense on notes to members</w:t>
            </w:r>
          </w:p>
        </w:tc>
        <w:tc>
          <w:tcPr>
            <w:tcW w:w="19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13,531,037</w:t>
            </w:r>
          </w:p>
        </w:tc>
        <w:tc>
          <w:tcPr>
            <w:tcW w:w="30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8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14,247,817</w:t>
            </w:r>
          </w:p>
        </w:tc>
        <w:tc>
          <w:tcPr>
            <w:tcW w:w="100" w:type="dxa"/>
            <w:vAlign w:val="bottom"/>
            <w:shd w:val="clear" w:color="auto" w:fill="CCECFF"/>
          </w:tcPr>
          <w:p>
            <w:pPr>
              <w:spacing w:after="0"/>
              <w:rPr>
                <w:sz w:val="19"/>
                <w:szCs w:val="19"/>
                <w:color w:val="auto"/>
              </w:rPr>
            </w:pPr>
          </w:p>
        </w:tc>
      </w:tr>
      <w:tr>
        <w:trPr>
          <w:trHeight w:val="213"/>
        </w:trPr>
        <w:tc>
          <w:tcPr>
            <w:tcW w:w="4980" w:type="dxa"/>
            <w:vAlign w:val="bottom"/>
          </w:tcPr>
          <w:p>
            <w:pPr>
              <w:ind w:left="260"/>
              <w:spacing w:after="0"/>
              <w:rPr>
                <w:sz w:val="20"/>
                <w:szCs w:val="20"/>
                <w:color w:val="auto"/>
              </w:rPr>
            </w:pPr>
            <w:r>
              <w:rPr>
                <w:rFonts w:ascii="Arial" w:cs="Arial" w:eastAsia="Arial" w:hAnsi="Arial"/>
                <w:sz w:val="16"/>
                <w:szCs w:val="16"/>
                <w:color w:val="auto"/>
              </w:rPr>
              <w:t>Administrative services expenses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1,200,000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1,150,000</w:t>
            </w:r>
          </w:p>
        </w:tc>
        <w:tc>
          <w:tcPr>
            <w:tcW w:w="100" w:type="dxa"/>
            <w:vAlign w:val="bottom"/>
          </w:tcPr>
          <w:p>
            <w:pPr>
              <w:spacing w:after="0"/>
              <w:rPr>
                <w:sz w:val="18"/>
                <w:szCs w:val="18"/>
                <w:color w:val="auto"/>
              </w:rPr>
            </w:pPr>
          </w:p>
        </w:tc>
      </w:tr>
      <w:tr>
        <w:trPr>
          <w:trHeight w:val="219"/>
        </w:trPr>
        <w:tc>
          <w:tcPr>
            <w:tcW w:w="4980" w:type="dxa"/>
            <w:vAlign w:val="bottom"/>
            <w:shd w:val="clear" w:color="auto" w:fill="CCECFF"/>
          </w:tcPr>
          <w:p>
            <w:pPr>
              <w:ind w:left="260"/>
              <w:spacing w:after="0"/>
              <w:rPr>
                <w:sz w:val="20"/>
                <w:szCs w:val="20"/>
                <w:color w:val="auto"/>
              </w:rPr>
            </w:pPr>
            <w:r>
              <w:rPr>
                <w:rFonts w:ascii="Arial" w:cs="Arial" w:eastAsia="Arial" w:hAnsi="Arial"/>
                <w:sz w:val="16"/>
                <w:szCs w:val="16"/>
                <w:color w:val="auto"/>
              </w:rPr>
              <w:t>Other general and administrative expenses</w:t>
            </w:r>
          </w:p>
        </w:tc>
        <w:tc>
          <w:tcPr>
            <w:tcW w:w="1980" w:type="dxa"/>
            <w:vAlign w:val="bottom"/>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485,660</w:t>
            </w:r>
          </w:p>
        </w:tc>
        <w:tc>
          <w:tcPr>
            <w:tcW w:w="300" w:type="dxa"/>
            <w:vAlign w:val="bottom"/>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spacing w:after="0"/>
              <w:rPr>
                <w:sz w:val="19"/>
                <w:szCs w:val="19"/>
                <w:color w:val="auto"/>
              </w:rPr>
            </w:pPr>
          </w:p>
        </w:tc>
        <w:tc>
          <w:tcPr>
            <w:tcW w:w="1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454,600</w:t>
            </w:r>
          </w:p>
        </w:tc>
        <w:tc>
          <w:tcPr>
            <w:tcW w:w="100" w:type="dxa"/>
            <w:vAlign w:val="bottom"/>
            <w:shd w:val="clear" w:color="auto" w:fill="CCECFF"/>
          </w:tcPr>
          <w:p>
            <w:pPr>
              <w:spacing w:after="0"/>
              <w:rPr>
                <w:sz w:val="19"/>
                <w:szCs w:val="19"/>
                <w:color w:val="auto"/>
              </w:rPr>
            </w:pPr>
          </w:p>
        </w:tc>
      </w:tr>
      <w:tr>
        <w:trPr>
          <w:trHeight w:val="207"/>
        </w:trPr>
        <w:tc>
          <w:tcPr>
            <w:tcW w:w="4980" w:type="dxa"/>
            <w:vAlign w:val="bottom"/>
            <w:tcBorders>
              <w:bottom w:val="single" w:sz="8" w:color="CCECFF"/>
            </w:tcBorders>
          </w:tcPr>
          <w:p>
            <w:pPr>
              <w:ind w:left="260"/>
              <w:spacing w:after="0"/>
              <w:rPr>
                <w:sz w:val="20"/>
                <w:szCs w:val="20"/>
                <w:color w:val="auto"/>
              </w:rPr>
            </w:pPr>
            <w:r>
              <w:rPr>
                <w:rFonts w:ascii="Arial" w:cs="Arial" w:eastAsia="Arial" w:hAnsi="Arial"/>
                <w:sz w:val="16"/>
                <w:szCs w:val="16"/>
                <w:b w:val="1"/>
                <w:bCs w:val="1"/>
                <w:color w:val="auto"/>
              </w:rPr>
              <w:t>Total expenses</w:t>
            </w:r>
          </w:p>
        </w:tc>
        <w:tc>
          <w:tcPr>
            <w:tcW w:w="198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27,082,668</w:t>
            </w:r>
          </w:p>
        </w:tc>
        <w:tc>
          <w:tcPr>
            <w:tcW w:w="30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32,340,200</w:t>
            </w:r>
          </w:p>
        </w:tc>
        <w:tc>
          <w:tcPr>
            <w:tcW w:w="100" w:type="dxa"/>
            <w:vAlign w:val="bottom"/>
            <w:tcBorders>
              <w:bottom w:val="single" w:sz="8" w:color="CCECFF"/>
            </w:tcBorders>
          </w:tcPr>
          <w:p>
            <w:pPr>
              <w:spacing w:after="0"/>
              <w:rPr>
                <w:sz w:val="17"/>
                <w:szCs w:val="17"/>
                <w:color w:val="auto"/>
              </w:rPr>
            </w:pPr>
          </w:p>
        </w:tc>
      </w:tr>
      <w:tr>
        <w:trPr>
          <w:trHeight w:val="209"/>
        </w:trPr>
        <w:tc>
          <w:tcPr>
            <w:tcW w:w="4980" w:type="dxa"/>
            <w:vAlign w:val="bottom"/>
            <w:shd w:val="clear" w:color="auto" w:fill="CCECFF"/>
          </w:tcPr>
          <w:p>
            <w:pPr>
              <w:spacing w:after="0"/>
              <w:rPr>
                <w:sz w:val="20"/>
                <w:szCs w:val="20"/>
                <w:color w:val="auto"/>
              </w:rPr>
            </w:pPr>
            <w:r>
              <w:rPr>
                <w:rFonts w:ascii="Arial" w:cs="Arial" w:eastAsia="Arial" w:hAnsi="Arial"/>
                <w:sz w:val="16"/>
                <w:szCs w:val="16"/>
                <w:b w:val="1"/>
                <w:bCs w:val="1"/>
                <w:color w:val="auto"/>
              </w:rPr>
              <w:t>Net investment income</w:t>
            </w:r>
          </w:p>
        </w:tc>
        <w:tc>
          <w:tcPr>
            <w:tcW w:w="1980" w:type="dxa"/>
            <w:vAlign w:val="bottom"/>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spacing w:after="0"/>
              <w:rPr>
                <w:sz w:val="18"/>
                <w:szCs w:val="18"/>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6,316,281</w:t>
            </w:r>
          </w:p>
        </w:tc>
        <w:tc>
          <w:tcPr>
            <w:tcW w:w="300" w:type="dxa"/>
            <w:vAlign w:val="bottom"/>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1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7,733,892</w:t>
            </w:r>
          </w:p>
        </w:tc>
        <w:tc>
          <w:tcPr>
            <w:tcW w:w="100" w:type="dxa"/>
            <w:vAlign w:val="bottom"/>
            <w:shd w:val="clear" w:color="auto" w:fill="CCEC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23" w:right="339" w:bottom="1440" w:gutter="0" w:footer="0" w:header="0"/>
        </w:sectPr>
      </w:pPr>
    </w:p>
    <w:p>
      <w:pPr>
        <w:spacing w:after="0"/>
        <w:rPr>
          <w:sz w:val="20"/>
          <w:szCs w:val="20"/>
          <w:color w:val="auto"/>
        </w:rPr>
      </w:pPr>
      <w:r>
        <w:rPr>
          <w:rFonts w:ascii="Arial" w:cs="Arial" w:eastAsia="Arial" w:hAnsi="Arial"/>
          <w:sz w:val="15"/>
          <w:szCs w:val="15"/>
          <w:b w:val="1"/>
          <w:bCs w:val="1"/>
          <w:color w:val="auto"/>
        </w:rPr>
        <w:t>Realized and unrealized loss on investments and Credit Facility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Net realized loss on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change in unrealized appreciation (depreciation)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Non-controlled, non-affiliated investments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Credit Facility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274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2" w:lineRule="exact"/>
        <w:rPr>
          <w:sz w:val="20"/>
          <w:szCs w:val="20"/>
          <w:color w:val="auto"/>
        </w:rPr>
      </w:pPr>
    </w:p>
    <w:p>
      <w:pPr>
        <w:ind w:left="260" w:right="200"/>
        <w:spacing w:after="0" w:line="281" w:lineRule="auto"/>
        <w:rPr>
          <w:sz w:val="20"/>
          <w:szCs w:val="20"/>
          <w:color w:val="auto"/>
        </w:rPr>
      </w:pPr>
      <w:r>
        <w:rPr>
          <w:rFonts w:ascii="Arial" w:cs="Arial" w:eastAsia="Arial" w:hAnsi="Arial"/>
          <w:sz w:val="16"/>
          <w:szCs w:val="16"/>
          <w:b w:val="1"/>
          <w:bCs w:val="1"/>
          <w:color w:val="auto"/>
        </w:rPr>
        <w:t>Net change in unrealized depreciation on investments and Credit Facility foreign currency translation</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b w:val="1"/>
          <w:bCs w:val="1"/>
          <w:color w:val="auto"/>
        </w:rPr>
        <w:t>Net realized and change in unrealized loss from investments and Credit Facility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140" w:type="dxa"/>
            <w:vAlign w:val="bottom"/>
            <w:gridSpan w:val="2"/>
          </w:tcPr>
          <w:p>
            <w:pPr>
              <w:jc w:val="right"/>
              <w:ind w:right="240"/>
              <w:spacing w:after="0"/>
              <w:rPr>
                <w:sz w:val="20"/>
                <w:szCs w:val="20"/>
                <w:color w:val="auto"/>
              </w:rPr>
            </w:pPr>
            <w:r>
              <w:rPr>
                <w:rFonts w:ascii="Arial" w:cs="Arial" w:eastAsia="Arial" w:hAnsi="Arial"/>
                <w:sz w:val="16"/>
                <w:szCs w:val="16"/>
                <w:color w:val="auto"/>
              </w:rPr>
              <w:t>(992,974)</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(885,069)</w:t>
            </w:r>
          </w:p>
        </w:tc>
      </w:tr>
      <w:tr>
        <w:trPr>
          <w:trHeight w:val="432"/>
        </w:trPr>
        <w:tc>
          <w:tcPr>
            <w:tcW w:w="2140" w:type="dxa"/>
            <w:vAlign w:val="bottom"/>
            <w:gridSpan w:val="2"/>
          </w:tcPr>
          <w:p>
            <w:pPr>
              <w:jc w:val="right"/>
              <w:ind w:right="240"/>
              <w:spacing w:after="0"/>
              <w:rPr>
                <w:sz w:val="20"/>
                <w:szCs w:val="20"/>
                <w:color w:val="auto"/>
              </w:rPr>
            </w:pPr>
            <w:r>
              <w:rPr>
                <w:rFonts w:ascii="Arial" w:cs="Arial" w:eastAsia="Arial" w:hAnsi="Arial"/>
                <w:sz w:val="16"/>
                <w:szCs w:val="16"/>
                <w:color w:val="auto"/>
              </w:rPr>
              <w:t>(9,368,121)</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(5,976,299)</w:t>
            </w:r>
          </w:p>
        </w:tc>
      </w:tr>
      <w:tr>
        <w:trPr>
          <w:trHeight w:val="219"/>
        </w:trPr>
        <w:tc>
          <w:tcPr>
            <w:tcW w:w="2140" w:type="dxa"/>
            <w:vAlign w:val="bottom"/>
            <w:gridSpan w:val="2"/>
          </w:tcPr>
          <w:p>
            <w:pPr>
              <w:jc w:val="right"/>
              <w:ind w:right="240"/>
              <w:spacing w:after="0"/>
              <w:rPr>
                <w:sz w:val="20"/>
                <w:szCs w:val="20"/>
                <w:color w:val="auto"/>
              </w:rPr>
            </w:pPr>
            <w:r>
              <w:rPr>
                <w:rFonts w:ascii="Arial" w:cs="Arial" w:eastAsia="Arial" w:hAnsi="Arial"/>
                <w:sz w:val="16"/>
                <w:szCs w:val="16"/>
                <w:color w:val="auto"/>
              </w:rPr>
              <w:t>(2,210,907)</w:t>
            </w:r>
          </w:p>
        </w:tc>
        <w:tc>
          <w:tcPr>
            <w:tcW w:w="2040" w:type="dxa"/>
            <w:vAlign w:val="bottom"/>
          </w:tcPr>
          <w:p>
            <w:pPr>
              <w:jc w:val="right"/>
              <w:spacing w:after="0"/>
              <w:rPr>
                <w:sz w:val="20"/>
                <w:szCs w:val="20"/>
                <w:color w:val="auto"/>
              </w:rPr>
            </w:pPr>
            <w:r>
              <w:rPr>
                <w:rFonts w:ascii="Arial" w:cs="Arial" w:eastAsia="Arial" w:hAnsi="Arial"/>
                <w:sz w:val="16"/>
                <w:szCs w:val="16"/>
                <w:color w:val="auto"/>
              </w:rPr>
              <w:t>1,887,878</w:t>
            </w:r>
          </w:p>
        </w:tc>
        <w:tc>
          <w:tcPr>
            <w:tcW w:w="40" w:type="dxa"/>
            <w:vAlign w:val="bottom"/>
          </w:tcPr>
          <w:p>
            <w:pPr>
              <w:spacing w:after="0"/>
              <w:rPr>
                <w:sz w:val="19"/>
                <w:szCs w:val="19"/>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1"/>
        </w:trPr>
        <w:tc>
          <w:tcPr>
            <w:tcW w:w="2140" w:type="dxa"/>
            <w:vAlign w:val="bottom"/>
            <w:gridSpan w:val="2"/>
          </w:tcPr>
          <w:p>
            <w:pPr>
              <w:jc w:val="right"/>
              <w:ind w:right="240"/>
              <w:spacing w:after="0"/>
              <w:rPr>
                <w:sz w:val="20"/>
                <w:szCs w:val="20"/>
                <w:color w:val="auto"/>
              </w:rPr>
            </w:pPr>
            <w:r>
              <w:rPr>
                <w:rFonts w:ascii="Arial" w:cs="Arial" w:eastAsia="Arial" w:hAnsi="Arial"/>
                <w:sz w:val="16"/>
                <w:szCs w:val="16"/>
                <w:color w:val="auto"/>
              </w:rPr>
              <w:t>(11,579,028)</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(4,088,421)</w:t>
            </w:r>
          </w:p>
        </w:tc>
      </w:tr>
      <w:tr>
        <w:trPr>
          <w:trHeight w:val="114"/>
        </w:trPr>
        <w:tc>
          <w:tcPr>
            <w:tcW w:w="18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298"/>
        </w:trPr>
        <w:tc>
          <w:tcPr>
            <w:tcW w:w="2140" w:type="dxa"/>
            <w:vAlign w:val="bottom"/>
            <w:gridSpan w:val="2"/>
          </w:tcPr>
          <w:p>
            <w:pPr>
              <w:jc w:val="right"/>
              <w:ind w:right="240"/>
              <w:spacing w:after="0"/>
              <w:rPr>
                <w:sz w:val="20"/>
                <w:szCs w:val="20"/>
                <w:color w:val="auto"/>
              </w:rPr>
            </w:pPr>
            <w:r>
              <w:rPr>
                <w:rFonts w:ascii="Arial" w:cs="Arial" w:eastAsia="Arial" w:hAnsi="Arial"/>
                <w:sz w:val="16"/>
                <w:szCs w:val="16"/>
                <w:color w:val="auto"/>
              </w:rPr>
              <w:t>(12,572,002)</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(4,973,490)</w:t>
            </w:r>
          </w:p>
        </w:tc>
      </w:tr>
    </w:tbl>
    <w:p>
      <w:pPr>
        <w:spacing w:after="0" w:line="126" w:lineRule="exact"/>
        <w:rPr>
          <w:sz w:val="20"/>
          <w:szCs w:val="20"/>
          <w:color w:val="auto"/>
        </w:rPr>
      </w:pPr>
    </w:p>
    <w:p>
      <w:pPr>
        <w:sectPr>
          <w:pgSz w:w="11900" w:h="16838" w:orient="portrait"/>
          <w:cols w:equalWidth="0" w:num="2">
            <w:col w:w="6680" w:space="280"/>
            <w:col w:w="4280"/>
          </w:cols>
          <w:pgMar w:left="320" w:top="823" w:right="339" w:bottom="1440" w:gutter="0" w:footer="0" w:header="0"/>
          <w:type w:val="continuous"/>
        </w:sectPr>
      </w:pPr>
    </w:p>
    <w:p>
      <w:pPr>
        <w:spacing w:after="0"/>
        <w:tabs>
          <w:tab w:leader="none" w:pos="6940" w:val="left"/>
          <w:tab w:leader="none" w:pos="8060" w:val="left"/>
          <w:tab w:leader="none" w:pos="9080" w:val="left"/>
          <w:tab w:leader="none" w:pos="10460" w:val="left"/>
        </w:tabs>
        <w:rPr>
          <w:sz w:val="20"/>
          <w:szCs w:val="20"/>
          <w:color w:val="auto"/>
        </w:rPr>
      </w:pPr>
      <w:r>
        <w:rPr>
          <w:rFonts w:ascii="Arial" w:cs="Arial" w:eastAsia="Arial" w:hAnsi="Arial"/>
          <w:sz w:val="16"/>
          <w:szCs w:val="16"/>
          <w:b w:val="1"/>
          <w:bCs w:val="1"/>
          <w:color w:val="auto"/>
        </w:rPr>
        <w:t>Net (decrease) increase in members’ equity resulting from operations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(6,255,721)</w:t>
        <w:tab/>
        <w:t>$</w:t>
      </w:r>
      <w:r>
        <w:rPr>
          <w:sz w:val="20"/>
          <w:szCs w:val="20"/>
          <w:color w:val="auto"/>
        </w:rPr>
        <w:tab/>
      </w:r>
      <w:r>
        <w:rPr>
          <w:rFonts w:ascii="Arial" w:cs="Arial" w:eastAsia="Arial" w:hAnsi="Arial"/>
          <w:sz w:val="14"/>
          <w:szCs w:val="14"/>
          <w:color w:val="auto"/>
        </w:rPr>
        <w:t>2,760,402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37465</wp:posOffset>
            </wp:positionV>
            <wp:extent cx="26485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Pr>
          <w:p>
            <w:pPr>
              <w:spacing w:after="0"/>
              <w:rPr>
                <w:sz w:val="17"/>
                <w:szCs w:val="17"/>
                <w:color w:val="auto"/>
              </w:rPr>
            </w:pPr>
          </w:p>
        </w:tc>
        <w:tc>
          <w:tcPr>
            <w:tcW w:w="186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3"/>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w w:val="96"/>
              </w:rPr>
              <w:t>September 30, 2020</w:t>
            </w:r>
          </w:p>
        </w:tc>
        <w:tc>
          <w:tcPr>
            <w:tcW w:w="120" w:type="dxa"/>
            <w:vAlign w:val="bottom"/>
          </w:tcPr>
          <w:p>
            <w:pPr>
              <w:spacing w:after="0"/>
              <w:rPr>
                <w:sz w:val="18"/>
                <w:szCs w:val="18"/>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2"/>
              </w:rPr>
              <w:t>September 30, 2019</w:t>
            </w:r>
          </w:p>
        </w:tc>
        <w:tc>
          <w:tcPr>
            <w:tcW w:w="0" w:type="dxa"/>
            <w:vAlign w:val="bottom"/>
          </w:tcPr>
          <w:p>
            <w:pPr>
              <w:spacing w:after="0"/>
              <w:rPr>
                <w:sz w:val="1"/>
                <w:szCs w:val="1"/>
                <w:color w:val="auto"/>
              </w:rPr>
            </w:pPr>
          </w:p>
        </w:tc>
      </w:tr>
      <w:tr>
        <w:trPr>
          <w:trHeight w:val="213"/>
        </w:trPr>
        <w:tc>
          <w:tcPr>
            <w:tcW w:w="708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6"/>
                <w:szCs w:val="16"/>
                <w:b w:val="1"/>
                <w:bCs w:val="1"/>
                <w:color w:val="auto"/>
              </w:rPr>
              <w:t>Net change in members’ equity from operations:</w:t>
            </w:r>
          </w:p>
        </w:tc>
        <w:tc>
          <w:tcPr>
            <w:tcW w:w="160" w:type="dxa"/>
            <w:vAlign w:val="bottom"/>
            <w:tcBorders>
              <w:top w:val="single" w:sz="8" w:color="auto"/>
            </w:tcBorders>
            <w:shd w:val="clear" w:color="auto" w:fill="CCECFF"/>
          </w:tcPr>
          <w:p>
            <w:pPr>
              <w:spacing w:after="0"/>
              <w:rPr>
                <w:sz w:val="18"/>
                <w:szCs w:val="18"/>
                <w:color w:val="auto"/>
              </w:rPr>
            </w:pPr>
          </w:p>
        </w:tc>
        <w:tc>
          <w:tcPr>
            <w:tcW w:w="1720" w:type="dxa"/>
            <w:vAlign w:val="bottom"/>
            <w:tcBorders>
              <w:top w:val="single" w:sz="8" w:color="auto"/>
            </w:tcBorders>
            <w:shd w:val="clear" w:color="auto" w:fill="CCECFF"/>
          </w:tcPr>
          <w:p>
            <w:pPr>
              <w:spacing w:after="0"/>
              <w:rPr>
                <w:sz w:val="18"/>
                <w:szCs w:val="18"/>
                <w:color w:val="auto"/>
              </w:rPr>
            </w:pPr>
          </w:p>
        </w:tc>
        <w:tc>
          <w:tcPr>
            <w:tcW w:w="300" w:type="dxa"/>
            <w:vAlign w:val="bottom"/>
            <w:tcBorders>
              <w:top w:val="single" w:sz="8" w:color="CCECFF"/>
            </w:tcBorders>
            <w:shd w:val="clear" w:color="auto" w:fill="CCECFF"/>
          </w:tcPr>
          <w:p>
            <w:pPr>
              <w:spacing w:after="0"/>
              <w:rPr>
                <w:sz w:val="18"/>
                <w:szCs w:val="18"/>
                <w:color w:val="auto"/>
              </w:rPr>
            </w:pPr>
          </w:p>
        </w:tc>
        <w:tc>
          <w:tcPr>
            <w:tcW w:w="120" w:type="dxa"/>
            <w:vAlign w:val="bottom"/>
            <w:tcBorders>
              <w:top w:val="single" w:sz="8" w:color="auto"/>
            </w:tcBorders>
            <w:shd w:val="clear" w:color="auto" w:fill="CCECFF"/>
          </w:tcPr>
          <w:p>
            <w:pPr>
              <w:spacing w:after="0"/>
              <w:rPr>
                <w:sz w:val="18"/>
                <w:szCs w:val="18"/>
                <w:color w:val="auto"/>
              </w:rPr>
            </w:pPr>
          </w:p>
        </w:tc>
        <w:tc>
          <w:tcPr>
            <w:tcW w:w="1580" w:type="dxa"/>
            <w:vAlign w:val="bottom"/>
            <w:tcBorders>
              <w:top w:val="single" w:sz="8" w:color="auto"/>
            </w:tcBorders>
            <w:shd w:val="clear" w:color="auto" w:fill="CCECFF"/>
          </w:tcPr>
          <w:p>
            <w:pPr>
              <w:spacing w:after="0"/>
              <w:rPr>
                <w:sz w:val="18"/>
                <w:szCs w:val="18"/>
                <w:color w:val="auto"/>
              </w:rPr>
            </w:pPr>
          </w:p>
        </w:tc>
        <w:tc>
          <w:tcPr>
            <w:tcW w:w="280" w:type="dxa"/>
            <w:vAlign w:val="bottom"/>
            <w:tcBorders>
              <w:top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80" w:type="dxa"/>
            <w:vAlign w:val="bottom"/>
          </w:tcPr>
          <w:p>
            <w:pPr>
              <w:spacing w:after="0"/>
              <w:rPr>
                <w:sz w:val="20"/>
                <w:szCs w:val="20"/>
                <w:color w:val="auto"/>
              </w:rPr>
            </w:pPr>
            <w:r>
              <w:rPr>
                <w:rFonts w:ascii="Arial" w:cs="Arial" w:eastAsia="Arial" w:hAnsi="Arial"/>
                <w:sz w:val="16"/>
                <w:szCs w:val="16"/>
                <w:color w:val="auto"/>
              </w:rPr>
              <w:t>Net investment income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6,316,281</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7,733,892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CFF"/>
          </w:tcPr>
          <w:p>
            <w:pPr>
              <w:spacing w:after="0"/>
              <w:rPr>
                <w:sz w:val="20"/>
                <w:szCs w:val="20"/>
                <w:color w:val="auto"/>
              </w:rPr>
            </w:pPr>
            <w:r>
              <w:rPr>
                <w:rFonts w:ascii="Arial" w:cs="Arial" w:eastAsia="Arial" w:hAnsi="Arial"/>
                <w:sz w:val="16"/>
                <w:szCs w:val="16"/>
                <w:color w:val="auto"/>
              </w:rPr>
              <w:t>Net realized loss on investments</w:t>
            </w:r>
          </w:p>
        </w:tc>
        <w:tc>
          <w:tcPr>
            <w:tcW w:w="160" w:type="dxa"/>
            <w:vAlign w:val="bottom"/>
            <w:shd w:val="clear" w:color="auto" w:fill="CCECFF"/>
          </w:tcPr>
          <w:p>
            <w:pPr>
              <w:spacing w:after="0"/>
              <w:rPr>
                <w:sz w:val="19"/>
                <w:szCs w:val="19"/>
                <w:color w:val="auto"/>
              </w:rPr>
            </w:pPr>
          </w:p>
        </w:tc>
        <w:tc>
          <w:tcPr>
            <w:tcW w:w="2020" w:type="dxa"/>
            <w:vAlign w:val="bottom"/>
            <w:gridSpan w:val="2"/>
            <w:shd w:val="clear" w:color="auto" w:fill="CCECFF"/>
          </w:tcPr>
          <w:p>
            <w:pPr>
              <w:jc w:val="right"/>
              <w:ind w:right="240"/>
              <w:spacing w:after="0"/>
              <w:rPr>
                <w:sz w:val="20"/>
                <w:szCs w:val="20"/>
                <w:color w:val="auto"/>
              </w:rPr>
            </w:pPr>
            <w:r>
              <w:rPr>
                <w:rFonts w:ascii="Arial" w:cs="Arial" w:eastAsia="Arial" w:hAnsi="Arial"/>
                <w:sz w:val="16"/>
                <w:szCs w:val="16"/>
                <w:color w:val="auto"/>
              </w:rPr>
              <w:t>(992,974)</w:t>
            </w:r>
          </w:p>
        </w:tc>
        <w:tc>
          <w:tcPr>
            <w:tcW w:w="120" w:type="dxa"/>
            <w:vAlign w:val="bottom"/>
            <w:shd w:val="clear" w:color="auto" w:fill="CCECFF"/>
          </w:tcPr>
          <w:p>
            <w:pPr>
              <w:spacing w:after="0"/>
              <w:rPr>
                <w:sz w:val="19"/>
                <w:szCs w:val="19"/>
                <w:color w:val="auto"/>
              </w:rPr>
            </w:pPr>
          </w:p>
        </w:tc>
        <w:tc>
          <w:tcPr>
            <w:tcW w:w="1860" w:type="dxa"/>
            <w:vAlign w:val="bottom"/>
            <w:gridSpan w:val="2"/>
            <w:shd w:val="clear" w:color="auto" w:fill="CCECFF"/>
          </w:tcPr>
          <w:p>
            <w:pPr>
              <w:jc w:val="right"/>
              <w:ind w:right="220"/>
              <w:spacing w:after="0"/>
              <w:rPr>
                <w:sz w:val="20"/>
                <w:szCs w:val="20"/>
                <w:color w:val="auto"/>
              </w:rPr>
            </w:pPr>
            <w:r>
              <w:rPr>
                <w:rFonts w:ascii="Arial" w:cs="Arial" w:eastAsia="Arial" w:hAnsi="Arial"/>
                <w:sz w:val="16"/>
                <w:szCs w:val="16"/>
                <w:color w:val="auto"/>
              </w:rPr>
              <w:t>(885,069)</w:t>
            </w:r>
          </w:p>
        </w:tc>
        <w:tc>
          <w:tcPr>
            <w:tcW w:w="0" w:type="dxa"/>
            <w:vAlign w:val="bottom"/>
          </w:tcPr>
          <w:p>
            <w:pPr>
              <w:spacing w:after="0"/>
              <w:rPr>
                <w:sz w:val="1"/>
                <w:szCs w:val="1"/>
                <w:color w:val="auto"/>
              </w:rPr>
            </w:pPr>
          </w:p>
        </w:tc>
      </w:tr>
      <w:tr>
        <w:trPr>
          <w:trHeight w:val="213"/>
        </w:trPr>
        <w:tc>
          <w:tcPr>
            <w:tcW w:w="7080" w:type="dxa"/>
            <w:vAlign w:val="bottom"/>
          </w:tcPr>
          <w:p>
            <w:pPr>
              <w:spacing w:after="0"/>
              <w:rPr>
                <w:sz w:val="20"/>
                <w:szCs w:val="20"/>
                <w:color w:val="auto"/>
              </w:rPr>
            </w:pPr>
            <w:r>
              <w:rPr>
                <w:rFonts w:ascii="Arial" w:cs="Arial" w:eastAsia="Arial" w:hAnsi="Arial"/>
                <w:sz w:val="16"/>
                <w:szCs w:val="16"/>
                <w:color w:val="auto"/>
              </w:rPr>
              <w:t>Net change in unrealized depreciation on investments</w:t>
            </w:r>
          </w:p>
        </w:tc>
        <w:tc>
          <w:tcPr>
            <w:tcW w:w="160" w:type="dxa"/>
            <w:vAlign w:val="bottom"/>
          </w:tcPr>
          <w:p>
            <w:pPr>
              <w:spacing w:after="0"/>
              <w:rPr>
                <w:sz w:val="18"/>
                <w:szCs w:val="18"/>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6"/>
                <w:szCs w:val="16"/>
                <w:color w:val="auto"/>
              </w:rPr>
              <w:t>(9,368,121)</w:t>
            </w:r>
          </w:p>
        </w:tc>
        <w:tc>
          <w:tcPr>
            <w:tcW w:w="12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(5,976,299)</w:t>
            </w:r>
          </w:p>
        </w:tc>
        <w:tc>
          <w:tcPr>
            <w:tcW w:w="0" w:type="dxa"/>
            <w:vAlign w:val="bottom"/>
          </w:tcPr>
          <w:p>
            <w:pPr>
              <w:spacing w:after="0"/>
              <w:rPr>
                <w:sz w:val="1"/>
                <w:szCs w:val="1"/>
                <w:color w:val="auto"/>
              </w:rPr>
            </w:pPr>
          </w:p>
        </w:tc>
      </w:tr>
      <w:tr>
        <w:trPr>
          <w:trHeight w:val="209"/>
        </w:trPr>
        <w:tc>
          <w:tcPr>
            <w:tcW w:w="7080" w:type="dxa"/>
            <w:vAlign w:val="bottom"/>
            <w:shd w:val="clear" w:color="auto" w:fill="CCECFF"/>
          </w:tcPr>
          <w:p>
            <w:pPr>
              <w:spacing w:after="0"/>
              <w:rPr>
                <w:sz w:val="20"/>
                <w:szCs w:val="20"/>
                <w:color w:val="auto"/>
              </w:rPr>
            </w:pPr>
            <w:r>
              <w:rPr>
                <w:rFonts w:ascii="Arial" w:cs="Arial" w:eastAsia="Arial" w:hAnsi="Arial"/>
                <w:sz w:val="16"/>
                <w:szCs w:val="16"/>
                <w:color w:val="auto"/>
              </w:rPr>
              <w:t>Net change in unrealized (depreciation) appreciation on Credit Facility foreign</w:t>
            </w:r>
          </w:p>
        </w:tc>
        <w:tc>
          <w:tcPr>
            <w:tcW w:w="160" w:type="dxa"/>
            <w:vAlign w:val="bottom"/>
            <w:shd w:val="clear" w:color="auto" w:fill="CCECFF"/>
          </w:tcPr>
          <w:p>
            <w:pPr>
              <w:spacing w:after="0"/>
              <w:rPr>
                <w:sz w:val="18"/>
                <w:szCs w:val="18"/>
                <w:color w:val="auto"/>
              </w:rPr>
            </w:pPr>
          </w:p>
        </w:tc>
        <w:tc>
          <w:tcPr>
            <w:tcW w:w="2020" w:type="dxa"/>
            <w:vAlign w:val="bottom"/>
            <w:gridSpan w:val="2"/>
            <w:vMerge w:val="restart"/>
            <w:shd w:val="clear" w:color="auto" w:fill="CCECFF"/>
          </w:tcPr>
          <w:p>
            <w:pPr>
              <w:jc w:val="right"/>
              <w:ind w:right="240"/>
              <w:spacing w:after="0"/>
              <w:rPr>
                <w:sz w:val="20"/>
                <w:szCs w:val="20"/>
                <w:color w:val="auto"/>
              </w:rPr>
            </w:pPr>
            <w:r>
              <w:rPr>
                <w:rFonts w:ascii="Arial" w:cs="Arial" w:eastAsia="Arial" w:hAnsi="Arial"/>
                <w:sz w:val="16"/>
                <w:szCs w:val="16"/>
                <w:color w:val="auto"/>
              </w:rPr>
              <w:t>(2,210,907)</w:t>
            </w:r>
          </w:p>
        </w:tc>
        <w:tc>
          <w:tcPr>
            <w:tcW w:w="120" w:type="dxa"/>
            <w:vAlign w:val="bottom"/>
            <w:shd w:val="clear" w:color="auto" w:fill="CCECFF"/>
          </w:tcPr>
          <w:p>
            <w:pPr>
              <w:spacing w:after="0"/>
              <w:rPr>
                <w:sz w:val="18"/>
                <w:szCs w:val="18"/>
                <w:color w:val="auto"/>
              </w:rPr>
            </w:pPr>
          </w:p>
        </w:tc>
        <w:tc>
          <w:tcPr>
            <w:tcW w:w="1580" w:type="dxa"/>
            <w:vAlign w:val="bottom"/>
            <w:vMerge w:val="restart"/>
            <w:shd w:val="clear" w:color="auto" w:fill="CCECFF"/>
          </w:tcPr>
          <w:p>
            <w:pPr>
              <w:jc w:val="right"/>
              <w:spacing w:after="0"/>
              <w:rPr>
                <w:sz w:val="20"/>
                <w:szCs w:val="20"/>
                <w:color w:val="auto"/>
              </w:rPr>
            </w:pPr>
            <w:r>
              <w:rPr>
                <w:rFonts w:ascii="Arial" w:cs="Arial" w:eastAsia="Arial" w:hAnsi="Arial"/>
                <w:sz w:val="16"/>
                <w:szCs w:val="16"/>
                <w:color w:val="auto"/>
              </w:rPr>
              <w:t>1,887,878</w:t>
            </w:r>
          </w:p>
        </w:tc>
        <w:tc>
          <w:tcPr>
            <w:tcW w:w="2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7080" w:type="dxa"/>
            <w:vAlign w:val="bottom"/>
            <w:vMerge w:val="restart"/>
            <w:shd w:val="clear" w:color="auto" w:fill="CCECFF"/>
          </w:tcPr>
          <w:p>
            <w:pPr>
              <w:ind w:left="120"/>
              <w:spacing w:after="0"/>
              <w:rPr>
                <w:sz w:val="20"/>
                <w:szCs w:val="20"/>
                <w:color w:val="auto"/>
              </w:rPr>
            </w:pPr>
            <w:r>
              <w:rPr>
                <w:rFonts w:ascii="Arial" w:cs="Arial" w:eastAsia="Arial" w:hAnsi="Arial"/>
                <w:sz w:val="16"/>
                <w:szCs w:val="16"/>
                <w:color w:val="auto"/>
              </w:rPr>
              <w:t>currency translation</w:t>
            </w:r>
          </w:p>
        </w:tc>
        <w:tc>
          <w:tcPr>
            <w:tcW w:w="160" w:type="dxa"/>
            <w:vAlign w:val="bottom"/>
            <w:shd w:val="clear" w:color="auto" w:fill="CCECFF"/>
          </w:tcPr>
          <w:p>
            <w:pPr>
              <w:spacing w:after="0"/>
              <w:rPr>
                <w:sz w:val="8"/>
                <w:szCs w:val="8"/>
                <w:color w:val="auto"/>
              </w:rPr>
            </w:pPr>
          </w:p>
        </w:tc>
        <w:tc>
          <w:tcPr>
            <w:tcW w:w="2020" w:type="dxa"/>
            <w:vAlign w:val="bottom"/>
            <w:gridSpan w:val="2"/>
            <w:vMerge w:val="continue"/>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580" w:type="dxa"/>
            <w:vAlign w:val="bottom"/>
            <w:vMerge w:val="continue"/>
            <w:shd w:val="clear" w:color="auto" w:fill="CCECFF"/>
          </w:tcPr>
          <w:p>
            <w:pPr>
              <w:spacing w:after="0"/>
              <w:rPr>
                <w:sz w:val="8"/>
                <w:szCs w:val="8"/>
                <w:color w:val="auto"/>
              </w:rPr>
            </w:pPr>
          </w:p>
        </w:tc>
        <w:tc>
          <w:tcPr>
            <w:tcW w:w="2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7080" w:type="dxa"/>
            <w:vAlign w:val="bottom"/>
            <w:vMerge w:val="continue"/>
            <w:shd w:val="clear" w:color="auto" w:fill="CCECFF"/>
          </w:tcPr>
          <w:p>
            <w:pPr>
              <w:spacing w:after="0"/>
              <w:rPr>
                <w:sz w:val="9"/>
                <w:szCs w:val="9"/>
                <w:color w:val="auto"/>
              </w:rPr>
            </w:pPr>
          </w:p>
        </w:tc>
        <w:tc>
          <w:tcPr>
            <w:tcW w:w="160" w:type="dxa"/>
            <w:vAlign w:val="bottom"/>
            <w:tcBorders>
              <w:bottom w:val="single" w:sz="8" w:color="auto"/>
            </w:tcBorders>
            <w:shd w:val="clear" w:color="auto" w:fill="CCECFF"/>
          </w:tcPr>
          <w:p>
            <w:pPr>
              <w:spacing w:after="0"/>
              <w:rPr>
                <w:sz w:val="9"/>
                <w:szCs w:val="9"/>
                <w:color w:val="auto"/>
              </w:rPr>
            </w:pPr>
          </w:p>
        </w:tc>
        <w:tc>
          <w:tcPr>
            <w:tcW w:w="1720" w:type="dxa"/>
            <w:vAlign w:val="bottom"/>
            <w:tcBorders>
              <w:bottom w:val="single" w:sz="8" w:color="auto"/>
            </w:tcBorders>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20" w:type="dxa"/>
            <w:vAlign w:val="bottom"/>
            <w:tcBorders>
              <w:bottom w:val="single" w:sz="8" w:color="auto"/>
            </w:tcBorders>
            <w:shd w:val="clear" w:color="auto" w:fill="CCECFF"/>
          </w:tcPr>
          <w:p>
            <w:pPr>
              <w:spacing w:after="0"/>
              <w:rPr>
                <w:sz w:val="9"/>
                <w:szCs w:val="9"/>
                <w:color w:val="auto"/>
              </w:rPr>
            </w:pPr>
          </w:p>
        </w:tc>
        <w:tc>
          <w:tcPr>
            <w:tcW w:w="1580" w:type="dxa"/>
            <w:vAlign w:val="bottom"/>
            <w:tcBorders>
              <w:bottom w:val="single" w:sz="8" w:color="auto"/>
            </w:tcBorders>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7080" w:type="dxa"/>
            <w:vAlign w:val="bottom"/>
          </w:tcPr>
          <w:p>
            <w:pPr>
              <w:spacing w:after="0"/>
              <w:rPr>
                <w:sz w:val="20"/>
                <w:szCs w:val="20"/>
                <w:color w:val="auto"/>
              </w:rPr>
            </w:pPr>
            <w:r>
              <w:rPr>
                <w:rFonts w:ascii="Arial" w:cs="Arial" w:eastAsia="Arial" w:hAnsi="Arial"/>
                <w:sz w:val="16"/>
                <w:szCs w:val="16"/>
                <w:b w:val="1"/>
                <w:bCs w:val="1"/>
                <w:color w:val="auto"/>
              </w:rPr>
              <w:t>Net (decrease) increase in members’ equity from operations</w:t>
            </w:r>
          </w:p>
        </w:tc>
        <w:tc>
          <w:tcPr>
            <w:tcW w:w="160" w:type="dxa"/>
            <w:vAlign w:val="bottom"/>
          </w:tcPr>
          <w:p>
            <w:pPr>
              <w:spacing w:after="0"/>
              <w:rPr>
                <w:sz w:val="17"/>
                <w:szCs w:val="17"/>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6"/>
                <w:szCs w:val="16"/>
                <w:color w:val="auto"/>
              </w:rPr>
              <w:t>(6,255,721)</w:t>
            </w: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2,760,402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8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6"/>
                <w:szCs w:val="16"/>
                <w:b w:val="1"/>
                <w:bCs w:val="1"/>
                <w:color w:val="auto"/>
              </w:rPr>
              <w:t>Capital contributions</w:t>
            </w:r>
          </w:p>
        </w:tc>
        <w:tc>
          <w:tcPr>
            <w:tcW w:w="160" w:type="dxa"/>
            <w:vAlign w:val="bottom"/>
            <w:tcBorders>
              <w:top w:val="single" w:sz="8" w:color="auto"/>
              <w:bottom w:val="single" w:sz="8" w:color="auto"/>
            </w:tcBorders>
            <w:shd w:val="clear" w:color="auto" w:fill="CCECFF"/>
          </w:tcPr>
          <w:p>
            <w:pPr>
              <w:spacing w:after="0"/>
              <w:rPr>
                <w:sz w:val="18"/>
                <w:szCs w:val="18"/>
                <w:color w:val="auto"/>
              </w:rPr>
            </w:pPr>
          </w:p>
        </w:tc>
        <w:tc>
          <w:tcPr>
            <w:tcW w:w="1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1,560,000</w:t>
            </w:r>
          </w:p>
        </w:tc>
        <w:tc>
          <w:tcPr>
            <w:tcW w:w="300" w:type="dxa"/>
            <w:vAlign w:val="bottom"/>
            <w:tcBorders>
              <w:top w:val="single" w:sz="8" w:color="CCECFF"/>
            </w:tcBorders>
            <w:shd w:val="clear" w:color="auto" w:fill="CCECFF"/>
          </w:tcPr>
          <w:p>
            <w:pPr>
              <w:spacing w:after="0"/>
              <w:rPr>
                <w:sz w:val="18"/>
                <w:szCs w:val="18"/>
                <w:color w:val="auto"/>
              </w:rPr>
            </w:pPr>
          </w:p>
        </w:tc>
        <w:tc>
          <w:tcPr>
            <w:tcW w:w="120" w:type="dxa"/>
            <w:vAlign w:val="bottom"/>
            <w:tcBorders>
              <w:top w:val="single" w:sz="8" w:color="auto"/>
              <w:bottom w:val="single" w:sz="8" w:color="auto"/>
            </w:tcBorders>
            <w:shd w:val="clear" w:color="auto" w:fill="CCECFF"/>
          </w:tcPr>
          <w:p>
            <w:pPr>
              <w:spacing w:after="0"/>
              <w:rPr>
                <w:sz w:val="18"/>
                <w:szCs w:val="18"/>
                <w:color w:val="auto"/>
              </w:rPr>
            </w:pPr>
          </w:p>
        </w:tc>
        <w:tc>
          <w:tcPr>
            <w:tcW w:w="1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10,350,000</w:t>
            </w:r>
          </w:p>
        </w:tc>
        <w:tc>
          <w:tcPr>
            <w:tcW w:w="280" w:type="dxa"/>
            <w:vAlign w:val="bottom"/>
            <w:tcBorders>
              <w:top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80" w:type="dxa"/>
            <w:vAlign w:val="bottom"/>
          </w:tcPr>
          <w:p>
            <w:pPr>
              <w:spacing w:after="0"/>
              <w:rPr>
                <w:sz w:val="20"/>
                <w:szCs w:val="20"/>
                <w:color w:val="auto"/>
              </w:rPr>
            </w:pPr>
            <w:r>
              <w:rPr>
                <w:rFonts w:ascii="Arial" w:cs="Arial" w:eastAsia="Arial" w:hAnsi="Arial"/>
                <w:sz w:val="16"/>
                <w:szCs w:val="16"/>
                <w:b w:val="1"/>
                <w:bCs w:val="1"/>
                <w:color w:val="auto"/>
              </w:rPr>
              <w:t>Distributions</w:t>
            </w:r>
          </w:p>
        </w:tc>
        <w:tc>
          <w:tcPr>
            <w:tcW w:w="160" w:type="dxa"/>
            <w:vAlign w:val="bottom"/>
          </w:tcPr>
          <w:p>
            <w:pPr>
              <w:spacing w:after="0"/>
              <w:rPr>
                <w:sz w:val="17"/>
                <w:szCs w:val="17"/>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6"/>
                <w:szCs w:val="16"/>
                <w:color w:val="auto"/>
              </w:rPr>
              <w:t>(6,800,000)</w:t>
            </w:r>
          </w:p>
        </w:tc>
        <w:tc>
          <w:tcPr>
            <w:tcW w:w="120" w:type="dxa"/>
            <w:vAlign w:val="bottom"/>
          </w:tcPr>
          <w:p>
            <w:pPr>
              <w:spacing w:after="0"/>
              <w:rPr>
                <w:sz w:val="17"/>
                <w:szCs w:val="17"/>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(7,200,000)</w:t>
            </w:r>
          </w:p>
        </w:tc>
        <w:tc>
          <w:tcPr>
            <w:tcW w:w="0" w:type="dxa"/>
            <w:vAlign w:val="bottom"/>
          </w:tcPr>
          <w:p>
            <w:pPr>
              <w:spacing w:after="0"/>
              <w:rPr>
                <w:sz w:val="1"/>
                <w:szCs w:val="1"/>
                <w:color w:val="auto"/>
              </w:rPr>
            </w:pPr>
          </w:p>
        </w:tc>
      </w:tr>
      <w:tr>
        <w:trPr>
          <w:trHeight w:val="20"/>
        </w:trPr>
        <w:tc>
          <w:tcPr>
            <w:tcW w:w="7080" w:type="dxa"/>
            <w:vAlign w:val="bottom"/>
            <w:vMerge w:val="restart"/>
            <w:shd w:val="clear" w:color="auto" w:fill="CCECFF"/>
          </w:tcPr>
          <w:p>
            <w:pPr>
              <w:spacing w:after="0"/>
              <w:rPr>
                <w:sz w:val="20"/>
                <w:szCs w:val="20"/>
                <w:color w:val="auto"/>
              </w:rPr>
            </w:pPr>
            <w:r>
              <w:rPr>
                <w:rFonts w:ascii="Arial" w:cs="Arial" w:eastAsia="Arial" w:hAnsi="Arial"/>
                <w:sz w:val="16"/>
                <w:szCs w:val="16"/>
                <w:b w:val="1"/>
                <w:bCs w:val="1"/>
                <w:color w:val="auto"/>
              </w:rPr>
              <w:t>Net (decrease) increase in members’ equity</w:t>
            </w:r>
          </w:p>
        </w:tc>
        <w:tc>
          <w:tcPr>
            <w:tcW w:w="1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080" w:type="dxa"/>
            <w:vAlign w:val="bottom"/>
            <w:vMerge w:val="continue"/>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2020" w:type="dxa"/>
            <w:vAlign w:val="bottom"/>
            <w:gridSpan w:val="2"/>
            <w:shd w:val="clear" w:color="auto" w:fill="CCECFF"/>
          </w:tcPr>
          <w:p>
            <w:pPr>
              <w:jc w:val="right"/>
              <w:ind w:right="240"/>
              <w:spacing w:after="0"/>
              <w:rPr>
                <w:sz w:val="20"/>
                <w:szCs w:val="20"/>
                <w:color w:val="auto"/>
              </w:rPr>
            </w:pPr>
            <w:r>
              <w:rPr>
                <w:rFonts w:ascii="Arial" w:cs="Arial" w:eastAsia="Arial" w:hAnsi="Arial"/>
                <w:sz w:val="16"/>
                <w:szCs w:val="16"/>
                <w:color w:val="auto"/>
              </w:rPr>
              <w:t>(11,495,721)</w:t>
            </w:r>
          </w:p>
        </w:tc>
        <w:tc>
          <w:tcPr>
            <w:tcW w:w="120" w:type="dxa"/>
            <w:vAlign w:val="bottom"/>
            <w:shd w:val="clear" w:color="auto" w:fill="CCECFF"/>
          </w:tcPr>
          <w:p>
            <w:pPr>
              <w:spacing w:after="0"/>
              <w:rPr>
                <w:sz w:val="18"/>
                <w:szCs w:val="18"/>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5,910,402</w:t>
            </w:r>
          </w:p>
        </w:tc>
        <w:tc>
          <w:tcPr>
            <w:tcW w:w="2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80" w:type="dxa"/>
            <w:vAlign w:val="bottom"/>
          </w:tcPr>
          <w:p>
            <w:pPr>
              <w:spacing w:after="0"/>
              <w:rPr>
                <w:sz w:val="20"/>
                <w:szCs w:val="20"/>
                <w:color w:val="auto"/>
              </w:rPr>
            </w:pPr>
            <w:r>
              <w:rPr>
                <w:rFonts w:ascii="Arial" w:cs="Arial" w:eastAsia="Arial" w:hAnsi="Arial"/>
                <w:sz w:val="16"/>
                <w:szCs w:val="16"/>
                <w:b w:val="1"/>
                <w:bCs w:val="1"/>
                <w:color w:val="auto"/>
              </w:rPr>
              <w:t>Members’ equity</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CFF"/>
          </w:tcPr>
          <w:p>
            <w:pPr>
              <w:spacing w:after="0"/>
              <w:rPr>
                <w:sz w:val="20"/>
                <w:szCs w:val="20"/>
                <w:color w:val="auto"/>
              </w:rPr>
            </w:pPr>
            <w:r>
              <w:rPr>
                <w:rFonts w:ascii="Arial" w:cs="Arial" w:eastAsia="Arial" w:hAnsi="Arial"/>
                <w:sz w:val="16"/>
                <w:szCs w:val="16"/>
                <w:color w:val="auto"/>
              </w:rPr>
              <w:t>Beginning of year</w:t>
            </w:r>
          </w:p>
        </w:tc>
        <w:tc>
          <w:tcPr>
            <w:tcW w:w="160" w:type="dxa"/>
            <w:vAlign w:val="bottom"/>
            <w:tcBorders>
              <w:bottom w:val="single" w:sz="8" w:color="auto"/>
            </w:tcBorders>
            <w:shd w:val="clear" w:color="auto" w:fill="CCECFF"/>
          </w:tcPr>
          <w:p>
            <w:pPr>
              <w:spacing w:after="0"/>
              <w:rPr>
                <w:sz w:val="19"/>
                <w:szCs w:val="19"/>
                <w:color w:val="auto"/>
              </w:rPr>
            </w:pPr>
          </w:p>
        </w:tc>
        <w:tc>
          <w:tcPr>
            <w:tcW w:w="1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57,107,806</w:t>
            </w:r>
          </w:p>
        </w:tc>
        <w:tc>
          <w:tcPr>
            <w:tcW w:w="300" w:type="dxa"/>
            <w:vAlign w:val="bottom"/>
            <w:shd w:val="clear" w:color="auto" w:fill="CCECFF"/>
          </w:tcPr>
          <w:p>
            <w:pPr>
              <w:spacing w:after="0"/>
              <w:rPr>
                <w:sz w:val="19"/>
                <w:szCs w:val="19"/>
                <w:color w:val="auto"/>
              </w:rPr>
            </w:pPr>
          </w:p>
        </w:tc>
        <w:tc>
          <w:tcPr>
            <w:tcW w:w="120" w:type="dxa"/>
            <w:vAlign w:val="bottom"/>
            <w:tcBorders>
              <w:bottom w:val="single" w:sz="8" w:color="auto"/>
            </w:tcBorders>
            <w:shd w:val="clear" w:color="auto" w:fill="CCECFF"/>
          </w:tcPr>
          <w:p>
            <w:pPr>
              <w:spacing w:after="0"/>
              <w:rPr>
                <w:sz w:val="19"/>
                <w:szCs w:val="19"/>
                <w:color w:val="auto"/>
              </w:rPr>
            </w:pPr>
          </w:p>
        </w:tc>
        <w:tc>
          <w:tcPr>
            <w:tcW w:w="1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51,197,404</w:t>
            </w:r>
          </w:p>
        </w:tc>
        <w:tc>
          <w:tcPr>
            <w:tcW w:w="28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080" w:type="dxa"/>
            <w:vAlign w:val="bottom"/>
          </w:tcPr>
          <w:p>
            <w:pPr>
              <w:spacing w:after="0"/>
              <w:rPr>
                <w:sz w:val="20"/>
                <w:szCs w:val="20"/>
                <w:color w:val="auto"/>
              </w:rPr>
            </w:pPr>
            <w:r>
              <w:rPr>
                <w:rFonts w:ascii="Arial" w:cs="Arial" w:eastAsia="Arial" w:hAnsi="Arial"/>
                <w:sz w:val="16"/>
                <w:szCs w:val="16"/>
                <w:color w:val="auto"/>
              </w:rPr>
              <w:t>End of year</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45,612,085</w:t>
            </w:r>
          </w:p>
        </w:tc>
        <w:tc>
          <w:tcPr>
            <w:tcW w:w="3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57,107,806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3"/>
              </w:rPr>
              <w:t>Year Ended</w:t>
            </w:r>
          </w:p>
        </w:tc>
        <w:tc>
          <w:tcPr>
            <w:tcW w:w="160" w:type="dxa"/>
            <w:vAlign w:val="bottom"/>
          </w:tcPr>
          <w:p>
            <w:pPr>
              <w:spacing w:after="0"/>
              <w:rPr>
                <w:sz w:val="17"/>
                <w:szCs w:val="17"/>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Year Ended</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7"/>
                <w:szCs w:val="17"/>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3"/>
        </w:trPr>
        <w:tc>
          <w:tcPr>
            <w:tcW w:w="2480" w:type="dxa"/>
            <w:vAlign w:val="bottom"/>
            <w:tcBorders>
              <w:bottom w:val="single" w:sz="8" w:color="CCECFF"/>
            </w:tcBorders>
          </w:tcPr>
          <w:p>
            <w:pPr>
              <w:spacing w:after="0"/>
              <w:rPr>
                <w:sz w:val="18"/>
                <w:szCs w:val="18"/>
                <w:color w:val="auto"/>
              </w:rPr>
            </w:pPr>
          </w:p>
        </w:tc>
        <w:tc>
          <w:tcPr>
            <w:tcW w:w="4880" w:type="dxa"/>
            <w:vAlign w:val="bottom"/>
            <w:tcBorders>
              <w:bottom w:val="single" w:sz="8" w:color="CCEC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5"/>
              </w:rPr>
              <w:t>2020</w:t>
            </w:r>
          </w:p>
        </w:tc>
        <w:tc>
          <w:tcPr>
            <w:tcW w:w="420" w:type="dxa"/>
            <w:vAlign w:val="bottom"/>
            <w:tcBorders>
              <w:bottom w:val="single" w:sz="8" w:color="CCEC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2019</w:t>
            </w:r>
          </w:p>
        </w:tc>
        <w:tc>
          <w:tcPr>
            <w:tcW w:w="260" w:type="dxa"/>
            <w:vAlign w:val="bottom"/>
            <w:tcBorders>
              <w:bottom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60" w:type="dxa"/>
            <w:vAlign w:val="bottom"/>
            <w:gridSpan w:val="2"/>
            <w:shd w:val="clear" w:color="auto" w:fill="CCEC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shd w:val="clear" w:color="auto" w:fill="CCECFF"/>
          </w:tcPr>
          <w:p>
            <w:pPr>
              <w:spacing w:after="0"/>
              <w:rPr>
                <w:sz w:val="18"/>
                <w:szCs w:val="18"/>
                <w:color w:val="auto"/>
              </w:rPr>
            </w:pPr>
          </w:p>
        </w:tc>
        <w:tc>
          <w:tcPr>
            <w:tcW w:w="148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3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gridSpan w:val="2"/>
          </w:tcPr>
          <w:p>
            <w:pPr>
              <w:ind w:left="140"/>
              <w:spacing w:after="0"/>
              <w:rPr>
                <w:sz w:val="20"/>
                <w:szCs w:val="20"/>
                <w:color w:val="auto"/>
              </w:rPr>
            </w:pPr>
            <w:r>
              <w:rPr>
                <w:rFonts w:ascii="Arial" w:cs="Arial" w:eastAsia="Arial" w:hAnsi="Arial"/>
                <w:sz w:val="16"/>
                <w:szCs w:val="16"/>
                <w:color w:val="auto"/>
              </w:rPr>
              <w:t>Net (decrease) increase in members’ equity resulting from operations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360"/>
              <w:spacing w:after="0"/>
              <w:rPr>
                <w:sz w:val="20"/>
                <w:szCs w:val="20"/>
                <w:color w:val="auto"/>
              </w:rPr>
            </w:pPr>
            <w:r>
              <w:rPr>
                <w:rFonts w:ascii="Arial" w:cs="Arial" w:eastAsia="Arial" w:hAnsi="Arial"/>
                <w:sz w:val="16"/>
                <w:szCs w:val="16"/>
                <w:color w:val="auto"/>
              </w:rPr>
              <w:t>(6,255,721)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2,760,402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gridSpan w:val="2"/>
            <w:shd w:val="clear" w:color="auto" w:fill="CCECFF"/>
          </w:tcPr>
          <w:p>
            <w:pPr>
              <w:ind w:left="140"/>
              <w:spacing w:after="0"/>
              <w:rPr>
                <w:sz w:val="20"/>
                <w:szCs w:val="20"/>
                <w:color w:val="auto"/>
              </w:rPr>
            </w:pPr>
            <w:r>
              <w:rPr>
                <w:rFonts w:ascii="Arial" w:cs="Arial" w:eastAsia="Arial" w:hAnsi="Arial"/>
                <w:sz w:val="16"/>
                <w:szCs w:val="16"/>
                <w:color w:val="auto"/>
                <w:w w:val="96"/>
              </w:rPr>
              <w:t>Adjustments to reconcile net (decrease) increase in members’ equity resulting from operations to net cash</w:t>
            </w:r>
          </w:p>
        </w:tc>
        <w:tc>
          <w:tcPr>
            <w:tcW w:w="200" w:type="dxa"/>
            <w:vAlign w:val="bottom"/>
            <w:shd w:val="clear" w:color="auto" w:fill="CCECFF"/>
          </w:tcPr>
          <w:p>
            <w:pPr>
              <w:spacing w:after="0"/>
              <w:rPr>
                <w:sz w:val="18"/>
                <w:szCs w:val="18"/>
                <w:color w:val="auto"/>
              </w:rPr>
            </w:pPr>
          </w:p>
        </w:tc>
        <w:tc>
          <w:tcPr>
            <w:tcW w:w="148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3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60" w:type="dxa"/>
            <w:vAlign w:val="bottom"/>
            <w:gridSpan w:val="2"/>
            <w:shd w:val="clear" w:color="auto" w:fill="CCECFF"/>
          </w:tcPr>
          <w:p>
            <w:pPr>
              <w:ind w:left="140"/>
              <w:spacing w:after="0"/>
              <w:rPr>
                <w:sz w:val="20"/>
                <w:szCs w:val="20"/>
                <w:color w:val="auto"/>
              </w:rPr>
            </w:pPr>
            <w:r>
              <w:rPr>
                <w:rFonts w:ascii="Arial" w:cs="Arial" w:eastAsia="Arial" w:hAnsi="Arial"/>
                <w:sz w:val="16"/>
                <w:szCs w:val="16"/>
                <w:color w:val="auto"/>
              </w:rPr>
              <w:t>provided by (used in) operating activities:</w:t>
            </w:r>
          </w:p>
        </w:tc>
        <w:tc>
          <w:tcPr>
            <w:tcW w:w="200" w:type="dxa"/>
            <w:vAlign w:val="bottom"/>
            <w:shd w:val="clear" w:color="auto" w:fill="CCECFF"/>
          </w:tcPr>
          <w:p>
            <w:pPr>
              <w:spacing w:after="0"/>
              <w:rPr>
                <w:sz w:val="18"/>
                <w:szCs w:val="18"/>
                <w:color w:val="auto"/>
              </w:rPr>
            </w:pPr>
          </w:p>
        </w:tc>
        <w:tc>
          <w:tcPr>
            <w:tcW w:w="148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3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gridSpan w:val="2"/>
          </w:tcPr>
          <w:p>
            <w:pPr>
              <w:ind w:left="380"/>
              <w:spacing w:after="0"/>
              <w:rPr>
                <w:sz w:val="20"/>
                <w:szCs w:val="20"/>
                <w:color w:val="auto"/>
              </w:rPr>
            </w:pPr>
            <w:r>
              <w:rPr>
                <w:rFonts w:ascii="Arial" w:cs="Arial" w:eastAsia="Arial" w:hAnsi="Arial"/>
                <w:sz w:val="16"/>
                <w:szCs w:val="16"/>
                <w:color w:val="auto"/>
              </w:rPr>
              <w:t>Net change in unrealized depreciation on investments and cash equivalents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9,368,121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5,976,299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gridSpan w:val="2"/>
            <w:shd w:val="clear" w:color="auto" w:fill="CCECFF"/>
          </w:tcPr>
          <w:p>
            <w:pPr>
              <w:ind w:left="380"/>
              <w:spacing w:after="0"/>
              <w:rPr>
                <w:sz w:val="20"/>
                <w:szCs w:val="20"/>
                <w:color w:val="auto"/>
              </w:rPr>
            </w:pPr>
            <w:r>
              <w:rPr>
                <w:rFonts w:ascii="Arial" w:cs="Arial" w:eastAsia="Arial" w:hAnsi="Arial"/>
                <w:sz w:val="16"/>
                <w:szCs w:val="16"/>
                <w:color w:val="auto"/>
              </w:rPr>
              <w:t>Net change in unrealized (appreciation) depreciation on Credit Facility foreign</w:t>
            </w:r>
          </w:p>
        </w:tc>
        <w:tc>
          <w:tcPr>
            <w:tcW w:w="200" w:type="dxa"/>
            <w:vAlign w:val="bottom"/>
            <w:shd w:val="clear" w:color="auto" w:fill="CCECFF"/>
          </w:tcPr>
          <w:p>
            <w:pPr>
              <w:spacing w:after="0"/>
              <w:rPr>
                <w:sz w:val="18"/>
                <w:szCs w:val="18"/>
                <w:color w:val="auto"/>
              </w:rPr>
            </w:pPr>
          </w:p>
        </w:tc>
        <w:tc>
          <w:tcPr>
            <w:tcW w:w="148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3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60" w:type="dxa"/>
            <w:vAlign w:val="bottom"/>
            <w:gridSpan w:val="2"/>
            <w:shd w:val="clear" w:color="auto" w:fill="CCECFF"/>
          </w:tcPr>
          <w:p>
            <w:pPr>
              <w:ind w:left="500"/>
              <w:spacing w:after="0"/>
              <w:rPr>
                <w:sz w:val="20"/>
                <w:szCs w:val="20"/>
                <w:color w:val="auto"/>
              </w:rPr>
            </w:pPr>
            <w:r>
              <w:rPr>
                <w:rFonts w:ascii="Arial" w:cs="Arial" w:eastAsia="Arial" w:hAnsi="Arial"/>
                <w:sz w:val="16"/>
                <w:szCs w:val="16"/>
                <w:color w:val="auto"/>
              </w:rPr>
              <w:t>currency translations</w:t>
            </w:r>
          </w:p>
        </w:tc>
        <w:tc>
          <w:tcPr>
            <w:tcW w:w="200" w:type="dxa"/>
            <w:vAlign w:val="bottom"/>
            <w:shd w:val="clear" w:color="auto" w:fill="CCECFF"/>
          </w:tcPr>
          <w:p>
            <w:pPr>
              <w:spacing w:after="0"/>
              <w:rPr>
                <w:sz w:val="18"/>
                <w:szCs w:val="18"/>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2,210,907</w:t>
            </w:r>
          </w:p>
        </w:tc>
        <w:tc>
          <w:tcPr>
            <w:tcW w:w="4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620" w:type="dxa"/>
            <w:vAlign w:val="bottom"/>
            <w:gridSpan w:val="2"/>
            <w:shd w:val="clear" w:color="auto" w:fill="CCECFF"/>
          </w:tcPr>
          <w:p>
            <w:pPr>
              <w:jc w:val="right"/>
              <w:ind w:right="200"/>
              <w:spacing w:after="0"/>
              <w:rPr>
                <w:sz w:val="20"/>
                <w:szCs w:val="20"/>
                <w:color w:val="auto"/>
              </w:rPr>
            </w:pPr>
            <w:r>
              <w:rPr>
                <w:rFonts w:ascii="Arial" w:cs="Arial" w:eastAsia="Arial" w:hAnsi="Arial"/>
                <w:sz w:val="16"/>
                <w:szCs w:val="16"/>
                <w:color w:val="auto"/>
              </w:rPr>
              <w:t>(1,887,878)</w:t>
            </w:r>
          </w:p>
        </w:tc>
        <w:tc>
          <w:tcPr>
            <w:tcW w:w="0" w:type="dxa"/>
            <w:vAlign w:val="bottom"/>
          </w:tcPr>
          <w:p>
            <w:pPr>
              <w:spacing w:after="0"/>
              <w:rPr>
                <w:sz w:val="1"/>
                <w:szCs w:val="1"/>
                <w:color w:val="auto"/>
              </w:rPr>
            </w:pPr>
          </w:p>
        </w:tc>
      </w:tr>
      <w:tr>
        <w:trPr>
          <w:trHeight w:val="213"/>
        </w:trPr>
        <w:tc>
          <w:tcPr>
            <w:tcW w:w="7360" w:type="dxa"/>
            <w:vAlign w:val="bottom"/>
            <w:gridSpan w:val="2"/>
          </w:tcPr>
          <w:p>
            <w:pPr>
              <w:ind w:left="380"/>
              <w:spacing w:after="0"/>
              <w:rPr>
                <w:sz w:val="20"/>
                <w:szCs w:val="20"/>
                <w:color w:val="auto"/>
              </w:rPr>
            </w:pPr>
            <w:r>
              <w:rPr>
                <w:rFonts w:ascii="Arial" w:cs="Arial" w:eastAsia="Arial" w:hAnsi="Arial"/>
                <w:sz w:val="16"/>
                <w:szCs w:val="16"/>
                <w:color w:val="auto"/>
              </w:rPr>
              <w:t>Net realized loss on investments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992,974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885,069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gridSpan w:val="2"/>
            <w:shd w:val="clear" w:color="auto" w:fill="CCECFF"/>
          </w:tcPr>
          <w:p>
            <w:pPr>
              <w:ind w:left="380"/>
              <w:spacing w:after="0"/>
              <w:rPr>
                <w:sz w:val="20"/>
                <w:szCs w:val="20"/>
                <w:color w:val="auto"/>
              </w:rPr>
            </w:pPr>
            <w:r>
              <w:rPr>
                <w:rFonts w:ascii="Arial" w:cs="Arial" w:eastAsia="Arial" w:hAnsi="Arial"/>
                <w:sz w:val="16"/>
                <w:szCs w:val="16"/>
                <w:color w:val="auto"/>
              </w:rPr>
              <w:t>Net accretion of discount and amortization of premium</w:t>
            </w:r>
          </w:p>
        </w:tc>
        <w:tc>
          <w:tcPr>
            <w:tcW w:w="200" w:type="dxa"/>
            <w:vAlign w:val="bottom"/>
            <w:shd w:val="clear" w:color="auto" w:fill="CCECFF"/>
          </w:tcPr>
          <w:p>
            <w:pPr>
              <w:spacing w:after="0"/>
              <w:rPr>
                <w:sz w:val="19"/>
                <w:szCs w:val="19"/>
                <w:color w:val="auto"/>
              </w:rPr>
            </w:pPr>
          </w:p>
        </w:tc>
        <w:tc>
          <w:tcPr>
            <w:tcW w:w="1900" w:type="dxa"/>
            <w:vAlign w:val="bottom"/>
            <w:gridSpan w:val="2"/>
            <w:shd w:val="clear" w:color="auto" w:fill="CCECFF"/>
          </w:tcPr>
          <w:p>
            <w:pPr>
              <w:jc w:val="right"/>
              <w:ind w:right="360"/>
              <w:spacing w:after="0"/>
              <w:rPr>
                <w:sz w:val="20"/>
                <w:szCs w:val="20"/>
                <w:color w:val="auto"/>
              </w:rPr>
            </w:pPr>
            <w:r>
              <w:rPr>
                <w:rFonts w:ascii="Arial" w:cs="Arial" w:eastAsia="Arial" w:hAnsi="Arial"/>
                <w:sz w:val="16"/>
                <w:szCs w:val="16"/>
                <w:color w:val="auto"/>
              </w:rPr>
              <w:t>(703,578)</w:t>
            </w:r>
          </w:p>
        </w:tc>
        <w:tc>
          <w:tcPr>
            <w:tcW w:w="160" w:type="dxa"/>
            <w:vAlign w:val="bottom"/>
            <w:shd w:val="clear" w:color="auto" w:fill="CCECFF"/>
          </w:tcPr>
          <w:p>
            <w:pPr>
              <w:spacing w:after="0"/>
              <w:rPr>
                <w:sz w:val="19"/>
                <w:szCs w:val="19"/>
                <w:color w:val="auto"/>
              </w:rPr>
            </w:pPr>
          </w:p>
        </w:tc>
        <w:tc>
          <w:tcPr>
            <w:tcW w:w="1620" w:type="dxa"/>
            <w:vAlign w:val="bottom"/>
            <w:gridSpan w:val="2"/>
            <w:shd w:val="clear" w:color="auto" w:fill="CCECFF"/>
          </w:tcPr>
          <w:p>
            <w:pPr>
              <w:jc w:val="right"/>
              <w:ind w:right="200"/>
              <w:spacing w:after="0"/>
              <w:rPr>
                <w:sz w:val="20"/>
                <w:szCs w:val="20"/>
                <w:color w:val="auto"/>
              </w:rPr>
            </w:pPr>
            <w:r>
              <w:rPr>
                <w:rFonts w:ascii="Arial" w:cs="Arial" w:eastAsia="Arial" w:hAnsi="Arial"/>
                <w:sz w:val="16"/>
                <w:szCs w:val="16"/>
                <w:color w:val="auto"/>
              </w:rPr>
              <w:t>(812,111)</w:t>
            </w:r>
          </w:p>
        </w:tc>
        <w:tc>
          <w:tcPr>
            <w:tcW w:w="0" w:type="dxa"/>
            <w:vAlign w:val="bottom"/>
          </w:tcPr>
          <w:p>
            <w:pPr>
              <w:spacing w:after="0"/>
              <w:rPr>
                <w:sz w:val="1"/>
                <w:szCs w:val="1"/>
                <w:color w:val="auto"/>
              </w:rPr>
            </w:pPr>
          </w:p>
        </w:tc>
      </w:tr>
      <w:tr>
        <w:trPr>
          <w:trHeight w:val="213"/>
        </w:trPr>
        <w:tc>
          <w:tcPr>
            <w:tcW w:w="7360" w:type="dxa"/>
            <w:vAlign w:val="bottom"/>
            <w:gridSpan w:val="2"/>
          </w:tcPr>
          <w:p>
            <w:pPr>
              <w:ind w:left="380"/>
              <w:spacing w:after="0"/>
              <w:rPr>
                <w:sz w:val="20"/>
                <w:szCs w:val="20"/>
                <w:color w:val="auto"/>
              </w:rPr>
            </w:pPr>
            <w:r>
              <w:rPr>
                <w:rFonts w:ascii="Arial" w:cs="Arial" w:eastAsia="Arial" w:hAnsi="Arial"/>
                <w:sz w:val="16"/>
                <w:szCs w:val="16"/>
                <w:color w:val="auto"/>
              </w:rPr>
              <w:t>Purchases of investments</w:t>
            </w:r>
          </w:p>
        </w:tc>
        <w:tc>
          <w:tcPr>
            <w:tcW w:w="200" w:type="dxa"/>
            <w:vAlign w:val="bottom"/>
          </w:tcPr>
          <w:p>
            <w:pPr>
              <w:spacing w:after="0"/>
              <w:rPr>
                <w:sz w:val="18"/>
                <w:szCs w:val="18"/>
                <w:color w:val="auto"/>
              </w:rPr>
            </w:pPr>
          </w:p>
        </w:tc>
        <w:tc>
          <w:tcPr>
            <w:tcW w:w="1900" w:type="dxa"/>
            <w:vAlign w:val="bottom"/>
            <w:gridSpan w:val="2"/>
          </w:tcPr>
          <w:p>
            <w:pPr>
              <w:jc w:val="right"/>
              <w:ind w:right="360"/>
              <w:spacing w:after="0"/>
              <w:rPr>
                <w:sz w:val="20"/>
                <w:szCs w:val="20"/>
                <w:color w:val="auto"/>
              </w:rPr>
            </w:pPr>
            <w:r>
              <w:rPr>
                <w:rFonts w:ascii="Arial" w:cs="Arial" w:eastAsia="Arial" w:hAnsi="Arial"/>
                <w:sz w:val="16"/>
                <w:szCs w:val="16"/>
                <w:color w:val="auto"/>
              </w:rPr>
              <w:t>(87,059,309)</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(228,607,947)</w:t>
            </w:r>
          </w:p>
        </w:tc>
        <w:tc>
          <w:tcPr>
            <w:tcW w:w="0" w:type="dxa"/>
            <w:vAlign w:val="bottom"/>
          </w:tcPr>
          <w:p>
            <w:pPr>
              <w:spacing w:after="0"/>
              <w:rPr>
                <w:sz w:val="1"/>
                <w:szCs w:val="1"/>
                <w:color w:val="auto"/>
              </w:rPr>
            </w:pPr>
          </w:p>
        </w:tc>
      </w:tr>
      <w:tr>
        <w:trPr>
          <w:trHeight w:val="219"/>
        </w:trPr>
        <w:tc>
          <w:tcPr>
            <w:tcW w:w="7360" w:type="dxa"/>
            <w:vAlign w:val="bottom"/>
            <w:gridSpan w:val="2"/>
            <w:shd w:val="clear" w:color="auto" w:fill="CCECFF"/>
          </w:tcPr>
          <w:p>
            <w:pPr>
              <w:ind w:left="380"/>
              <w:spacing w:after="0"/>
              <w:rPr>
                <w:sz w:val="20"/>
                <w:szCs w:val="20"/>
                <w:color w:val="auto"/>
              </w:rPr>
            </w:pPr>
            <w:r>
              <w:rPr>
                <w:rFonts w:ascii="Arial" w:cs="Arial" w:eastAsia="Arial" w:hAnsi="Arial"/>
                <w:sz w:val="16"/>
                <w:szCs w:val="16"/>
                <w:color w:val="auto"/>
              </w:rPr>
              <w:t>Payment-in-kind interest</w:t>
            </w:r>
          </w:p>
        </w:tc>
        <w:tc>
          <w:tcPr>
            <w:tcW w:w="200" w:type="dxa"/>
            <w:vAlign w:val="bottom"/>
            <w:shd w:val="clear" w:color="auto" w:fill="CCECFF"/>
          </w:tcPr>
          <w:p>
            <w:pPr>
              <w:spacing w:after="0"/>
              <w:rPr>
                <w:sz w:val="19"/>
                <w:szCs w:val="19"/>
                <w:color w:val="auto"/>
              </w:rPr>
            </w:pPr>
          </w:p>
        </w:tc>
        <w:tc>
          <w:tcPr>
            <w:tcW w:w="1900" w:type="dxa"/>
            <w:vAlign w:val="bottom"/>
            <w:gridSpan w:val="2"/>
            <w:shd w:val="clear" w:color="auto" w:fill="CCECFF"/>
          </w:tcPr>
          <w:p>
            <w:pPr>
              <w:jc w:val="right"/>
              <w:ind w:right="360"/>
              <w:spacing w:after="0"/>
              <w:rPr>
                <w:sz w:val="20"/>
                <w:szCs w:val="20"/>
                <w:color w:val="auto"/>
              </w:rPr>
            </w:pPr>
            <w:r>
              <w:rPr>
                <w:rFonts w:ascii="Arial" w:cs="Arial" w:eastAsia="Arial" w:hAnsi="Arial"/>
                <w:sz w:val="16"/>
                <w:szCs w:val="16"/>
                <w:color w:val="auto"/>
              </w:rPr>
              <w:t>(761,512)</w:t>
            </w:r>
          </w:p>
        </w:tc>
        <w:tc>
          <w:tcPr>
            <w:tcW w:w="160" w:type="dxa"/>
            <w:vAlign w:val="bottom"/>
            <w:shd w:val="clear" w:color="auto" w:fill="CCECFF"/>
          </w:tcPr>
          <w:p>
            <w:pPr>
              <w:spacing w:after="0"/>
              <w:rPr>
                <w:sz w:val="19"/>
                <w:szCs w:val="19"/>
                <w:color w:val="auto"/>
              </w:rPr>
            </w:pPr>
          </w:p>
        </w:tc>
        <w:tc>
          <w:tcPr>
            <w:tcW w:w="1620" w:type="dxa"/>
            <w:vAlign w:val="bottom"/>
            <w:gridSpan w:val="2"/>
            <w:shd w:val="clear" w:color="auto" w:fill="CCECFF"/>
          </w:tcPr>
          <w:p>
            <w:pPr>
              <w:jc w:val="right"/>
              <w:ind w:right="200"/>
              <w:spacing w:after="0"/>
              <w:rPr>
                <w:sz w:val="20"/>
                <w:szCs w:val="20"/>
                <w:color w:val="auto"/>
              </w:rPr>
            </w:pPr>
            <w:r>
              <w:rPr>
                <w:rFonts w:ascii="Arial" w:cs="Arial" w:eastAsia="Arial" w:hAnsi="Arial"/>
                <w:sz w:val="16"/>
                <w:szCs w:val="16"/>
                <w:color w:val="auto"/>
              </w:rPr>
              <w:t>(438,106)</w:t>
            </w:r>
          </w:p>
        </w:tc>
        <w:tc>
          <w:tcPr>
            <w:tcW w:w="0" w:type="dxa"/>
            <w:vAlign w:val="bottom"/>
          </w:tcPr>
          <w:p>
            <w:pPr>
              <w:spacing w:after="0"/>
              <w:rPr>
                <w:sz w:val="1"/>
                <w:szCs w:val="1"/>
                <w:color w:val="auto"/>
              </w:rPr>
            </w:pPr>
          </w:p>
        </w:tc>
      </w:tr>
      <w:tr>
        <w:trPr>
          <w:trHeight w:val="213"/>
        </w:trPr>
        <w:tc>
          <w:tcPr>
            <w:tcW w:w="7360" w:type="dxa"/>
            <w:vAlign w:val="bottom"/>
            <w:gridSpan w:val="2"/>
          </w:tcPr>
          <w:p>
            <w:pPr>
              <w:ind w:left="380"/>
              <w:spacing w:after="0"/>
              <w:rPr>
                <w:sz w:val="20"/>
                <w:szCs w:val="20"/>
                <w:color w:val="auto"/>
              </w:rPr>
            </w:pPr>
            <w:r>
              <w:rPr>
                <w:rFonts w:ascii="Arial" w:cs="Arial" w:eastAsia="Arial" w:hAnsi="Arial"/>
                <w:sz w:val="16"/>
                <w:szCs w:val="16"/>
                <w:color w:val="auto"/>
              </w:rPr>
              <w:t>Proceeds from disposition of investments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172,587,943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159,930,292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gridSpan w:val="2"/>
            <w:shd w:val="clear" w:color="auto" w:fill="CCECFF"/>
          </w:tcPr>
          <w:p>
            <w:pPr>
              <w:ind w:left="380"/>
              <w:spacing w:after="0"/>
              <w:rPr>
                <w:sz w:val="20"/>
                <w:szCs w:val="20"/>
                <w:color w:val="auto"/>
              </w:rPr>
            </w:pPr>
            <w:r>
              <w:rPr>
                <w:rFonts w:ascii="Arial" w:cs="Arial" w:eastAsia="Arial" w:hAnsi="Arial"/>
                <w:sz w:val="16"/>
                <w:szCs w:val="16"/>
                <w:color w:val="auto"/>
              </w:rPr>
              <w:t>Increase in interest receivable</w:t>
            </w:r>
          </w:p>
        </w:tc>
        <w:tc>
          <w:tcPr>
            <w:tcW w:w="200" w:type="dxa"/>
            <w:vAlign w:val="bottom"/>
            <w:shd w:val="clear" w:color="auto" w:fill="CCECFF"/>
          </w:tcPr>
          <w:p>
            <w:pPr>
              <w:spacing w:after="0"/>
              <w:rPr>
                <w:sz w:val="19"/>
                <w:szCs w:val="19"/>
                <w:color w:val="auto"/>
              </w:rPr>
            </w:pPr>
          </w:p>
        </w:tc>
        <w:tc>
          <w:tcPr>
            <w:tcW w:w="1900" w:type="dxa"/>
            <w:vAlign w:val="bottom"/>
            <w:gridSpan w:val="2"/>
            <w:shd w:val="clear" w:color="auto" w:fill="CCECFF"/>
          </w:tcPr>
          <w:p>
            <w:pPr>
              <w:jc w:val="right"/>
              <w:ind w:right="360"/>
              <w:spacing w:after="0"/>
              <w:rPr>
                <w:sz w:val="20"/>
                <w:szCs w:val="20"/>
                <w:color w:val="auto"/>
              </w:rPr>
            </w:pPr>
            <w:r>
              <w:rPr>
                <w:rFonts w:ascii="Arial" w:cs="Arial" w:eastAsia="Arial" w:hAnsi="Arial"/>
                <w:sz w:val="16"/>
                <w:szCs w:val="16"/>
                <w:color w:val="auto"/>
              </w:rPr>
              <w:t>(380,050)</w:t>
            </w:r>
          </w:p>
        </w:tc>
        <w:tc>
          <w:tcPr>
            <w:tcW w:w="160" w:type="dxa"/>
            <w:vAlign w:val="bottom"/>
            <w:shd w:val="clear" w:color="auto" w:fill="CCECFF"/>
          </w:tcPr>
          <w:p>
            <w:pPr>
              <w:spacing w:after="0"/>
              <w:rPr>
                <w:sz w:val="19"/>
                <w:szCs w:val="19"/>
                <w:color w:val="auto"/>
              </w:rPr>
            </w:pPr>
          </w:p>
        </w:tc>
        <w:tc>
          <w:tcPr>
            <w:tcW w:w="1620" w:type="dxa"/>
            <w:vAlign w:val="bottom"/>
            <w:gridSpan w:val="2"/>
            <w:shd w:val="clear" w:color="auto" w:fill="CCECFF"/>
          </w:tcPr>
          <w:p>
            <w:pPr>
              <w:jc w:val="right"/>
              <w:ind w:right="200"/>
              <w:spacing w:after="0"/>
              <w:rPr>
                <w:sz w:val="20"/>
                <w:szCs w:val="20"/>
                <w:color w:val="auto"/>
              </w:rPr>
            </w:pPr>
            <w:r>
              <w:rPr>
                <w:rFonts w:ascii="Arial" w:cs="Arial" w:eastAsia="Arial" w:hAnsi="Arial"/>
                <w:sz w:val="16"/>
                <w:szCs w:val="16"/>
                <w:color w:val="auto"/>
              </w:rPr>
              <w:t>(185,492)</w:t>
            </w:r>
          </w:p>
        </w:tc>
        <w:tc>
          <w:tcPr>
            <w:tcW w:w="0" w:type="dxa"/>
            <w:vAlign w:val="bottom"/>
          </w:tcPr>
          <w:p>
            <w:pPr>
              <w:spacing w:after="0"/>
              <w:rPr>
                <w:sz w:val="1"/>
                <w:szCs w:val="1"/>
                <w:color w:val="auto"/>
              </w:rPr>
            </w:pPr>
          </w:p>
        </w:tc>
      </w:tr>
      <w:tr>
        <w:trPr>
          <w:trHeight w:val="213"/>
        </w:trPr>
        <w:tc>
          <w:tcPr>
            <w:tcW w:w="7360" w:type="dxa"/>
            <w:vAlign w:val="bottom"/>
            <w:gridSpan w:val="2"/>
          </w:tcPr>
          <w:p>
            <w:pPr>
              <w:ind w:left="380"/>
              <w:spacing w:after="0"/>
              <w:rPr>
                <w:sz w:val="20"/>
                <w:szCs w:val="20"/>
                <w:color w:val="auto"/>
              </w:rPr>
            </w:pPr>
            <w:r>
              <w:rPr>
                <w:rFonts w:ascii="Arial" w:cs="Arial" w:eastAsia="Arial" w:hAnsi="Arial"/>
                <w:sz w:val="16"/>
                <w:szCs w:val="16"/>
                <w:color w:val="auto"/>
              </w:rPr>
              <w:t>Decrease in prepaid expenses and other assets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933,521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1,788,144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gridSpan w:val="2"/>
            <w:shd w:val="clear" w:color="auto" w:fill="CCECFF"/>
          </w:tcPr>
          <w:p>
            <w:pPr>
              <w:ind w:left="380"/>
              <w:spacing w:after="0"/>
              <w:rPr>
                <w:sz w:val="20"/>
                <w:szCs w:val="20"/>
                <w:color w:val="auto"/>
              </w:rPr>
            </w:pPr>
            <w:r>
              <w:rPr>
                <w:rFonts w:ascii="Arial" w:cs="Arial" w:eastAsia="Arial" w:hAnsi="Arial"/>
                <w:sz w:val="16"/>
                <w:szCs w:val="16"/>
                <w:color w:val="auto"/>
              </w:rPr>
              <w:t>(Decrease) Increase in interest payable on Credit Facility</w:t>
            </w:r>
          </w:p>
        </w:tc>
        <w:tc>
          <w:tcPr>
            <w:tcW w:w="200" w:type="dxa"/>
            <w:vAlign w:val="bottom"/>
            <w:shd w:val="clear" w:color="auto" w:fill="CCECFF"/>
          </w:tcPr>
          <w:p>
            <w:pPr>
              <w:spacing w:after="0"/>
              <w:rPr>
                <w:sz w:val="19"/>
                <w:szCs w:val="19"/>
                <w:color w:val="auto"/>
              </w:rPr>
            </w:pPr>
          </w:p>
        </w:tc>
        <w:tc>
          <w:tcPr>
            <w:tcW w:w="1900" w:type="dxa"/>
            <w:vAlign w:val="bottom"/>
            <w:gridSpan w:val="2"/>
            <w:shd w:val="clear" w:color="auto" w:fill="CCECFF"/>
          </w:tcPr>
          <w:p>
            <w:pPr>
              <w:jc w:val="right"/>
              <w:ind w:right="360"/>
              <w:spacing w:after="0"/>
              <w:rPr>
                <w:sz w:val="20"/>
                <w:szCs w:val="20"/>
                <w:color w:val="auto"/>
              </w:rPr>
            </w:pPr>
            <w:r>
              <w:rPr>
                <w:rFonts w:ascii="Arial" w:cs="Arial" w:eastAsia="Arial" w:hAnsi="Arial"/>
                <w:sz w:val="16"/>
                <w:szCs w:val="16"/>
                <w:color w:val="auto"/>
              </w:rPr>
              <w:t>(661,686)</w:t>
            </w:r>
          </w:p>
        </w:tc>
        <w:tc>
          <w:tcPr>
            <w:tcW w:w="160" w:type="dxa"/>
            <w:vAlign w:val="bottom"/>
            <w:shd w:val="clear" w:color="auto" w:fill="CCECFF"/>
          </w:tcPr>
          <w:p>
            <w:pPr>
              <w:spacing w:after="0"/>
              <w:rPr>
                <w:sz w:val="19"/>
                <w:szCs w:val="19"/>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87,238</w:t>
            </w:r>
          </w:p>
        </w:tc>
        <w:tc>
          <w:tcPr>
            <w:tcW w:w="2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gridSpan w:val="2"/>
          </w:tcPr>
          <w:p>
            <w:pPr>
              <w:ind w:left="380"/>
              <w:spacing w:after="0"/>
              <w:rPr>
                <w:sz w:val="20"/>
                <w:szCs w:val="20"/>
                <w:color w:val="auto"/>
              </w:rPr>
            </w:pPr>
            <w:r>
              <w:rPr>
                <w:rFonts w:ascii="Arial" w:cs="Arial" w:eastAsia="Arial" w:hAnsi="Arial"/>
                <w:sz w:val="16"/>
                <w:szCs w:val="16"/>
                <w:color w:val="auto"/>
              </w:rPr>
              <w:t>Decrease in interest payable on notes to members</w:t>
            </w:r>
          </w:p>
        </w:tc>
        <w:tc>
          <w:tcPr>
            <w:tcW w:w="200" w:type="dxa"/>
            <w:vAlign w:val="bottom"/>
          </w:tcPr>
          <w:p>
            <w:pPr>
              <w:spacing w:after="0"/>
              <w:rPr>
                <w:sz w:val="18"/>
                <w:szCs w:val="18"/>
                <w:color w:val="auto"/>
              </w:rPr>
            </w:pPr>
          </w:p>
        </w:tc>
        <w:tc>
          <w:tcPr>
            <w:tcW w:w="1900" w:type="dxa"/>
            <w:vAlign w:val="bottom"/>
            <w:gridSpan w:val="2"/>
          </w:tcPr>
          <w:p>
            <w:pPr>
              <w:jc w:val="right"/>
              <w:ind w:right="360"/>
              <w:spacing w:after="0"/>
              <w:rPr>
                <w:sz w:val="20"/>
                <w:szCs w:val="20"/>
                <w:color w:val="auto"/>
              </w:rPr>
            </w:pPr>
            <w:r>
              <w:rPr>
                <w:rFonts w:ascii="Arial" w:cs="Arial" w:eastAsia="Arial" w:hAnsi="Arial"/>
                <w:sz w:val="16"/>
                <w:szCs w:val="16"/>
                <w:color w:val="auto"/>
              </w:rPr>
              <w:t>(6,478)</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(60,769)</w:t>
            </w:r>
          </w:p>
        </w:tc>
        <w:tc>
          <w:tcPr>
            <w:tcW w:w="0" w:type="dxa"/>
            <w:vAlign w:val="bottom"/>
          </w:tcPr>
          <w:p>
            <w:pPr>
              <w:spacing w:after="0"/>
              <w:rPr>
                <w:sz w:val="1"/>
                <w:szCs w:val="1"/>
                <w:color w:val="auto"/>
              </w:rPr>
            </w:pPr>
          </w:p>
        </w:tc>
      </w:tr>
      <w:tr>
        <w:trPr>
          <w:trHeight w:val="219"/>
        </w:trPr>
        <w:tc>
          <w:tcPr>
            <w:tcW w:w="7360" w:type="dxa"/>
            <w:vAlign w:val="bottom"/>
            <w:gridSpan w:val="2"/>
            <w:shd w:val="clear" w:color="auto" w:fill="CCECFF"/>
          </w:tcPr>
          <w:p>
            <w:pPr>
              <w:ind w:left="380"/>
              <w:spacing w:after="0"/>
              <w:rPr>
                <w:sz w:val="20"/>
                <w:szCs w:val="20"/>
                <w:color w:val="auto"/>
              </w:rPr>
            </w:pPr>
            <w:r>
              <w:rPr>
                <w:rFonts w:ascii="Arial" w:cs="Arial" w:eastAsia="Arial" w:hAnsi="Arial"/>
                <w:sz w:val="16"/>
                <w:szCs w:val="16"/>
                <w:color w:val="auto"/>
              </w:rPr>
              <w:t>Decrease in accrued expenses</w:t>
            </w:r>
          </w:p>
        </w:tc>
        <w:tc>
          <w:tcPr>
            <w:tcW w:w="200" w:type="dxa"/>
            <w:vAlign w:val="bottom"/>
            <w:shd w:val="clear" w:color="auto" w:fill="CCECFF"/>
          </w:tcPr>
          <w:p>
            <w:pPr>
              <w:spacing w:after="0"/>
              <w:rPr>
                <w:sz w:val="19"/>
                <w:szCs w:val="19"/>
                <w:color w:val="auto"/>
              </w:rPr>
            </w:pPr>
          </w:p>
        </w:tc>
        <w:tc>
          <w:tcPr>
            <w:tcW w:w="1900" w:type="dxa"/>
            <w:vAlign w:val="bottom"/>
            <w:gridSpan w:val="2"/>
            <w:shd w:val="clear" w:color="auto" w:fill="CCECFF"/>
          </w:tcPr>
          <w:p>
            <w:pPr>
              <w:jc w:val="right"/>
              <w:ind w:right="360"/>
              <w:spacing w:after="0"/>
              <w:rPr>
                <w:sz w:val="20"/>
                <w:szCs w:val="20"/>
                <w:color w:val="auto"/>
              </w:rPr>
            </w:pPr>
            <w:r>
              <w:rPr>
                <w:rFonts w:ascii="Arial" w:cs="Arial" w:eastAsia="Arial" w:hAnsi="Arial"/>
                <w:sz w:val="16"/>
                <w:szCs w:val="16"/>
                <w:color w:val="auto"/>
              </w:rPr>
              <w:t>(11,909)</w:t>
            </w:r>
          </w:p>
        </w:tc>
        <w:tc>
          <w:tcPr>
            <w:tcW w:w="160" w:type="dxa"/>
            <w:vAlign w:val="bottom"/>
            <w:shd w:val="clear" w:color="auto" w:fill="CCECFF"/>
          </w:tcPr>
          <w:p>
            <w:pPr>
              <w:spacing w:after="0"/>
              <w:rPr>
                <w:sz w:val="19"/>
                <w:szCs w:val="19"/>
                <w:color w:val="auto"/>
              </w:rPr>
            </w:pPr>
          </w:p>
        </w:tc>
        <w:tc>
          <w:tcPr>
            <w:tcW w:w="1620" w:type="dxa"/>
            <w:vAlign w:val="bottom"/>
            <w:gridSpan w:val="2"/>
            <w:shd w:val="clear" w:color="auto" w:fill="CCECFF"/>
          </w:tcPr>
          <w:p>
            <w:pPr>
              <w:jc w:val="right"/>
              <w:ind w:right="200"/>
              <w:spacing w:after="0"/>
              <w:rPr>
                <w:sz w:val="20"/>
                <w:szCs w:val="20"/>
                <w:color w:val="auto"/>
              </w:rPr>
            </w:pPr>
            <w:r>
              <w:rPr>
                <w:rFonts w:ascii="Arial" w:cs="Arial" w:eastAsia="Arial" w:hAnsi="Arial"/>
                <w:sz w:val="16"/>
                <w:szCs w:val="16"/>
                <w:color w:val="auto"/>
              </w:rPr>
              <w:t>(224,843)</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ind w:left="380"/>
              <w:spacing w:after="0"/>
              <w:rPr>
                <w:sz w:val="20"/>
                <w:szCs w:val="20"/>
                <w:color w:val="auto"/>
              </w:rPr>
            </w:pPr>
            <w:r>
              <w:rPr>
                <w:rFonts w:ascii="Arial" w:cs="Arial" w:eastAsia="Arial" w:hAnsi="Arial"/>
                <w:sz w:val="16"/>
                <w:szCs w:val="16"/>
                <w:color w:val="auto"/>
              </w:rPr>
              <w:t>Net cash provided by (used in) operating activities</w:t>
            </w: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3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90,253,223</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(60,789,702)</w:t>
            </w:r>
          </w:p>
        </w:tc>
        <w:tc>
          <w:tcPr>
            <w:tcW w:w="0" w:type="dxa"/>
            <w:vAlign w:val="bottom"/>
          </w:tcPr>
          <w:p>
            <w:pPr>
              <w:spacing w:after="0"/>
              <w:rPr>
                <w:sz w:val="1"/>
                <w:szCs w:val="1"/>
                <w:color w:val="auto"/>
              </w:rPr>
            </w:pPr>
          </w:p>
        </w:tc>
      </w:tr>
      <w:tr>
        <w:trPr>
          <w:trHeight w:val="213"/>
        </w:trPr>
        <w:tc>
          <w:tcPr>
            <w:tcW w:w="7360" w:type="dxa"/>
            <w:vAlign w:val="bottom"/>
            <w:tcBorders>
              <w:top w:val="single" w:sz="8" w:color="CCECFF"/>
            </w:tcBorders>
            <w:gridSpan w:val="2"/>
            <w:shd w:val="clear" w:color="auto" w:fill="CCECFF"/>
          </w:tcPr>
          <w:p>
            <w:pPr>
              <w:spacing w:after="0" w:line="212" w:lineRule="exact"/>
              <w:rPr>
                <w:sz w:val="20"/>
                <w:szCs w:val="20"/>
                <w:color w:val="auto"/>
              </w:rPr>
            </w:pPr>
            <w:r>
              <w:rPr>
                <w:rFonts w:ascii="Arial" w:cs="Arial" w:eastAsia="Arial" w:hAnsi="Arial"/>
                <w:sz w:val="15"/>
                <w:szCs w:val="15"/>
                <w:b w:val="1"/>
                <w:bCs w:val="1"/>
                <w:color w:val="auto"/>
              </w:rPr>
              <w:t>Cash flows from financing activities:</w:t>
            </w:r>
            <w:r>
              <w:rPr>
                <w:rFonts w:ascii="Arial" w:cs="Arial" w:eastAsia="Arial" w:hAnsi="Arial"/>
                <w:sz w:val="24"/>
                <w:szCs w:val="24"/>
                <w:b w:val="1"/>
                <w:bCs w:val="1"/>
                <w:color w:val="auto"/>
                <w:vertAlign w:val="superscript"/>
              </w:rPr>
              <w:t>(1)</w:t>
            </w:r>
          </w:p>
        </w:tc>
        <w:tc>
          <w:tcPr>
            <w:tcW w:w="200" w:type="dxa"/>
            <w:vAlign w:val="bottom"/>
            <w:tcBorders>
              <w:top w:val="single" w:sz="8" w:color="auto"/>
            </w:tcBorders>
            <w:shd w:val="clear" w:color="auto" w:fill="CCECFF"/>
          </w:tcPr>
          <w:p>
            <w:pPr>
              <w:spacing w:after="0"/>
              <w:rPr>
                <w:sz w:val="18"/>
                <w:szCs w:val="18"/>
                <w:color w:val="auto"/>
              </w:rPr>
            </w:pPr>
          </w:p>
        </w:tc>
        <w:tc>
          <w:tcPr>
            <w:tcW w:w="1480" w:type="dxa"/>
            <w:vAlign w:val="bottom"/>
            <w:tcBorders>
              <w:top w:val="single" w:sz="8" w:color="auto"/>
            </w:tcBorders>
            <w:shd w:val="clear" w:color="auto" w:fill="CCECFF"/>
          </w:tcPr>
          <w:p>
            <w:pPr>
              <w:spacing w:after="0"/>
              <w:rPr>
                <w:sz w:val="18"/>
                <w:szCs w:val="18"/>
                <w:color w:val="auto"/>
              </w:rPr>
            </w:pPr>
          </w:p>
        </w:tc>
        <w:tc>
          <w:tcPr>
            <w:tcW w:w="420" w:type="dxa"/>
            <w:vAlign w:val="bottom"/>
            <w:tcBorders>
              <w:top w:val="single" w:sz="8" w:color="CCECFF"/>
            </w:tcBorders>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spacing w:after="0"/>
              <w:rPr>
                <w:sz w:val="18"/>
                <w:szCs w:val="18"/>
                <w:color w:val="auto"/>
              </w:rPr>
            </w:pPr>
          </w:p>
        </w:tc>
        <w:tc>
          <w:tcPr>
            <w:tcW w:w="1360" w:type="dxa"/>
            <w:vAlign w:val="bottom"/>
            <w:tcBorders>
              <w:top w:val="single" w:sz="8" w:color="auto"/>
            </w:tcBorders>
            <w:shd w:val="clear" w:color="auto" w:fill="CCECFF"/>
          </w:tcPr>
          <w:p>
            <w:pPr>
              <w:spacing w:after="0"/>
              <w:rPr>
                <w:sz w:val="18"/>
                <w:szCs w:val="18"/>
                <w:color w:val="auto"/>
              </w:rPr>
            </w:pPr>
          </w:p>
        </w:tc>
        <w:tc>
          <w:tcPr>
            <w:tcW w:w="260" w:type="dxa"/>
            <w:vAlign w:val="bottom"/>
            <w:tcBorders>
              <w:top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gridSpan w:val="2"/>
          </w:tcPr>
          <w:p>
            <w:pPr>
              <w:ind w:left="380"/>
              <w:spacing w:after="0"/>
              <w:rPr>
                <w:sz w:val="20"/>
                <w:szCs w:val="20"/>
                <w:color w:val="auto"/>
              </w:rPr>
            </w:pPr>
            <w:r>
              <w:rPr>
                <w:rFonts w:ascii="Arial" w:cs="Arial" w:eastAsia="Arial" w:hAnsi="Arial"/>
                <w:sz w:val="16"/>
                <w:szCs w:val="16"/>
                <w:color w:val="auto"/>
              </w:rPr>
              <w:t>Members’ capital contributions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1,560,000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10,350,000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gridSpan w:val="2"/>
            <w:shd w:val="clear" w:color="auto" w:fill="CCECFF"/>
          </w:tcPr>
          <w:p>
            <w:pPr>
              <w:ind w:left="380"/>
              <w:spacing w:after="0"/>
              <w:rPr>
                <w:sz w:val="20"/>
                <w:szCs w:val="20"/>
                <w:color w:val="auto"/>
              </w:rPr>
            </w:pPr>
            <w:r>
              <w:rPr>
                <w:rFonts w:ascii="Arial" w:cs="Arial" w:eastAsia="Arial" w:hAnsi="Arial"/>
                <w:sz w:val="16"/>
                <w:szCs w:val="16"/>
                <w:color w:val="auto"/>
              </w:rPr>
              <w:t>Distributions to members</w:t>
            </w:r>
          </w:p>
        </w:tc>
        <w:tc>
          <w:tcPr>
            <w:tcW w:w="200" w:type="dxa"/>
            <w:vAlign w:val="bottom"/>
            <w:shd w:val="clear" w:color="auto" w:fill="CCECFF"/>
          </w:tcPr>
          <w:p>
            <w:pPr>
              <w:spacing w:after="0"/>
              <w:rPr>
                <w:sz w:val="19"/>
                <w:szCs w:val="19"/>
                <w:color w:val="auto"/>
              </w:rPr>
            </w:pPr>
          </w:p>
        </w:tc>
        <w:tc>
          <w:tcPr>
            <w:tcW w:w="1900" w:type="dxa"/>
            <w:vAlign w:val="bottom"/>
            <w:gridSpan w:val="2"/>
            <w:shd w:val="clear" w:color="auto" w:fill="CCECFF"/>
          </w:tcPr>
          <w:p>
            <w:pPr>
              <w:jc w:val="right"/>
              <w:ind w:right="360"/>
              <w:spacing w:after="0"/>
              <w:rPr>
                <w:sz w:val="20"/>
                <w:szCs w:val="20"/>
                <w:color w:val="auto"/>
              </w:rPr>
            </w:pPr>
            <w:r>
              <w:rPr>
                <w:rFonts w:ascii="Arial" w:cs="Arial" w:eastAsia="Arial" w:hAnsi="Arial"/>
                <w:sz w:val="16"/>
                <w:szCs w:val="16"/>
                <w:color w:val="auto"/>
              </w:rPr>
              <w:t>(6,800,000)</w:t>
            </w:r>
          </w:p>
        </w:tc>
        <w:tc>
          <w:tcPr>
            <w:tcW w:w="160" w:type="dxa"/>
            <w:vAlign w:val="bottom"/>
            <w:shd w:val="clear" w:color="auto" w:fill="CCECFF"/>
          </w:tcPr>
          <w:p>
            <w:pPr>
              <w:spacing w:after="0"/>
              <w:rPr>
                <w:sz w:val="19"/>
                <w:szCs w:val="19"/>
                <w:color w:val="auto"/>
              </w:rPr>
            </w:pPr>
          </w:p>
        </w:tc>
        <w:tc>
          <w:tcPr>
            <w:tcW w:w="1620" w:type="dxa"/>
            <w:vAlign w:val="bottom"/>
            <w:gridSpan w:val="2"/>
            <w:shd w:val="clear" w:color="auto" w:fill="CCECFF"/>
          </w:tcPr>
          <w:p>
            <w:pPr>
              <w:jc w:val="right"/>
              <w:ind w:right="200"/>
              <w:spacing w:after="0"/>
              <w:rPr>
                <w:sz w:val="20"/>
                <w:szCs w:val="20"/>
                <w:color w:val="auto"/>
              </w:rPr>
            </w:pPr>
            <w:r>
              <w:rPr>
                <w:rFonts w:ascii="Arial" w:cs="Arial" w:eastAsia="Arial" w:hAnsi="Arial"/>
                <w:sz w:val="16"/>
                <w:szCs w:val="16"/>
                <w:color w:val="auto"/>
              </w:rPr>
              <w:t>(7,200,000)</w:t>
            </w:r>
          </w:p>
        </w:tc>
        <w:tc>
          <w:tcPr>
            <w:tcW w:w="0" w:type="dxa"/>
            <w:vAlign w:val="bottom"/>
          </w:tcPr>
          <w:p>
            <w:pPr>
              <w:spacing w:after="0"/>
              <w:rPr>
                <w:sz w:val="1"/>
                <w:szCs w:val="1"/>
                <w:color w:val="auto"/>
              </w:rPr>
            </w:pPr>
          </w:p>
        </w:tc>
      </w:tr>
      <w:tr>
        <w:trPr>
          <w:trHeight w:val="213"/>
        </w:trPr>
        <w:tc>
          <w:tcPr>
            <w:tcW w:w="7360" w:type="dxa"/>
            <w:vAlign w:val="bottom"/>
            <w:gridSpan w:val="2"/>
          </w:tcPr>
          <w:p>
            <w:pPr>
              <w:ind w:left="380"/>
              <w:spacing w:after="0"/>
              <w:rPr>
                <w:sz w:val="20"/>
                <w:szCs w:val="20"/>
                <w:color w:val="auto"/>
              </w:rPr>
            </w:pPr>
            <w:r>
              <w:rPr>
                <w:rFonts w:ascii="Arial" w:cs="Arial" w:eastAsia="Arial" w:hAnsi="Arial"/>
                <w:sz w:val="16"/>
                <w:szCs w:val="16"/>
                <w:color w:val="auto"/>
              </w:rPr>
              <w:t>Notes issued to members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3,640,000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24,150,000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gridSpan w:val="2"/>
            <w:shd w:val="clear" w:color="auto" w:fill="CCECFF"/>
          </w:tcPr>
          <w:p>
            <w:pPr>
              <w:ind w:left="380"/>
              <w:spacing w:after="0"/>
              <w:rPr>
                <w:sz w:val="20"/>
                <w:szCs w:val="20"/>
                <w:color w:val="auto"/>
              </w:rPr>
            </w:pPr>
            <w:r>
              <w:rPr>
                <w:rFonts w:ascii="Arial" w:cs="Arial" w:eastAsia="Arial" w:hAnsi="Arial"/>
                <w:sz w:val="16"/>
                <w:szCs w:val="16"/>
                <w:color w:val="auto"/>
              </w:rPr>
              <w:t>Borrowings under Credit Facility</w:t>
            </w:r>
          </w:p>
        </w:tc>
        <w:tc>
          <w:tcPr>
            <w:tcW w:w="200" w:type="dxa"/>
            <w:vAlign w:val="bottom"/>
            <w:shd w:val="clear" w:color="auto" w:fill="CCECFF"/>
          </w:tcPr>
          <w:p>
            <w:pPr>
              <w:spacing w:after="0"/>
              <w:rPr>
                <w:sz w:val="19"/>
                <w:szCs w:val="19"/>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70,000,000</w:t>
            </w:r>
          </w:p>
        </w:tc>
        <w:tc>
          <w:tcPr>
            <w:tcW w:w="4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117,526,283</w:t>
            </w:r>
          </w:p>
        </w:tc>
        <w:tc>
          <w:tcPr>
            <w:tcW w:w="2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gridSpan w:val="2"/>
          </w:tcPr>
          <w:p>
            <w:pPr>
              <w:ind w:left="380"/>
              <w:spacing w:after="0"/>
              <w:rPr>
                <w:sz w:val="20"/>
                <w:szCs w:val="20"/>
                <w:color w:val="auto"/>
              </w:rPr>
            </w:pPr>
            <w:r>
              <w:rPr>
                <w:rFonts w:ascii="Arial" w:cs="Arial" w:eastAsia="Arial" w:hAnsi="Arial"/>
                <w:sz w:val="16"/>
                <w:szCs w:val="16"/>
                <w:color w:val="auto"/>
              </w:rPr>
              <w:t>Repayments under Credit Facility</w:t>
            </w:r>
          </w:p>
        </w:tc>
        <w:tc>
          <w:tcPr>
            <w:tcW w:w="200" w:type="dxa"/>
            <w:vAlign w:val="bottom"/>
          </w:tcPr>
          <w:p>
            <w:pPr>
              <w:spacing w:after="0"/>
              <w:rPr>
                <w:sz w:val="18"/>
                <w:szCs w:val="18"/>
                <w:color w:val="auto"/>
              </w:rPr>
            </w:pPr>
          </w:p>
        </w:tc>
        <w:tc>
          <w:tcPr>
            <w:tcW w:w="1900" w:type="dxa"/>
            <w:vAlign w:val="bottom"/>
            <w:gridSpan w:val="2"/>
          </w:tcPr>
          <w:p>
            <w:pPr>
              <w:jc w:val="right"/>
              <w:ind w:right="360"/>
              <w:spacing w:after="0"/>
              <w:rPr>
                <w:sz w:val="20"/>
                <w:szCs w:val="20"/>
                <w:color w:val="auto"/>
              </w:rPr>
            </w:pPr>
            <w:r>
              <w:rPr>
                <w:rFonts w:ascii="Arial" w:cs="Arial" w:eastAsia="Arial" w:hAnsi="Arial"/>
                <w:sz w:val="16"/>
                <w:szCs w:val="16"/>
                <w:color w:val="auto"/>
              </w:rPr>
              <w:t>(163,965,743)</w:t>
            </w: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(82,200,000)</w:t>
            </w:r>
          </w:p>
        </w:tc>
        <w:tc>
          <w:tcPr>
            <w:tcW w:w="0" w:type="dxa"/>
            <w:vAlign w:val="bottom"/>
          </w:tcPr>
          <w:p>
            <w:pPr>
              <w:spacing w:after="0"/>
              <w:rPr>
                <w:sz w:val="1"/>
                <w:szCs w:val="1"/>
                <w:color w:val="auto"/>
              </w:rPr>
            </w:pPr>
          </w:p>
        </w:tc>
      </w:tr>
      <w:tr>
        <w:trPr>
          <w:trHeight w:val="20"/>
        </w:trPr>
        <w:tc>
          <w:tcPr>
            <w:tcW w:w="7360" w:type="dxa"/>
            <w:vAlign w:val="bottom"/>
            <w:gridSpan w:val="2"/>
            <w:vMerge w:val="restart"/>
            <w:shd w:val="clear" w:color="auto" w:fill="CCECFF"/>
          </w:tcPr>
          <w:p>
            <w:pPr>
              <w:ind w:left="380"/>
              <w:spacing w:after="0"/>
              <w:rPr>
                <w:sz w:val="20"/>
                <w:szCs w:val="20"/>
                <w:color w:val="auto"/>
              </w:rPr>
            </w:pPr>
            <w:r>
              <w:rPr>
                <w:rFonts w:ascii="Arial" w:cs="Arial" w:eastAsia="Arial" w:hAnsi="Arial"/>
                <w:sz w:val="16"/>
                <w:szCs w:val="16"/>
                <w:color w:val="auto"/>
              </w:rPr>
              <w:t>Net cash (used in) provided by financing activities</w:t>
            </w: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360" w:type="dxa"/>
            <w:vAlign w:val="bottom"/>
            <w:gridSpan w:val="2"/>
            <w:vMerge w:val="continue"/>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900" w:type="dxa"/>
            <w:vAlign w:val="bottom"/>
            <w:gridSpan w:val="2"/>
            <w:shd w:val="clear" w:color="auto" w:fill="CCECFF"/>
          </w:tcPr>
          <w:p>
            <w:pPr>
              <w:jc w:val="right"/>
              <w:ind w:right="360"/>
              <w:spacing w:after="0"/>
              <w:rPr>
                <w:sz w:val="20"/>
                <w:szCs w:val="20"/>
                <w:color w:val="auto"/>
              </w:rPr>
            </w:pPr>
            <w:r>
              <w:rPr>
                <w:rFonts w:ascii="Arial" w:cs="Arial" w:eastAsia="Arial" w:hAnsi="Arial"/>
                <w:sz w:val="16"/>
                <w:szCs w:val="16"/>
                <w:color w:val="auto"/>
              </w:rPr>
              <w:t>(95,565,743)</w:t>
            </w:r>
          </w:p>
        </w:tc>
        <w:tc>
          <w:tcPr>
            <w:tcW w:w="160" w:type="dxa"/>
            <w:vAlign w:val="bottom"/>
            <w:shd w:val="clear" w:color="auto" w:fill="CCECFF"/>
          </w:tcPr>
          <w:p>
            <w:pPr>
              <w:spacing w:after="0"/>
              <w:rPr>
                <w:sz w:val="18"/>
                <w:szCs w:val="18"/>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62,626,283</w:t>
            </w:r>
          </w:p>
        </w:tc>
        <w:tc>
          <w:tcPr>
            <w:tcW w:w="2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jc w:val="right"/>
              <w:ind w:right="360"/>
              <w:spacing w:after="0"/>
              <w:rPr>
                <w:sz w:val="20"/>
                <w:szCs w:val="20"/>
                <w:color w:val="auto"/>
              </w:rPr>
            </w:pPr>
            <w:r>
              <w:rPr>
                <w:rFonts w:ascii="Arial" w:cs="Arial" w:eastAsia="Arial" w:hAnsi="Arial"/>
                <w:sz w:val="16"/>
                <w:szCs w:val="16"/>
                <w:color w:val="auto"/>
              </w:rPr>
              <w:t>(5,312,520)</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1,836,581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60" w:type="dxa"/>
            <w:vAlign w:val="bottom"/>
            <w:gridSpan w:val="2"/>
            <w:shd w:val="clear" w:color="auto" w:fill="CCEC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200" w:type="dxa"/>
            <w:vAlign w:val="bottom"/>
            <w:shd w:val="clear" w:color="auto" w:fill="CCECFF"/>
          </w:tcPr>
          <w:p>
            <w:pPr>
              <w:spacing w:after="0"/>
              <w:rPr>
                <w:sz w:val="19"/>
                <w:szCs w:val="19"/>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1,139,118</w:t>
            </w:r>
          </w:p>
        </w:tc>
        <w:tc>
          <w:tcPr>
            <w:tcW w:w="4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620" w:type="dxa"/>
            <w:vAlign w:val="bottom"/>
            <w:gridSpan w:val="2"/>
            <w:shd w:val="clear" w:color="auto" w:fill="CCECFF"/>
          </w:tcPr>
          <w:p>
            <w:pPr>
              <w:jc w:val="right"/>
              <w:ind w:right="200"/>
              <w:spacing w:after="0"/>
              <w:rPr>
                <w:sz w:val="20"/>
                <w:szCs w:val="20"/>
                <w:color w:val="auto"/>
              </w:rPr>
            </w:pPr>
            <w:r>
              <w:rPr>
                <w:rFonts w:ascii="Arial" w:cs="Arial" w:eastAsia="Arial" w:hAnsi="Arial"/>
                <w:sz w:val="16"/>
                <w:szCs w:val="16"/>
                <w:color w:val="auto"/>
              </w:rPr>
              <w:t>(62,460)</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CFF"/>
            </w:tcBorders>
            <w:gridSpan w:val="2"/>
          </w:tcPr>
          <w:p>
            <w:pPr>
              <w:spacing w:after="0"/>
              <w:rPr>
                <w:sz w:val="20"/>
                <w:szCs w:val="20"/>
                <w:color w:val="auto"/>
              </w:rPr>
            </w:pPr>
            <w:r>
              <w:rPr>
                <w:rFonts w:ascii="Arial" w:cs="Arial" w:eastAsia="Arial" w:hAnsi="Arial"/>
                <w:sz w:val="16"/>
                <w:szCs w:val="16"/>
                <w:b w:val="1"/>
                <w:bCs w:val="1"/>
                <w:color w:val="auto"/>
              </w:rPr>
              <w:t>Cash and cash equivalents, beginning of year</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15,294,881</w:t>
            </w:r>
          </w:p>
        </w:tc>
        <w:tc>
          <w:tcPr>
            <w:tcW w:w="420" w:type="dxa"/>
            <w:vAlign w:val="bottom"/>
            <w:tcBorders>
              <w:bottom w:val="single" w:sz="8" w:color="CCEC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13,520,760</w:t>
            </w:r>
          </w:p>
        </w:tc>
        <w:tc>
          <w:tcPr>
            <w:tcW w:w="260" w:type="dxa"/>
            <w:vAlign w:val="bottom"/>
            <w:tcBorders>
              <w:bottom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6"/>
                <w:szCs w:val="16"/>
                <w:b w:val="1"/>
                <w:bCs w:val="1"/>
                <w:color w:val="auto"/>
              </w:rPr>
              <w:t>Cash and cash equivalents, end of year</w:t>
            </w:r>
          </w:p>
        </w:tc>
        <w:tc>
          <w:tcPr>
            <w:tcW w:w="200" w:type="dxa"/>
            <w:vAlign w:val="bottom"/>
            <w:tcBorders>
              <w:bottom w:val="single" w:sz="8" w:color="auto"/>
            </w:tcBorders>
            <w:shd w:val="clear" w:color="auto" w:fill="CCECFF"/>
          </w:tcPr>
          <w:p>
            <w:pPr>
              <w:jc w:val="right"/>
              <w:ind w:right="44"/>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11,121,479</w:t>
            </w:r>
          </w:p>
        </w:tc>
        <w:tc>
          <w:tcPr>
            <w:tcW w:w="42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jc w:val="right"/>
              <w:ind w:right="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15,294,881</w:t>
            </w:r>
          </w:p>
        </w:tc>
        <w:tc>
          <w:tcPr>
            <w:tcW w:w="2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480" w:type="dxa"/>
            <w:vAlign w:val="bottom"/>
            <w:tcBorders>
              <w:bottom w:val="single" w:sz="8" w:color="auto"/>
            </w:tcBorders>
          </w:tcPr>
          <w:p>
            <w:pPr>
              <w:spacing w:after="0"/>
              <w:rPr>
                <w:sz w:val="3"/>
                <w:szCs w:val="3"/>
                <w:color w:val="auto"/>
              </w:rPr>
            </w:pPr>
          </w:p>
        </w:tc>
        <w:tc>
          <w:tcPr>
            <w:tcW w:w="4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80" w:hanging="372"/>
        <w:spacing w:after="0"/>
        <w:tabs>
          <w:tab w:leader="none" w:pos="380" w:val="left"/>
        </w:tabs>
        <w:numPr>
          <w:ilvl w:val="0"/>
          <w:numId w:val="106"/>
        </w:numPr>
        <w:rPr>
          <w:rFonts w:ascii="Arial" w:cs="Arial" w:eastAsia="Arial" w:hAnsi="Arial"/>
          <w:sz w:val="12"/>
          <w:szCs w:val="12"/>
          <w:color w:val="auto"/>
        </w:rPr>
      </w:pPr>
      <w:r>
        <w:rPr>
          <w:rFonts w:ascii="Arial" w:cs="Arial" w:eastAsia="Arial" w:hAnsi="Arial"/>
          <w:sz w:val="14"/>
          <w:szCs w:val="14"/>
          <w:color w:val="auto"/>
        </w:rPr>
        <w:t>Cash paid for interest on financing activities for the years ending September 30, 2020 and 2019 was $26,065,172 and $29,001,132, respectively.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Fair Value as a</w:t>
            </w:r>
          </w:p>
        </w:tc>
        <w:tc>
          <w:tcPr>
            <w:tcW w:w="120" w:type="dxa"/>
            <w:vAlign w:val="bottom"/>
          </w:tcPr>
          <w:p>
            <w:pPr>
              <w:spacing w:after="0"/>
              <w:rPr>
                <w:sz w:val="12"/>
                <w:szCs w:val="12"/>
                <w:color w:val="auto"/>
              </w:rPr>
            </w:pPr>
          </w:p>
        </w:tc>
      </w:tr>
      <w:tr>
        <w:trPr>
          <w:trHeight w:val="126"/>
        </w:trPr>
        <w:tc>
          <w:tcPr>
            <w:tcW w:w="3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jc w:val="center"/>
              <w:ind w:right="22"/>
              <w:spacing w:after="0" w:line="126" w:lineRule="exact"/>
              <w:rPr>
                <w:sz w:val="20"/>
                <w:szCs w:val="20"/>
                <w:color w:val="auto"/>
              </w:rPr>
            </w:pPr>
            <w:r>
              <w:rPr>
                <w:rFonts w:ascii="Arial" w:cs="Arial" w:eastAsia="Arial" w:hAnsi="Arial"/>
                <w:sz w:val="12"/>
                <w:szCs w:val="12"/>
                <w:b w:val="1"/>
                <w:bCs w:val="1"/>
                <w:color w:val="auto"/>
                <w:w w:val="92"/>
              </w:rPr>
              <w:t>Current</w:t>
            </w: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spacing w:after="0" w:line="126" w:lineRule="exact"/>
              <w:rPr>
                <w:sz w:val="20"/>
                <w:szCs w:val="20"/>
                <w:color w:val="auto"/>
              </w:rPr>
            </w:pPr>
            <w:r>
              <w:rPr>
                <w:rFonts w:ascii="Arial" w:cs="Arial" w:eastAsia="Arial" w:hAnsi="Arial"/>
                <w:sz w:val="12"/>
                <w:szCs w:val="12"/>
                <w:b w:val="1"/>
                <w:bCs w:val="1"/>
                <w:color w:val="auto"/>
                <w:w w:val="85"/>
              </w:rPr>
              <w:t>Percentage of</w:t>
            </w:r>
          </w:p>
        </w:tc>
        <w:tc>
          <w:tcPr>
            <w:tcW w:w="120" w:type="dxa"/>
            <w:vAlign w:val="bottom"/>
          </w:tcPr>
          <w:p>
            <w:pPr>
              <w:spacing w:after="0"/>
              <w:rPr>
                <w:sz w:val="10"/>
                <w:szCs w:val="10"/>
                <w:color w:val="auto"/>
              </w:rPr>
            </w:pPr>
          </w:p>
        </w:tc>
      </w:tr>
      <w:tr>
        <w:trPr>
          <w:trHeight w:val="153"/>
        </w:trPr>
        <w:tc>
          <w:tcPr>
            <w:tcW w:w="320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Maturity</w:t>
            </w:r>
          </w:p>
        </w:tc>
        <w:tc>
          <w:tcPr>
            <w:tcW w:w="1240" w:type="dxa"/>
            <w:vAlign w:val="bottom"/>
          </w:tcPr>
          <w:p>
            <w:pPr>
              <w:jc w:val="center"/>
              <w:ind w:right="22"/>
              <w:spacing w:after="0" w:line="153" w:lineRule="exact"/>
              <w:rPr>
                <w:sz w:val="20"/>
                <w:szCs w:val="20"/>
                <w:color w:val="auto"/>
              </w:rPr>
            </w:pPr>
            <w:r>
              <w:rPr>
                <w:rFonts w:ascii="Arial" w:cs="Arial" w:eastAsia="Arial" w:hAnsi="Arial"/>
                <w:sz w:val="11"/>
                <w:szCs w:val="11"/>
                <w:b w:val="1"/>
                <w:bCs w:val="1"/>
                <w:color w:val="auto"/>
                <w:w w:val="95"/>
              </w:rPr>
              <w:t xml:space="preserve">Coupon </w:t>
            </w:r>
            <w:r>
              <w:rPr>
                <w:rFonts w:ascii="Arial" w:cs="Arial" w:eastAsia="Arial" w:hAnsi="Arial"/>
                <w:sz w:val="17"/>
                <w:szCs w:val="17"/>
                <w:b w:val="1"/>
                <w:bCs w:val="1"/>
                <w:color w:val="auto"/>
                <w:w w:val="95"/>
                <w:vertAlign w:val="superscript"/>
              </w:rPr>
              <w:t>(1)</w:t>
            </w:r>
          </w:p>
        </w:tc>
        <w:tc>
          <w:tcPr>
            <w:tcW w:w="340" w:type="dxa"/>
            <w:vAlign w:val="bottom"/>
          </w:tcPr>
          <w:p>
            <w:pPr>
              <w:spacing w:after="0"/>
              <w:rPr>
                <w:sz w:val="13"/>
                <w:szCs w:val="13"/>
                <w:color w:val="auto"/>
              </w:rPr>
            </w:pPr>
          </w:p>
        </w:tc>
        <w:tc>
          <w:tcPr>
            <w:tcW w:w="1260" w:type="dxa"/>
            <w:vAlign w:val="bottom"/>
            <w:gridSpan w:val="2"/>
          </w:tcPr>
          <w:p>
            <w:pPr>
              <w:ind w:left="360"/>
              <w:spacing w:after="0"/>
              <w:rPr>
                <w:sz w:val="20"/>
                <w:szCs w:val="20"/>
                <w:color w:val="auto"/>
              </w:rPr>
            </w:pPr>
            <w:r>
              <w:rPr>
                <w:rFonts w:ascii="Arial" w:cs="Arial" w:eastAsia="Arial" w:hAnsi="Arial"/>
                <w:sz w:val="12"/>
                <w:szCs w:val="12"/>
                <w:b w:val="1"/>
                <w:bCs w:val="1"/>
                <w:color w:val="auto"/>
              </w:rPr>
              <w:t>Par</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4"/>
          </w:tcPr>
          <w:p>
            <w:pPr>
              <w:ind w:left="160"/>
              <w:spacing w:after="0"/>
              <w:rPr>
                <w:sz w:val="20"/>
                <w:szCs w:val="20"/>
                <w:color w:val="auto"/>
              </w:rPr>
            </w:pPr>
            <w:r>
              <w:rPr>
                <w:rFonts w:ascii="Arial" w:cs="Arial" w:eastAsia="Arial" w:hAnsi="Arial"/>
                <w:sz w:val="12"/>
                <w:szCs w:val="12"/>
                <w:b w:val="1"/>
                <w:bCs w:val="1"/>
                <w:color w:val="auto"/>
              </w:rPr>
              <w:t>Cost</w:t>
            </w:r>
          </w:p>
        </w:tc>
        <w:tc>
          <w:tcPr>
            <w:tcW w:w="100" w:type="dxa"/>
            <w:vAlign w:val="bottom"/>
          </w:tcPr>
          <w:p>
            <w:pPr>
              <w:spacing w:after="0"/>
              <w:rPr>
                <w:sz w:val="13"/>
                <w:szCs w:val="13"/>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Fair Value</w:t>
            </w:r>
          </w:p>
        </w:tc>
        <w:tc>
          <w:tcPr>
            <w:tcW w:w="1060" w:type="dxa"/>
            <w:vAlign w:val="bottom"/>
            <w:gridSpan w:val="2"/>
          </w:tcPr>
          <w:p>
            <w:pPr>
              <w:jc w:val="center"/>
              <w:spacing w:after="0" w:line="153" w:lineRule="exact"/>
              <w:rPr>
                <w:sz w:val="20"/>
                <w:szCs w:val="20"/>
                <w:color w:val="auto"/>
              </w:rPr>
            </w:pPr>
            <w:r>
              <w:rPr>
                <w:rFonts w:ascii="Arial" w:cs="Arial" w:eastAsia="Arial" w:hAnsi="Arial"/>
                <w:sz w:val="11"/>
                <w:szCs w:val="11"/>
                <w:b w:val="1"/>
                <w:bCs w:val="1"/>
                <w:color w:val="auto"/>
                <w:w w:val="97"/>
              </w:rPr>
              <w:t xml:space="preserve">Members’ Equity </w:t>
            </w:r>
            <w:r>
              <w:rPr>
                <w:rFonts w:ascii="Arial" w:cs="Arial" w:eastAsia="Arial" w:hAnsi="Arial"/>
                <w:sz w:val="17"/>
                <w:szCs w:val="17"/>
                <w:b w:val="1"/>
                <w:bCs w:val="1"/>
                <w:color w:val="auto"/>
                <w:w w:val="97"/>
                <w:vertAlign w:val="superscript"/>
              </w:rPr>
              <w:t>(2)</w:t>
            </w:r>
          </w:p>
        </w:tc>
        <w:tc>
          <w:tcPr>
            <w:tcW w:w="120" w:type="dxa"/>
            <w:vAlign w:val="bottom"/>
          </w:tcPr>
          <w:p>
            <w:pPr>
              <w:spacing w:after="0"/>
              <w:rPr>
                <w:sz w:val="13"/>
                <w:szCs w:val="13"/>
                <w:color w:val="auto"/>
              </w:rPr>
            </w:pPr>
          </w:p>
        </w:tc>
      </w:tr>
      <w:tr>
        <w:trPr>
          <w:trHeight w:val="142"/>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First Lien Secured Debt - 838.2%</w:t>
            </w:r>
          </w:p>
        </w:tc>
        <w:tc>
          <w:tcPr>
            <w:tcW w:w="8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Aerospace and Defense</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Cadence Aerospace, LLC</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11/14/23</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9.50%</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11,802,082</w:t>
            </w:r>
          </w:p>
        </w:tc>
        <w:tc>
          <w:tcPr>
            <w:tcW w:w="22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11,730,187</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11,322,915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r>
      <w:tr>
        <w:trPr>
          <w:trHeight w:val="149"/>
        </w:trPr>
        <w:tc>
          <w:tcPr>
            <w:tcW w:w="3200" w:type="dxa"/>
            <w:vAlign w:val="bottom"/>
          </w:tcPr>
          <w:p>
            <w:pPr>
              <w:ind w:left="260"/>
              <w:spacing w:after="0"/>
              <w:rPr>
                <w:sz w:val="20"/>
                <w:szCs w:val="20"/>
                <w:color w:val="auto"/>
              </w:rPr>
            </w:pPr>
            <w:r>
              <w:rPr>
                <w:rFonts w:ascii="Arial" w:cs="Arial" w:eastAsia="Arial" w:hAnsi="Arial"/>
                <w:sz w:val="12"/>
                <w:szCs w:val="12"/>
                <w:color w:val="auto"/>
              </w:rPr>
              <w:t>Centauri Group Holdings, LLC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02/12/24</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6.25%</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5,330,847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5,330,847</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5,304,193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IMIA Holdings, Inc.</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10/26/25</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5.50%</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12,143,568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12,097,717</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12,022,132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Whitney, Bradley &amp; Brown, Inc.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10/18/22</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8.50%</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254,095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250,910</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251,554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Banking, Finance, Insurance and Real Estate</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ind w:left="260"/>
              <w:spacing w:after="0" w:line="149" w:lineRule="exact"/>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17"/>
                <w:szCs w:val="17"/>
                <w:color w:val="auto"/>
                <w:vertAlign w:val="superscript"/>
              </w:rPr>
              <w:t>(3,4)</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05/31/24</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5.46%</w:t>
            </w:r>
          </w:p>
        </w:tc>
        <w:tc>
          <w:tcPr>
            <w:tcW w:w="340" w:type="dxa"/>
            <w:vAlign w:val="bottom"/>
          </w:tcPr>
          <w:p>
            <w:pPr>
              <w:spacing w:after="0"/>
              <w:rPr>
                <w:sz w:val="20"/>
                <w:szCs w:val="20"/>
                <w:color w:val="auto"/>
              </w:rPr>
            </w:pPr>
            <w:r>
              <w:rPr>
                <w:rFonts w:ascii="Arial" w:cs="Arial" w:eastAsia="Arial" w:hAnsi="Arial"/>
                <w:sz w:val="12"/>
                <w:szCs w:val="12"/>
                <w:color w:val="auto"/>
              </w:rPr>
              <w:t>AUD</w:t>
            </w: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10,000,000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7,411,600</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6,809,125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Beverage, Food and Tobacco</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Cardenas Markets LLC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11/29/23</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6.75%</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4,779,776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4,759,527</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4,779,776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Country Fresh Holdings, LLC - First Out</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05/01/23</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6.00%</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182,403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179,976</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182,403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Country Fresh Holdings, LLC - Funded Revolver</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05/01/23</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6.00%</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450,110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450,111</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450,110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Good2Grow LLC</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11/18/24</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5.25%</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9,499,183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9,429,133</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9,427,938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Snak Club, LLC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07/19/21</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6.50%</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4,561,971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4,561,971</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4,493,542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Business Services</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Altamira Technologies, LLC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07/24/25</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7.00%</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4,856,155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4,795,251</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4,686,189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Challenger Performance Optimization, Inc.</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08/31/23</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7.00%</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9,663,392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9,595,826</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8,986,954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Output Services Group, Inc.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03/27/24</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5.50%</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7,803,419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7,825,029</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7,101,111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15.6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Schlesinger Global, Inc.</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07/14/25</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7.00%</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11,904,617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11,904,617</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11,041,532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00" w:type="dxa"/>
            <w:vAlign w:val="bottom"/>
          </w:tcPr>
          <w:p>
            <w:pPr>
              <w:ind w:left="260"/>
              <w:spacing w:after="0"/>
              <w:rPr>
                <w:sz w:val="20"/>
                <w:szCs w:val="20"/>
                <w:color w:val="auto"/>
              </w:rPr>
            </w:pPr>
            <w:r>
              <w:rPr>
                <w:rFonts w:ascii="Arial" w:cs="Arial" w:eastAsia="Arial" w:hAnsi="Arial"/>
                <w:sz w:val="12"/>
                <w:szCs w:val="12"/>
                <w:color w:val="auto"/>
              </w:rPr>
              <w:t>Teneo Holdings LLC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07/18/25</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6.25%</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4,950,000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4,783,595</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4,764,375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Capital Equipment</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LAV Gear Holdings, Inc.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10/31/24</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8.50%</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9,975,861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9,902,990</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9,188,766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Mission Critical Electronics, Inc.</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09/28/22</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6.00%</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5,949,731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5,927,114</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5,877,737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UBEO, LLC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04/03/24</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5.50%</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21,930,702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21,762,065</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20,614,860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Chemicals, Plastics and Rubber</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Douglas Products and Packaging Company LLC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10/19/22</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6.75%</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8,836,683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8,756,358</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8,704,133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19.1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Douglas Sewer Intermediate, LLC</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10/19/22</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6.75%</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7,403,183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7,370,405</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7,292,135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K2 Pure Solutions NoCal, L.P.</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12/20/23</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8.00%</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19,650,000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19,436,214</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19,217,700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Plant Health Intermediate, Inc.</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10/19/22</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6.75%</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1,594,030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1,579,915</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1,570,120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Construction and Building</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STV Group Incorporated</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12/11/26</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5.40%</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7,762,222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7,692,023</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7,684,600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2"/>
                <w:szCs w:val="12"/>
                <w:color w:val="auto"/>
              </w:rPr>
              <w:t>Consumer Goods: Durable</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DRS Holdings III, Inc.</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11/03/25</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6.75%</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8,022,149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7,950,609</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7,875,344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GSM Holdings, Inc.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06/03/24</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5.50%</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19,470,523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19,354,235</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19,275,817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PlayPower, Inc.</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05/08/26</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5.72%</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4,025,520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3,990,707</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3,824,244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Consumer Goods: Non-Durable</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Manna Pro Products, LLC</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12/08/23</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7.00%</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4,313,910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4,273,019</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4,197,866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00" w:type="dxa"/>
            <w:vAlign w:val="bottom"/>
          </w:tcPr>
          <w:p>
            <w:pPr>
              <w:ind w:left="260"/>
              <w:spacing w:after="0"/>
              <w:rPr>
                <w:sz w:val="20"/>
                <w:szCs w:val="20"/>
                <w:color w:val="auto"/>
              </w:rPr>
            </w:pPr>
            <w:r>
              <w:rPr>
                <w:rFonts w:ascii="Arial" w:cs="Arial" w:eastAsia="Arial" w:hAnsi="Arial"/>
                <w:sz w:val="12"/>
                <w:szCs w:val="12"/>
                <w:color w:val="auto"/>
              </w:rPr>
              <w:t>New Milani Group LLC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06/06/24</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6.50%</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14,662,500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14,568,019</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13,379,531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TPC Canada Parent, Inc. and TPC US Parent, LLC</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11/24/25</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6.25%</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8,924,066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8,837,614</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8,656,344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2"/>
                <w:szCs w:val="12"/>
                <w:color w:val="auto"/>
              </w:rPr>
              <w:t>Diversified Consumer Services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Integrative Nutrition, LLC</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09/29/23</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5.75%</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8,587,606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8,587,606</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8,458,792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TVC Enterprises, LLC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01/18/24</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6.50%</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9,747,335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9,747,335</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9,674,230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TWS Acquisition Corporation</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06/16/25</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7.25%</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6,910,465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6,797,117</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6,772,256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Healthcare and Pharmaceuticals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Smile Brands Inc.</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10/14/24</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4.93%</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11,175,938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11,090,654</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10,840,659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00" w:type="dxa"/>
            <w:vAlign w:val="bottom"/>
          </w:tcPr>
          <w:p>
            <w:pPr>
              <w:ind w:left="260"/>
              <w:spacing w:after="0"/>
              <w:rPr>
                <w:sz w:val="20"/>
                <w:szCs w:val="20"/>
                <w:color w:val="auto"/>
              </w:rPr>
            </w:pPr>
            <w:r>
              <w:rPr>
                <w:rFonts w:ascii="Arial" w:cs="Arial" w:eastAsia="Arial" w:hAnsi="Arial"/>
                <w:sz w:val="12"/>
                <w:szCs w:val="12"/>
                <w:color w:val="auto"/>
              </w:rPr>
              <w:t>Solutionreach, Inc.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01/17/24</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6.75%</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6,214,305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6,149,172</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6,145,948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Urology Management Associates, LLC</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08/30/24</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6.00%</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11,463,443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11,311,325</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11,119,540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2"/>
                <w:szCs w:val="12"/>
                <w:color w:val="auto"/>
              </w:rPr>
              <w:t>High Tech Industries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By Light Professional IT Services, LLC</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05/16/22</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7.25%</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10,901,843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10,774,172</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10,792,825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GCOM Software LLC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11/14/22</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7.75%</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16,646,228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16,562,972</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16,646,228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Media: Advertising, Printing &amp; Publishing</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MeritDirect, LLC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05/23/24</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6.50%</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4,812,500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4,771,073</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4,583,906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Media: Broadcasting and Subscription</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00" w:type="dxa"/>
            <w:vAlign w:val="bottom"/>
          </w:tcPr>
          <w:p>
            <w:pPr>
              <w:ind w:left="260"/>
              <w:spacing w:after="0"/>
              <w:rPr>
                <w:sz w:val="20"/>
                <w:szCs w:val="20"/>
                <w:color w:val="auto"/>
              </w:rPr>
            </w:pPr>
            <w:r>
              <w:rPr>
                <w:rFonts w:ascii="Arial" w:cs="Arial" w:eastAsia="Arial" w:hAnsi="Arial"/>
                <w:sz w:val="12"/>
                <w:szCs w:val="12"/>
                <w:color w:val="auto"/>
              </w:rPr>
              <w:t>The Infosoft Group, LLC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09/16/24</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6.75%</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8,602,807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8,584,634</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8,602,807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Media: Diversified and Production</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00" w:type="dxa"/>
            <w:vAlign w:val="bottom"/>
          </w:tcPr>
          <w:p>
            <w:pPr>
              <w:ind w:left="260"/>
              <w:spacing w:after="0" w:line="149" w:lineRule="exact"/>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7"/>
                <w:szCs w:val="17"/>
                <w:color w:val="auto"/>
                <w:vertAlign w:val="superscript"/>
              </w:rPr>
              <w:t>(3,4)</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01/27/23</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0.00% (5)</w:t>
            </w:r>
          </w:p>
        </w:tc>
        <w:tc>
          <w:tcPr>
            <w:tcW w:w="340" w:type="dxa"/>
            <w:vAlign w:val="bottom"/>
          </w:tcPr>
          <w:p>
            <w:pPr>
              <w:spacing w:after="0"/>
              <w:rPr>
                <w:sz w:val="20"/>
                <w:szCs w:val="20"/>
                <w:color w:val="auto"/>
              </w:rPr>
            </w:pPr>
            <w:r>
              <w:rPr>
                <w:rFonts w:ascii="Arial" w:cs="Arial" w:eastAsia="Arial" w:hAnsi="Arial"/>
                <w:sz w:val="12"/>
                <w:szCs w:val="12"/>
                <w:color w:val="auto"/>
              </w:rPr>
              <w:t>CAD</w:t>
            </w: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5,730,254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4,449,786</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3,623,691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Retail</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LSF9 Atlantis Holdings, LLC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05/01/23</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7.00%</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6,843,750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6,872,048</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6,631,320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Telecommunications</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TeleGuam Holdings, LLC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11/20/25</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5.50%</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8,309,797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8,272,104</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8,060,503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Transportation: Consumer</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00" w:type="dxa"/>
            <w:vAlign w:val="bottom"/>
          </w:tcPr>
          <w:p>
            <w:pPr>
              <w:ind w:left="260"/>
              <w:spacing w:after="0"/>
              <w:rPr>
                <w:sz w:val="20"/>
                <w:szCs w:val="20"/>
                <w:color w:val="auto"/>
              </w:rPr>
            </w:pPr>
            <w:r>
              <w:rPr>
                <w:rFonts w:ascii="Arial" w:cs="Arial" w:eastAsia="Arial" w:hAnsi="Arial"/>
                <w:sz w:val="12"/>
                <w:szCs w:val="12"/>
                <w:color w:val="auto"/>
              </w:rPr>
              <w:t>American Auto Auction Group, LLC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01/02/24</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6.00%</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7,670,399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7,596,860</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7,440,287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Wholesale</w:t>
            </w: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00" w:type="dxa"/>
            <w:vAlign w:val="bottom"/>
          </w:tcPr>
          <w:p>
            <w:pPr>
              <w:ind w:left="260"/>
              <w:spacing w:after="0"/>
              <w:rPr>
                <w:sz w:val="20"/>
                <w:szCs w:val="20"/>
                <w:color w:val="auto"/>
              </w:rPr>
            </w:pPr>
            <w:r>
              <w:rPr>
                <w:rFonts w:ascii="Arial" w:cs="Arial" w:eastAsia="Arial" w:hAnsi="Arial"/>
                <w:sz w:val="12"/>
                <w:szCs w:val="12"/>
                <w:color w:val="auto"/>
              </w:rPr>
              <w:t>Impact Group, LLC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06/27/23</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8.37%</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9,290,185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9,216,206</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9,336,636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PH Beauty Holdings III, Inc.</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09/29/25</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5.19%</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9,792,594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9,717,936</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9,156,076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00" w:type="dxa"/>
            <w:vAlign w:val="bottom"/>
          </w:tcPr>
          <w:p>
            <w:pPr>
              <w:ind w:left="260"/>
              <w:spacing w:after="0"/>
              <w:rPr>
                <w:sz w:val="20"/>
                <w:szCs w:val="20"/>
                <w:color w:val="auto"/>
              </w:rPr>
            </w:pPr>
            <w:r>
              <w:rPr>
                <w:rFonts w:ascii="Arial" w:cs="Arial" w:eastAsia="Arial" w:hAnsi="Arial"/>
                <w:sz w:val="12"/>
                <w:szCs w:val="12"/>
                <w:color w:val="auto"/>
              </w:rPr>
              <w:t>Sargent &amp; Greenleaf Inc.</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12/20/24</w:t>
            </w:r>
          </w:p>
        </w:tc>
        <w:tc>
          <w:tcPr>
            <w:tcW w:w="160" w:type="dxa"/>
            <w:vAlign w:val="bottom"/>
          </w:tcPr>
          <w:p>
            <w:pPr>
              <w:spacing w:after="0"/>
              <w:rPr>
                <w:sz w:val="12"/>
                <w:szCs w:val="12"/>
                <w:color w:val="auto"/>
              </w:rPr>
            </w:pPr>
          </w:p>
        </w:tc>
        <w:tc>
          <w:tcPr>
            <w:tcW w:w="1240" w:type="dxa"/>
            <w:vAlign w:val="bottom"/>
          </w:tcPr>
          <w:p>
            <w:pPr>
              <w:jc w:val="center"/>
              <w:ind w:right="322"/>
              <w:spacing w:after="0"/>
              <w:rPr>
                <w:sz w:val="20"/>
                <w:szCs w:val="20"/>
                <w:color w:val="auto"/>
              </w:rPr>
            </w:pPr>
            <w:r>
              <w:rPr>
                <w:rFonts w:ascii="Arial" w:cs="Arial" w:eastAsia="Arial" w:hAnsi="Arial"/>
                <w:sz w:val="12"/>
                <w:szCs w:val="12"/>
                <w:color w:val="auto"/>
                <w:w w:val="88"/>
              </w:rPr>
              <w:t>7.00%</w:t>
            </w:r>
          </w:p>
        </w:tc>
        <w:tc>
          <w:tcPr>
            <w:tcW w:w="340" w:type="dxa"/>
            <w:vAlign w:val="bottom"/>
          </w:tcPr>
          <w:p>
            <w:pPr>
              <w:spacing w:after="0"/>
              <w:rPr>
                <w:sz w:val="12"/>
                <w:szCs w:val="12"/>
                <w:color w:val="auto"/>
              </w:rPr>
            </w:pPr>
          </w:p>
        </w:tc>
        <w:tc>
          <w:tcPr>
            <w:tcW w:w="1040" w:type="dxa"/>
            <w:vAlign w:val="bottom"/>
          </w:tcPr>
          <w:p>
            <w:pPr>
              <w:jc w:val="right"/>
              <w:ind w:right="122"/>
              <w:spacing w:after="0"/>
              <w:rPr>
                <w:sz w:val="20"/>
                <w:szCs w:val="20"/>
                <w:color w:val="auto"/>
              </w:rPr>
            </w:pPr>
            <w:r>
              <w:rPr>
                <w:rFonts w:ascii="Arial" w:cs="Arial" w:eastAsia="Arial" w:hAnsi="Arial"/>
                <w:sz w:val="12"/>
                <w:szCs w:val="12"/>
                <w:color w:val="auto"/>
              </w:rPr>
              <w:t>4,925,000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4,860,858</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4,836,350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Walker Edison Furniture Company LLC</w:t>
            </w:r>
          </w:p>
        </w:tc>
        <w:tc>
          <w:tcPr>
            <w:tcW w:w="8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09/26/24</w:t>
            </w: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jc w:val="center"/>
              <w:ind w:right="322"/>
              <w:spacing w:after="0"/>
              <w:rPr>
                <w:sz w:val="20"/>
                <w:szCs w:val="20"/>
                <w:color w:val="auto"/>
              </w:rPr>
            </w:pPr>
            <w:r>
              <w:rPr>
                <w:rFonts w:ascii="Arial" w:cs="Arial" w:eastAsia="Arial" w:hAnsi="Arial"/>
                <w:sz w:val="12"/>
                <w:szCs w:val="12"/>
                <w:color w:val="auto"/>
                <w:w w:val="88"/>
              </w:rPr>
              <w:t>7.25%</w:t>
            </w:r>
          </w:p>
        </w:tc>
        <w:tc>
          <w:tcPr>
            <w:tcW w:w="340" w:type="dxa"/>
            <w:vAlign w:val="bottom"/>
            <w:shd w:val="clear" w:color="auto" w:fill="CFF0FC"/>
          </w:tcPr>
          <w:p>
            <w:pPr>
              <w:spacing w:after="0"/>
              <w:rPr>
                <w:sz w:val="12"/>
                <w:szCs w:val="12"/>
                <w:color w:val="auto"/>
              </w:rPr>
            </w:pPr>
          </w:p>
        </w:tc>
        <w:tc>
          <w:tcPr>
            <w:tcW w:w="1040" w:type="dxa"/>
            <w:vAlign w:val="bottom"/>
            <w:shd w:val="clear" w:color="auto" w:fill="CFF0FC"/>
          </w:tcPr>
          <w:p>
            <w:pPr>
              <w:jc w:val="right"/>
              <w:ind w:right="122"/>
              <w:spacing w:after="0"/>
              <w:rPr>
                <w:sz w:val="20"/>
                <w:szCs w:val="20"/>
                <w:color w:val="auto"/>
              </w:rPr>
            </w:pPr>
            <w:r>
              <w:rPr>
                <w:rFonts w:ascii="Arial" w:cs="Arial" w:eastAsia="Arial" w:hAnsi="Arial"/>
                <w:sz w:val="12"/>
                <w:szCs w:val="12"/>
                <w:color w:val="auto"/>
              </w:rPr>
              <w:t>10,594,047</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10,440,520</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10,594,047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w w:val="98"/>
              </w:rPr>
              <w:t>392,309,961</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382,299,150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838.2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Fair Value as a</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gridSpan w:val="2"/>
          </w:tcPr>
          <w:p>
            <w:pPr>
              <w:jc w:val="center"/>
              <w:ind w:right="480"/>
              <w:spacing w:after="0" w:line="126" w:lineRule="exact"/>
              <w:rPr>
                <w:sz w:val="20"/>
                <w:szCs w:val="20"/>
                <w:color w:val="auto"/>
              </w:rPr>
            </w:pPr>
            <w:r>
              <w:rPr>
                <w:rFonts w:ascii="Arial" w:cs="Arial" w:eastAsia="Arial" w:hAnsi="Arial"/>
                <w:sz w:val="12"/>
                <w:szCs w:val="12"/>
                <w:b w:val="1"/>
                <w:bCs w:val="1"/>
                <w:color w:val="auto"/>
                <w:w w:val="96"/>
              </w:rPr>
              <w:t>Current</w:t>
            </w: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spacing w:after="0" w:line="126" w:lineRule="exact"/>
              <w:rPr>
                <w:sz w:val="20"/>
                <w:szCs w:val="20"/>
                <w:color w:val="auto"/>
              </w:rPr>
            </w:pPr>
            <w:r>
              <w:rPr>
                <w:rFonts w:ascii="Arial" w:cs="Arial" w:eastAsia="Arial" w:hAnsi="Arial"/>
                <w:sz w:val="12"/>
                <w:szCs w:val="12"/>
                <w:b w:val="1"/>
                <w:bCs w:val="1"/>
                <w:color w:val="auto"/>
                <w:w w:val="85"/>
              </w:rPr>
              <w:t>Percentage 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040" w:type="dxa"/>
            <w:vAlign w:val="bottom"/>
            <w:gridSpan w:val="2"/>
          </w:tcPr>
          <w:p>
            <w:pPr>
              <w:ind w:left="200"/>
              <w:spacing w:after="0"/>
              <w:rPr>
                <w:sz w:val="20"/>
                <w:szCs w:val="20"/>
                <w:color w:val="auto"/>
              </w:rPr>
            </w:pPr>
            <w:r>
              <w:rPr>
                <w:rFonts w:ascii="Arial" w:cs="Arial" w:eastAsia="Arial" w:hAnsi="Arial"/>
                <w:sz w:val="12"/>
                <w:szCs w:val="12"/>
                <w:b w:val="1"/>
                <w:bCs w:val="1"/>
                <w:color w:val="auto"/>
              </w:rPr>
              <w:t>Maturity</w:t>
            </w:r>
          </w:p>
        </w:tc>
        <w:tc>
          <w:tcPr>
            <w:tcW w:w="1620" w:type="dxa"/>
            <w:vAlign w:val="bottom"/>
            <w:gridSpan w:val="2"/>
          </w:tcPr>
          <w:p>
            <w:pPr>
              <w:jc w:val="center"/>
              <w:ind w:right="480"/>
              <w:spacing w:after="0" w:line="153" w:lineRule="exact"/>
              <w:rPr>
                <w:sz w:val="20"/>
                <w:szCs w:val="20"/>
                <w:color w:val="auto"/>
              </w:rPr>
            </w:pPr>
            <w:r>
              <w:rPr>
                <w:rFonts w:ascii="Arial" w:cs="Arial" w:eastAsia="Arial" w:hAnsi="Arial"/>
                <w:sz w:val="11"/>
                <w:szCs w:val="11"/>
                <w:b w:val="1"/>
                <w:bCs w:val="1"/>
                <w:color w:val="auto"/>
                <w:w w:val="92"/>
              </w:rPr>
              <w:t xml:space="preserve">Coupon </w:t>
            </w:r>
            <w:r>
              <w:rPr>
                <w:rFonts w:ascii="Arial" w:cs="Arial" w:eastAsia="Arial" w:hAnsi="Arial"/>
                <w:sz w:val="17"/>
                <w:szCs w:val="17"/>
                <w:b w:val="1"/>
                <w:bCs w:val="1"/>
                <w:color w:val="auto"/>
                <w:w w:val="92"/>
                <w:vertAlign w:val="superscript"/>
              </w:rPr>
              <w:t>(1)</w:t>
            </w:r>
          </w:p>
        </w:tc>
        <w:tc>
          <w:tcPr>
            <w:tcW w:w="1160" w:type="dxa"/>
            <w:vAlign w:val="bottom"/>
          </w:tcPr>
          <w:p>
            <w:pPr>
              <w:jc w:val="right"/>
              <w:ind w:right="522"/>
              <w:spacing w:after="0"/>
              <w:rPr>
                <w:sz w:val="20"/>
                <w:szCs w:val="20"/>
                <w:color w:val="auto"/>
              </w:rPr>
            </w:pPr>
            <w:r>
              <w:rPr>
                <w:rFonts w:ascii="Arial" w:cs="Arial" w:eastAsia="Arial" w:hAnsi="Arial"/>
                <w:sz w:val="12"/>
                <w:szCs w:val="12"/>
                <w:b w:val="1"/>
                <w:bCs w:val="1"/>
                <w:color w:val="auto"/>
              </w:rPr>
              <w:t>Par</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ind w:left="220"/>
              <w:spacing w:after="0"/>
              <w:rPr>
                <w:sz w:val="20"/>
                <w:szCs w:val="20"/>
                <w:color w:val="auto"/>
              </w:rPr>
            </w:pPr>
            <w:r>
              <w:rPr>
                <w:rFonts w:ascii="Arial" w:cs="Arial" w:eastAsia="Arial" w:hAnsi="Arial"/>
                <w:sz w:val="12"/>
                <w:szCs w:val="12"/>
                <w:b w:val="1"/>
                <w:bCs w:val="1"/>
                <w:color w:val="auto"/>
              </w:rPr>
              <w:t>Cost</w:t>
            </w:r>
          </w:p>
        </w:tc>
        <w:tc>
          <w:tcPr>
            <w:tcW w:w="360" w:type="dxa"/>
            <w:vAlign w:val="bottom"/>
          </w:tcPr>
          <w:p>
            <w:pPr>
              <w:spacing w:after="0"/>
              <w:rPr>
                <w:sz w:val="13"/>
                <w:szCs w:val="13"/>
                <w:color w:val="auto"/>
              </w:rPr>
            </w:pPr>
          </w:p>
        </w:tc>
        <w:tc>
          <w:tcPr>
            <w:tcW w:w="1180" w:type="dxa"/>
            <w:vAlign w:val="bottom"/>
            <w:gridSpan w:val="4"/>
          </w:tcPr>
          <w:p>
            <w:pPr>
              <w:ind w:left="100"/>
              <w:spacing w:after="0"/>
              <w:rPr>
                <w:sz w:val="20"/>
                <w:szCs w:val="20"/>
                <w:color w:val="auto"/>
              </w:rPr>
            </w:pPr>
            <w:r>
              <w:rPr>
                <w:rFonts w:ascii="Arial" w:cs="Arial" w:eastAsia="Arial" w:hAnsi="Arial"/>
                <w:sz w:val="12"/>
                <w:szCs w:val="12"/>
                <w:b w:val="1"/>
                <w:bCs w:val="1"/>
                <w:color w:val="auto"/>
              </w:rPr>
              <w:t>Fair Value</w:t>
            </w:r>
          </w:p>
        </w:tc>
        <w:tc>
          <w:tcPr>
            <w:tcW w:w="1080" w:type="dxa"/>
            <w:vAlign w:val="bottom"/>
            <w:gridSpan w:val="2"/>
          </w:tcPr>
          <w:p>
            <w:pPr>
              <w:jc w:val="center"/>
              <w:spacing w:after="0" w:line="153" w:lineRule="exact"/>
              <w:rPr>
                <w:sz w:val="20"/>
                <w:szCs w:val="20"/>
                <w:color w:val="auto"/>
              </w:rPr>
            </w:pPr>
            <w:r>
              <w:rPr>
                <w:rFonts w:ascii="Arial" w:cs="Arial" w:eastAsia="Arial" w:hAnsi="Arial"/>
                <w:sz w:val="11"/>
                <w:szCs w:val="11"/>
                <w:b w:val="1"/>
                <w:bCs w:val="1"/>
                <w:color w:val="auto"/>
                <w:w w:val="97"/>
              </w:rPr>
              <w:t xml:space="preserve">Members’ Equity </w:t>
            </w:r>
            <w:r>
              <w:rPr>
                <w:rFonts w:ascii="Arial" w:cs="Arial" w:eastAsia="Arial" w:hAnsi="Arial"/>
                <w:sz w:val="17"/>
                <w:szCs w:val="17"/>
                <w:b w:val="1"/>
                <w:bCs w:val="1"/>
                <w:color w:val="auto"/>
                <w:w w:val="97"/>
                <w:vertAlign w:val="superscript"/>
              </w:rPr>
              <w:t>(2)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Second Lien Secured Debt - 19.5%</w:t>
            </w:r>
          </w:p>
        </w:tc>
        <w:tc>
          <w:tcPr>
            <w:tcW w:w="1000" w:type="dxa"/>
            <w:vAlign w:val="bottom"/>
            <w:tcBorders>
              <w:top w:val="single" w:sz="8" w:color="auto"/>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Beverage, Food and Tobacco</w:t>
            </w: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vMerge w:val="restart"/>
            <w:shd w:val="clear" w:color="auto" w:fill="CFF0FC"/>
          </w:tcPr>
          <w:p>
            <w:pPr>
              <w:ind w:left="260"/>
              <w:spacing w:after="0"/>
              <w:rPr>
                <w:sz w:val="20"/>
                <w:szCs w:val="20"/>
                <w:color w:val="auto"/>
              </w:rPr>
            </w:pPr>
            <w:r>
              <w:rPr>
                <w:rFonts w:ascii="Arial" w:cs="Arial" w:eastAsia="Arial" w:hAnsi="Arial"/>
                <w:sz w:val="12"/>
                <w:szCs w:val="12"/>
                <w:color w:val="auto"/>
              </w:rPr>
              <w:t>Country Fresh Holdings, LLC (All PIK)</w:t>
            </w:r>
          </w:p>
        </w:tc>
        <w:tc>
          <w:tcPr>
            <w:tcW w:w="1000" w:type="dxa"/>
            <w:vAlign w:val="bottom"/>
            <w:vMerge w:val="restart"/>
            <w:shd w:val="clear" w:color="auto" w:fill="CFF0FC"/>
          </w:tcPr>
          <w:p>
            <w:pPr>
              <w:ind w:left="200"/>
              <w:spacing w:after="0"/>
              <w:rPr>
                <w:sz w:val="20"/>
                <w:szCs w:val="20"/>
                <w:color w:val="auto"/>
              </w:rPr>
            </w:pPr>
            <w:r>
              <w:rPr>
                <w:rFonts w:ascii="Arial" w:cs="Arial" w:eastAsia="Arial" w:hAnsi="Arial"/>
                <w:sz w:val="12"/>
                <w:szCs w:val="12"/>
                <w:color w:val="auto"/>
              </w:rPr>
              <w:t>04/29/24</w:t>
            </w:r>
          </w:p>
        </w:tc>
        <w:tc>
          <w:tcPr>
            <w:tcW w:w="40" w:type="dxa"/>
            <w:vAlign w:val="bottom"/>
            <w:shd w:val="clear" w:color="auto" w:fill="CFF0FC"/>
          </w:tcPr>
          <w:p>
            <w:pPr>
              <w:spacing w:after="0"/>
              <w:rPr>
                <w:sz w:val="12"/>
                <w:szCs w:val="12"/>
                <w:color w:val="auto"/>
              </w:rPr>
            </w:pPr>
          </w:p>
        </w:tc>
        <w:tc>
          <w:tcPr>
            <w:tcW w:w="1140" w:type="dxa"/>
            <w:vAlign w:val="bottom"/>
            <w:shd w:val="clear" w:color="auto" w:fill="CFF0FC"/>
          </w:tcPr>
          <w:p>
            <w:pPr>
              <w:jc w:val="center"/>
              <w:ind w:right="282"/>
              <w:spacing w:after="0"/>
              <w:rPr>
                <w:sz w:val="20"/>
                <w:szCs w:val="20"/>
                <w:color w:val="auto"/>
              </w:rPr>
            </w:pPr>
            <w:r>
              <w:rPr>
                <w:rFonts w:ascii="Arial" w:cs="Arial" w:eastAsia="Arial" w:hAnsi="Arial"/>
                <w:sz w:val="12"/>
                <w:szCs w:val="12"/>
                <w:color w:val="auto"/>
                <w:w w:val="87"/>
              </w:rPr>
              <w:t>9.5%</w:t>
            </w:r>
          </w:p>
        </w:tc>
        <w:tc>
          <w:tcPr>
            <w:tcW w:w="4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strike w:val="1"/>
                <w:w w:val="74"/>
              </w:rPr>
              <w:t>%</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3200" w:type="dxa"/>
            <w:vAlign w:val="bottom"/>
            <w:vMerge w:val="continue"/>
            <w:shd w:val="clear" w:color="auto" w:fill="CFF0FC"/>
          </w:tcPr>
          <w:p>
            <w:pPr>
              <w:spacing w:after="0"/>
              <w:rPr>
                <w:sz w:val="6"/>
                <w:szCs w:val="6"/>
                <w:color w:val="auto"/>
              </w:rPr>
            </w:pPr>
          </w:p>
        </w:tc>
        <w:tc>
          <w:tcPr>
            <w:tcW w:w="1000" w:type="dxa"/>
            <w:vAlign w:val="bottom"/>
            <w:vMerge w:val="continue"/>
            <w:shd w:val="clear" w:color="auto" w:fill="CFF0FC"/>
          </w:tcPr>
          <w:p>
            <w:pPr>
              <w:spacing w:after="0"/>
              <w:rPr>
                <w:sz w:val="6"/>
                <w:szCs w:val="6"/>
                <w:color w:val="auto"/>
              </w:rPr>
            </w:pPr>
          </w:p>
        </w:tc>
        <w:tc>
          <w:tcPr>
            <w:tcW w:w="40" w:type="dxa"/>
            <w:vAlign w:val="bottom"/>
            <w:shd w:val="clear" w:color="auto" w:fill="CFF0FC"/>
          </w:tcPr>
          <w:p>
            <w:pPr>
              <w:spacing w:after="0"/>
              <w:rPr>
                <w:sz w:val="6"/>
                <w:szCs w:val="6"/>
                <w:color w:val="auto"/>
              </w:rPr>
            </w:pPr>
          </w:p>
        </w:tc>
        <w:tc>
          <w:tcPr>
            <w:tcW w:w="1620" w:type="dxa"/>
            <w:vAlign w:val="bottom"/>
            <w:gridSpan w:val="2"/>
            <w:vMerge w:val="restart"/>
            <w:shd w:val="clear" w:color="auto" w:fill="CFF0FC"/>
          </w:tcPr>
          <w:p>
            <w:pPr>
              <w:jc w:val="center"/>
              <w:ind w:right="820"/>
              <w:spacing w:after="0" w:line="135" w:lineRule="exact"/>
              <w:rPr>
                <w:sz w:val="20"/>
                <w:szCs w:val="20"/>
                <w:color w:val="auto"/>
              </w:rPr>
            </w:pPr>
            <w:r>
              <w:rPr>
                <w:rFonts w:ascii="Arial" w:cs="Arial" w:eastAsia="Arial" w:hAnsi="Arial"/>
                <w:sz w:val="12"/>
                <w:szCs w:val="12"/>
                <w:color w:val="auto"/>
                <w:w w:val="92"/>
              </w:rPr>
              <w:t>(PIK 9.50%)</w:t>
            </w:r>
          </w:p>
        </w:tc>
        <w:tc>
          <w:tcPr>
            <w:tcW w:w="1160" w:type="dxa"/>
            <w:vAlign w:val="bottom"/>
            <w:vMerge w:val="restart"/>
            <w:shd w:val="clear" w:color="auto" w:fill="CFF0FC"/>
          </w:tcPr>
          <w:p>
            <w:pPr>
              <w:jc w:val="right"/>
              <w:ind w:right="302"/>
              <w:spacing w:after="0" w:line="135" w:lineRule="exact"/>
              <w:rPr>
                <w:sz w:val="20"/>
                <w:szCs w:val="20"/>
                <w:color w:val="auto"/>
              </w:rPr>
            </w:pPr>
            <w:r>
              <w:rPr>
                <w:rFonts w:ascii="Arial" w:cs="Arial" w:eastAsia="Arial" w:hAnsi="Arial"/>
                <w:sz w:val="12"/>
                <w:szCs w:val="12"/>
                <w:color w:val="auto"/>
              </w:rPr>
              <w:t>964,045</w:t>
            </w:r>
          </w:p>
        </w:tc>
        <w:tc>
          <w:tcPr>
            <w:tcW w:w="420" w:type="dxa"/>
            <w:vAlign w:val="bottom"/>
            <w:gridSpan w:val="3"/>
            <w:vMerge w:val="restart"/>
            <w:shd w:val="clear" w:color="auto" w:fill="CFF0FC"/>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CFF0FC"/>
          </w:tcPr>
          <w:p>
            <w:pPr>
              <w:jc w:val="right"/>
              <w:spacing w:after="0" w:line="135" w:lineRule="exact"/>
              <w:rPr>
                <w:sz w:val="20"/>
                <w:szCs w:val="20"/>
                <w:color w:val="auto"/>
              </w:rPr>
            </w:pPr>
            <w:r>
              <w:rPr>
                <w:rFonts w:ascii="Arial" w:cs="Arial" w:eastAsia="Arial" w:hAnsi="Arial"/>
                <w:sz w:val="12"/>
                <w:szCs w:val="12"/>
                <w:color w:val="auto"/>
              </w:rPr>
              <w:t>964,045</w:t>
            </w:r>
          </w:p>
        </w:tc>
        <w:tc>
          <w:tcPr>
            <w:tcW w:w="8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360" w:type="dxa"/>
            <w:vAlign w:val="bottom"/>
            <w:vMerge w:val="restart"/>
            <w:shd w:val="clear" w:color="auto" w:fill="CFF0FC"/>
          </w:tcPr>
          <w:p>
            <w:pPr>
              <w:jc w:val="right"/>
              <w:ind w:right="22"/>
              <w:spacing w:after="0" w:line="135" w:lineRule="exact"/>
              <w:rPr>
                <w:sz w:val="20"/>
                <w:szCs w:val="20"/>
                <w:color w:val="auto"/>
              </w:rPr>
            </w:pPr>
            <w:r>
              <w:rPr>
                <w:rFonts w:ascii="Arial" w:cs="Arial" w:eastAsia="Arial" w:hAnsi="Arial"/>
                <w:sz w:val="12"/>
                <w:szCs w:val="12"/>
                <w:color w:val="auto"/>
              </w:rPr>
              <w:t>$</w:t>
            </w:r>
          </w:p>
        </w:tc>
        <w:tc>
          <w:tcPr>
            <w:tcW w:w="740" w:type="dxa"/>
            <w:vAlign w:val="bottom"/>
            <w:vMerge w:val="restart"/>
            <w:shd w:val="clear" w:color="auto" w:fill="CFF0FC"/>
          </w:tcPr>
          <w:p>
            <w:pPr>
              <w:jc w:val="right"/>
              <w:spacing w:after="0" w:line="135" w:lineRule="exact"/>
              <w:rPr>
                <w:sz w:val="20"/>
                <w:szCs w:val="20"/>
                <w:color w:val="auto"/>
              </w:rPr>
            </w:pPr>
            <w:r>
              <w:rPr>
                <w:rFonts w:ascii="Arial" w:cs="Arial" w:eastAsia="Arial" w:hAnsi="Arial"/>
                <w:sz w:val="12"/>
                <w:szCs w:val="12"/>
                <w:color w:val="auto"/>
              </w:rPr>
              <w:t>889,814</w:t>
            </w:r>
          </w:p>
        </w:tc>
        <w:tc>
          <w:tcPr>
            <w:tcW w:w="2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98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vMerge w:val="continue"/>
            <w:shd w:val="clear" w:color="auto" w:fill="CFF0FC"/>
          </w:tcPr>
          <w:p>
            <w:pPr>
              <w:spacing w:after="0"/>
              <w:rPr>
                <w:sz w:val="6"/>
                <w:szCs w:val="6"/>
                <w:color w:val="auto"/>
              </w:rPr>
            </w:pPr>
          </w:p>
        </w:tc>
        <w:tc>
          <w:tcPr>
            <w:tcW w:w="4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320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1620" w:type="dxa"/>
            <w:vAlign w:val="bottom"/>
            <w:gridSpan w:val="2"/>
            <w:vMerge w:val="continue"/>
            <w:shd w:val="clear" w:color="auto" w:fill="CFF0FC"/>
          </w:tcPr>
          <w:p>
            <w:pPr>
              <w:spacing w:after="0"/>
              <w:rPr>
                <w:sz w:val="5"/>
                <w:szCs w:val="5"/>
                <w:color w:val="auto"/>
              </w:rPr>
            </w:pPr>
          </w:p>
        </w:tc>
        <w:tc>
          <w:tcPr>
            <w:tcW w:w="1160" w:type="dxa"/>
            <w:vAlign w:val="bottom"/>
            <w:vMerge w:val="continue"/>
            <w:shd w:val="clear" w:color="auto" w:fill="CFF0FC"/>
          </w:tcPr>
          <w:p>
            <w:pPr>
              <w:spacing w:after="0"/>
              <w:rPr>
                <w:sz w:val="5"/>
                <w:szCs w:val="5"/>
                <w:color w:val="auto"/>
              </w:rPr>
            </w:pPr>
          </w:p>
        </w:tc>
        <w:tc>
          <w:tcPr>
            <w:tcW w:w="420" w:type="dxa"/>
            <w:vAlign w:val="bottom"/>
            <w:gridSpan w:val="3"/>
            <w:vMerge w:val="continue"/>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360" w:type="dxa"/>
            <w:vAlign w:val="bottom"/>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20"/>
                <w:szCs w:val="20"/>
                <w:color w:val="auto"/>
              </w:rPr>
            </w:pPr>
            <w:r>
              <w:rPr>
                <w:rFonts w:ascii="Arial" w:cs="Arial" w:eastAsia="Arial" w:hAnsi="Arial"/>
                <w:sz w:val="12"/>
                <w:szCs w:val="12"/>
                <w:color w:val="auto"/>
              </w:rPr>
              <w:t>Business Services</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vMerge w:val="restart"/>
            <w:shd w:val="clear" w:color="auto" w:fill="CFF0FC"/>
          </w:tcPr>
          <w:p>
            <w:pPr>
              <w:ind w:left="260"/>
              <w:spacing w:after="0"/>
              <w:rPr>
                <w:sz w:val="20"/>
                <w:szCs w:val="20"/>
                <w:color w:val="auto"/>
              </w:rPr>
            </w:pPr>
            <w:r>
              <w:rPr>
                <w:rFonts w:ascii="Arial" w:cs="Arial" w:eastAsia="Arial" w:hAnsi="Arial"/>
                <w:sz w:val="12"/>
                <w:szCs w:val="12"/>
                <w:color w:val="auto"/>
              </w:rPr>
              <w:t>DBI Holding, LLC - Term Loan C (All PIK)</w:t>
            </w:r>
          </w:p>
        </w:tc>
        <w:tc>
          <w:tcPr>
            <w:tcW w:w="1000" w:type="dxa"/>
            <w:vAlign w:val="bottom"/>
            <w:vMerge w:val="restart"/>
            <w:shd w:val="clear" w:color="auto" w:fill="CFF0FC"/>
          </w:tcPr>
          <w:p>
            <w:pPr>
              <w:ind w:left="200"/>
              <w:spacing w:after="0"/>
              <w:rPr>
                <w:sz w:val="20"/>
                <w:szCs w:val="20"/>
                <w:color w:val="auto"/>
              </w:rPr>
            </w:pPr>
            <w:r>
              <w:rPr>
                <w:rFonts w:ascii="Arial" w:cs="Arial" w:eastAsia="Arial" w:hAnsi="Arial"/>
                <w:sz w:val="12"/>
                <w:szCs w:val="12"/>
                <w:color w:val="auto"/>
              </w:rPr>
              <w:t>03/26/21</w:t>
            </w:r>
          </w:p>
        </w:tc>
        <w:tc>
          <w:tcPr>
            <w:tcW w:w="40" w:type="dxa"/>
            <w:vAlign w:val="bottom"/>
            <w:shd w:val="clear" w:color="auto" w:fill="CFF0FC"/>
          </w:tcPr>
          <w:p>
            <w:pPr>
              <w:spacing w:after="0"/>
              <w:rPr>
                <w:sz w:val="12"/>
                <w:szCs w:val="12"/>
                <w:color w:val="auto"/>
              </w:rPr>
            </w:pPr>
          </w:p>
        </w:tc>
        <w:tc>
          <w:tcPr>
            <w:tcW w:w="1140" w:type="dxa"/>
            <w:vAlign w:val="bottom"/>
            <w:shd w:val="clear" w:color="auto" w:fill="CFF0FC"/>
          </w:tcPr>
          <w:p>
            <w:pPr>
              <w:jc w:val="center"/>
              <w:ind w:right="282"/>
              <w:spacing w:after="0"/>
              <w:rPr>
                <w:sz w:val="20"/>
                <w:szCs w:val="20"/>
                <w:color w:val="auto"/>
              </w:rPr>
            </w:pPr>
            <w:r>
              <w:rPr>
                <w:rFonts w:ascii="Arial" w:cs="Arial" w:eastAsia="Arial" w:hAnsi="Arial"/>
                <w:sz w:val="12"/>
                <w:szCs w:val="12"/>
                <w:color w:val="auto"/>
                <w:w w:val="87"/>
              </w:rPr>
              <w:t>9.0%</w:t>
            </w:r>
          </w:p>
        </w:tc>
        <w:tc>
          <w:tcPr>
            <w:tcW w:w="4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0.0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200" w:type="dxa"/>
            <w:vAlign w:val="bottom"/>
            <w:vMerge w:val="continue"/>
            <w:shd w:val="clear" w:color="auto" w:fill="CFF0FC"/>
          </w:tcPr>
          <w:p>
            <w:pPr>
              <w:spacing w:after="0"/>
              <w:rPr>
                <w:sz w:val="7"/>
                <w:szCs w:val="7"/>
                <w:color w:val="auto"/>
              </w:rPr>
            </w:pPr>
          </w:p>
        </w:tc>
        <w:tc>
          <w:tcPr>
            <w:tcW w:w="1000" w:type="dxa"/>
            <w:vAlign w:val="bottom"/>
            <w:vMerge w:val="continue"/>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1620" w:type="dxa"/>
            <w:vAlign w:val="bottom"/>
            <w:gridSpan w:val="2"/>
            <w:vMerge w:val="restart"/>
            <w:shd w:val="clear" w:color="auto" w:fill="CFF0FC"/>
          </w:tcPr>
          <w:p>
            <w:pPr>
              <w:jc w:val="center"/>
              <w:ind w:right="800"/>
              <w:spacing w:after="0"/>
              <w:rPr>
                <w:sz w:val="20"/>
                <w:szCs w:val="20"/>
                <w:color w:val="auto"/>
              </w:rPr>
            </w:pPr>
            <w:r>
              <w:rPr>
                <w:rFonts w:ascii="Arial" w:cs="Arial" w:eastAsia="Arial" w:hAnsi="Arial"/>
                <w:sz w:val="12"/>
                <w:szCs w:val="12"/>
                <w:color w:val="auto"/>
                <w:w w:val="92"/>
              </w:rPr>
              <w:t>(PIK 9.0%)</w:t>
            </w:r>
          </w:p>
        </w:tc>
        <w:tc>
          <w:tcPr>
            <w:tcW w:w="1160" w:type="dxa"/>
            <w:vAlign w:val="bottom"/>
            <w:vMerge w:val="restart"/>
            <w:shd w:val="clear" w:color="auto" w:fill="CFF0FC"/>
          </w:tcPr>
          <w:p>
            <w:pPr>
              <w:jc w:val="right"/>
              <w:ind w:right="302"/>
              <w:spacing w:after="0"/>
              <w:rPr>
                <w:sz w:val="20"/>
                <w:szCs w:val="20"/>
                <w:color w:val="auto"/>
              </w:rPr>
            </w:pPr>
            <w:r>
              <w:rPr>
                <w:rFonts w:ascii="Arial" w:cs="Arial" w:eastAsia="Arial" w:hAnsi="Arial"/>
                <w:sz w:val="12"/>
                <w:szCs w:val="12"/>
                <w:color w:val="auto"/>
              </w:rPr>
              <w:t>15,946</w:t>
            </w:r>
          </w:p>
        </w:tc>
        <w:tc>
          <w:tcPr>
            <w:tcW w:w="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15,946</w:t>
            </w:r>
          </w:p>
        </w:tc>
        <w:tc>
          <w:tcPr>
            <w:tcW w:w="8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15,946</w:t>
            </w: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98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20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1620" w:type="dxa"/>
            <w:vAlign w:val="bottom"/>
            <w:gridSpan w:val="2"/>
            <w:vMerge w:val="continue"/>
            <w:shd w:val="clear" w:color="auto" w:fill="CFF0FC"/>
          </w:tcPr>
          <w:p>
            <w:pPr>
              <w:spacing w:after="0"/>
              <w:rPr>
                <w:sz w:val="5"/>
                <w:szCs w:val="5"/>
                <w:color w:val="auto"/>
              </w:rPr>
            </w:pPr>
          </w:p>
        </w:tc>
        <w:tc>
          <w:tcPr>
            <w:tcW w:w="1160" w:type="dxa"/>
            <w:vAlign w:val="bottom"/>
            <w:vMerge w:val="continue"/>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200" w:type="dxa"/>
            <w:vAlign w:val="bottom"/>
            <w:vMerge w:val="restart"/>
          </w:tcPr>
          <w:p>
            <w:pPr>
              <w:ind w:left="260"/>
              <w:spacing w:after="0"/>
              <w:rPr>
                <w:sz w:val="20"/>
                <w:szCs w:val="20"/>
                <w:color w:val="auto"/>
              </w:rPr>
            </w:pPr>
            <w:r>
              <w:rPr>
                <w:rFonts w:ascii="Arial" w:cs="Arial" w:eastAsia="Arial" w:hAnsi="Arial"/>
                <w:sz w:val="12"/>
                <w:szCs w:val="12"/>
                <w:color w:val="auto"/>
              </w:rPr>
              <w:t>DBI Holding, LLC - Term Loan B (All PIK)</w:t>
            </w:r>
          </w:p>
        </w:tc>
        <w:tc>
          <w:tcPr>
            <w:tcW w:w="1000" w:type="dxa"/>
            <w:vAlign w:val="bottom"/>
            <w:vMerge w:val="restart"/>
          </w:tcPr>
          <w:p>
            <w:pPr>
              <w:ind w:left="200"/>
              <w:spacing w:after="0"/>
              <w:rPr>
                <w:sz w:val="20"/>
                <w:szCs w:val="20"/>
                <w:color w:val="auto"/>
              </w:rPr>
            </w:pPr>
            <w:r>
              <w:rPr>
                <w:rFonts w:ascii="Arial" w:cs="Arial" w:eastAsia="Arial" w:hAnsi="Arial"/>
                <w:sz w:val="12"/>
                <w:szCs w:val="12"/>
                <w:color w:val="auto"/>
              </w:rPr>
              <w:t>02/02/26</w:t>
            </w:r>
          </w:p>
        </w:tc>
        <w:tc>
          <w:tcPr>
            <w:tcW w:w="40" w:type="dxa"/>
            <w:vAlign w:val="bottom"/>
          </w:tcPr>
          <w:p>
            <w:pPr>
              <w:spacing w:after="0"/>
              <w:rPr>
                <w:sz w:val="12"/>
                <w:szCs w:val="12"/>
                <w:color w:val="auto"/>
              </w:rPr>
            </w:pPr>
          </w:p>
        </w:tc>
        <w:tc>
          <w:tcPr>
            <w:tcW w:w="1140" w:type="dxa"/>
            <w:vAlign w:val="bottom"/>
          </w:tcPr>
          <w:p>
            <w:pPr>
              <w:jc w:val="center"/>
              <w:ind w:right="282"/>
              <w:spacing w:after="0"/>
              <w:rPr>
                <w:sz w:val="20"/>
                <w:szCs w:val="20"/>
                <w:color w:val="auto"/>
              </w:rPr>
            </w:pPr>
            <w:r>
              <w:rPr>
                <w:rFonts w:ascii="Arial" w:cs="Arial" w:eastAsia="Arial" w:hAnsi="Arial"/>
                <w:sz w:val="12"/>
                <w:szCs w:val="12"/>
                <w:color w:val="auto"/>
                <w:w w:val="87"/>
              </w:rPr>
              <w:t>9.0%</w:t>
            </w: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17.5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gridSpan w:val="2"/>
            <w:vMerge w:val="restart"/>
          </w:tcPr>
          <w:p>
            <w:pPr>
              <w:jc w:val="center"/>
              <w:ind w:right="800"/>
              <w:spacing w:after="0"/>
              <w:rPr>
                <w:sz w:val="20"/>
                <w:szCs w:val="20"/>
                <w:color w:val="auto"/>
              </w:rPr>
            </w:pPr>
            <w:r>
              <w:rPr>
                <w:rFonts w:ascii="Arial" w:cs="Arial" w:eastAsia="Arial" w:hAnsi="Arial"/>
                <w:sz w:val="12"/>
                <w:szCs w:val="12"/>
                <w:color w:val="auto"/>
                <w:w w:val="92"/>
              </w:rPr>
              <w:t>(PIK 9.0%)</w:t>
            </w:r>
          </w:p>
        </w:tc>
        <w:tc>
          <w:tcPr>
            <w:tcW w:w="1160" w:type="dxa"/>
            <w:vAlign w:val="bottom"/>
            <w:vMerge w:val="restart"/>
          </w:tcPr>
          <w:p>
            <w:pPr>
              <w:jc w:val="right"/>
              <w:ind w:right="302"/>
              <w:spacing w:after="0"/>
              <w:rPr>
                <w:sz w:val="20"/>
                <w:szCs w:val="20"/>
                <w:color w:val="auto"/>
              </w:rPr>
            </w:pPr>
            <w:r>
              <w:rPr>
                <w:rFonts w:ascii="Arial" w:cs="Arial" w:eastAsia="Arial" w:hAnsi="Arial"/>
                <w:sz w:val="12"/>
                <w:szCs w:val="12"/>
                <w:color w:val="auto"/>
              </w:rPr>
              <w:t>7,977,513</w:t>
            </w: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7,977,513</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7,977,513</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200" w:type="dxa"/>
            <w:vAlign w:val="bottom"/>
            <w:tcBorders>
              <w:bottom w:val="single" w:sz="8" w:color="CFF0FC"/>
            </w:tcBorders>
          </w:tcPr>
          <w:p>
            <w:pPr>
              <w:spacing w:after="0"/>
              <w:rPr>
                <w:sz w:val="5"/>
                <w:szCs w:val="5"/>
                <w:color w:val="auto"/>
              </w:rPr>
            </w:pPr>
          </w:p>
        </w:tc>
        <w:tc>
          <w:tcPr>
            <w:tcW w:w="1000" w:type="dxa"/>
            <w:vAlign w:val="bottom"/>
            <w:tcBorders>
              <w:bottom w:val="single" w:sz="8" w:color="CFF0FC"/>
            </w:tcBorders>
          </w:tcPr>
          <w:p>
            <w:pPr>
              <w:spacing w:after="0"/>
              <w:rPr>
                <w:sz w:val="5"/>
                <w:szCs w:val="5"/>
                <w:color w:val="auto"/>
              </w:rPr>
            </w:pPr>
          </w:p>
        </w:tc>
        <w:tc>
          <w:tcPr>
            <w:tcW w:w="40" w:type="dxa"/>
            <w:vAlign w:val="bottom"/>
            <w:tcBorders>
              <w:bottom w:val="single" w:sz="8" w:color="CFF0FC"/>
            </w:tcBorders>
          </w:tcPr>
          <w:p>
            <w:pPr>
              <w:spacing w:after="0"/>
              <w:rPr>
                <w:sz w:val="5"/>
                <w:szCs w:val="5"/>
                <w:color w:val="auto"/>
              </w:rPr>
            </w:pPr>
          </w:p>
        </w:tc>
        <w:tc>
          <w:tcPr>
            <w:tcW w:w="1620" w:type="dxa"/>
            <w:vAlign w:val="bottom"/>
            <w:tcBorders>
              <w:bottom w:val="single" w:sz="8" w:color="CFF0FC"/>
            </w:tcBorders>
            <w:gridSpan w:val="2"/>
            <w:vMerge w:val="continue"/>
          </w:tcPr>
          <w:p>
            <w:pPr>
              <w:spacing w:after="0"/>
              <w:rPr>
                <w:sz w:val="5"/>
                <w:szCs w:val="5"/>
                <w:color w:val="auto"/>
              </w:rPr>
            </w:pPr>
          </w:p>
        </w:tc>
        <w:tc>
          <w:tcPr>
            <w:tcW w:w="1160" w:type="dxa"/>
            <w:vAlign w:val="bottom"/>
            <w:tcBorders>
              <w:bottom w:val="single" w:sz="8" w:color="CFF0FC"/>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260" w:type="dxa"/>
            <w:vAlign w:val="bottom"/>
            <w:tcBorders>
              <w:bottom w:val="single" w:sz="8" w:color="CFF0FC"/>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4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Second Lien Secured Debt</w:t>
            </w:r>
          </w:p>
        </w:tc>
        <w:tc>
          <w:tcPr>
            <w:tcW w:w="10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8,957,504</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8,883,272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2"/>
                <w:szCs w:val="12"/>
                <w:b w:val="1"/>
                <w:bCs w:val="1"/>
                <w:color w:val="auto"/>
              </w:rPr>
              <w:t>Preferred Equity - 4.0%</w:t>
            </w: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Business Services</w:t>
            </w:r>
          </w:p>
        </w:tc>
        <w:tc>
          <w:tcPr>
            <w:tcW w:w="10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DBI Holding, LLC - Series A-1</w:t>
            </w:r>
          </w:p>
        </w:tc>
        <w:tc>
          <w:tcPr>
            <w:tcW w:w="100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140" w:type="dxa"/>
            <w:vAlign w:val="bottom"/>
            <w:tcBorders>
              <w:bottom w:val="single" w:sz="8" w:color="CFF0FC"/>
            </w:tcBorders>
          </w:tcPr>
          <w:p>
            <w:pPr>
              <w:jc w:val="center"/>
              <w:ind w:right="282"/>
              <w:spacing w:after="0"/>
              <w:rPr>
                <w:sz w:val="20"/>
                <w:szCs w:val="20"/>
                <w:color w:val="auto"/>
              </w:rPr>
            </w:pPr>
            <w:r>
              <w:rPr>
                <w:rFonts w:ascii="Arial" w:cs="Arial" w:eastAsia="Arial" w:hAnsi="Arial"/>
                <w:sz w:val="12"/>
                <w:szCs w:val="12"/>
                <w:color w:val="auto"/>
                <w:w w:val="88"/>
              </w:rPr>
              <w:t>13.00%</w:t>
            </w:r>
          </w:p>
        </w:tc>
        <w:tc>
          <w:tcPr>
            <w:tcW w:w="480" w:type="dxa"/>
            <w:vAlign w:val="bottom"/>
            <w:tcBorders>
              <w:bottom w:val="single" w:sz="8" w:color="CFF0FC"/>
            </w:tcBorders>
          </w:tcPr>
          <w:p>
            <w:pPr>
              <w:spacing w:after="0"/>
              <w:rPr>
                <w:sz w:val="12"/>
                <w:szCs w:val="12"/>
                <w:color w:val="auto"/>
              </w:rPr>
            </w:pPr>
          </w:p>
        </w:tc>
        <w:tc>
          <w:tcPr>
            <w:tcW w:w="1160" w:type="dxa"/>
            <w:vAlign w:val="bottom"/>
            <w:tcBorders>
              <w:bottom w:val="single" w:sz="8" w:color="CFF0FC"/>
            </w:tcBorders>
          </w:tcPr>
          <w:p>
            <w:pPr>
              <w:jc w:val="right"/>
              <w:ind w:right="302"/>
              <w:spacing w:after="0"/>
              <w:rPr>
                <w:sz w:val="20"/>
                <w:szCs w:val="20"/>
                <w:color w:val="auto"/>
              </w:rPr>
            </w:pPr>
            <w:r>
              <w:rPr>
                <w:rFonts w:ascii="Arial" w:cs="Arial" w:eastAsia="Arial" w:hAnsi="Arial"/>
                <w:sz w:val="12"/>
                <w:szCs w:val="12"/>
                <w:color w:val="auto"/>
              </w:rPr>
              <w:t>5,034</w:t>
            </w:r>
          </w:p>
        </w:tc>
        <w:tc>
          <w:tcPr>
            <w:tcW w:w="6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5,034,310</w:t>
            </w:r>
          </w:p>
        </w:tc>
        <w:tc>
          <w:tcPr>
            <w:tcW w:w="8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1,803,668</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w:t>
            </w: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Preferred Equity</w:t>
            </w:r>
          </w:p>
        </w:tc>
        <w:tc>
          <w:tcPr>
            <w:tcW w:w="10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5,034,310</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1,803,668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b w:val="1"/>
                <w:bCs w:val="1"/>
                <w:color w:val="auto"/>
              </w:rPr>
              <w:t>Common Equity - 0.0%</w:t>
            </w: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Beverage, Food and Tobacco</w:t>
            </w:r>
          </w:p>
        </w:tc>
        <w:tc>
          <w:tcPr>
            <w:tcW w:w="10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Country Fresh Holding Company Inc.</w:t>
            </w: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jc w:val="right"/>
              <w:ind w:right="302"/>
              <w:spacing w:after="0"/>
              <w:rPr>
                <w:sz w:val="20"/>
                <w:szCs w:val="20"/>
                <w:color w:val="auto"/>
              </w:rPr>
            </w:pPr>
            <w:r>
              <w:rPr>
                <w:rFonts w:ascii="Arial" w:cs="Arial" w:eastAsia="Arial" w:hAnsi="Arial"/>
                <w:sz w:val="12"/>
                <w:szCs w:val="12"/>
                <w:color w:val="auto"/>
              </w:rPr>
              <w:t>1,317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1,713,106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Business Services</w:t>
            </w:r>
          </w:p>
        </w:tc>
        <w:tc>
          <w:tcPr>
            <w:tcW w:w="10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DBI Holding, LLC - Series B</w:t>
            </w:r>
          </w:p>
        </w:tc>
        <w:tc>
          <w:tcPr>
            <w:tcW w:w="100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140" w:type="dxa"/>
            <w:vAlign w:val="bottom"/>
            <w:tcBorders>
              <w:bottom w:val="single" w:sz="8" w:color="CFF0FC"/>
            </w:tcBorders>
          </w:tcPr>
          <w:p>
            <w:pPr>
              <w:spacing w:after="0"/>
              <w:rPr>
                <w:sz w:val="12"/>
                <w:szCs w:val="12"/>
                <w:color w:val="auto"/>
              </w:rPr>
            </w:pPr>
          </w:p>
        </w:tc>
        <w:tc>
          <w:tcPr>
            <w:tcW w:w="480" w:type="dxa"/>
            <w:vAlign w:val="bottom"/>
            <w:tcBorders>
              <w:bottom w:val="single" w:sz="8" w:color="CFF0FC"/>
            </w:tcBorders>
          </w:tcPr>
          <w:p>
            <w:pPr>
              <w:spacing w:after="0"/>
              <w:rPr>
                <w:sz w:val="12"/>
                <w:szCs w:val="12"/>
                <w:color w:val="auto"/>
              </w:rPr>
            </w:pPr>
          </w:p>
        </w:tc>
        <w:tc>
          <w:tcPr>
            <w:tcW w:w="1160" w:type="dxa"/>
            <w:vAlign w:val="bottom"/>
            <w:tcBorders>
              <w:bottom w:val="single" w:sz="8" w:color="CFF0FC"/>
            </w:tcBorders>
          </w:tcPr>
          <w:p>
            <w:pPr>
              <w:jc w:val="right"/>
              <w:ind w:right="302"/>
              <w:spacing w:after="0"/>
              <w:rPr>
                <w:sz w:val="20"/>
                <w:szCs w:val="20"/>
                <w:color w:val="auto"/>
              </w:rPr>
            </w:pPr>
            <w:r>
              <w:rPr>
                <w:rFonts w:ascii="Arial" w:cs="Arial" w:eastAsia="Arial" w:hAnsi="Arial"/>
                <w:sz w:val="12"/>
                <w:szCs w:val="12"/>
                <w:color w:val="auto"/>
              </w:rPr>
              <w:t>1,065,021</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236,521</w:t>
            </w:r>
          </w:p>
        </w:tc>
        <w:tc>
          <w:tcPr>
            <w:tcW w:w="8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w:t>
            </w: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Common Equity</w:t>
            </w:r>
          </w:p>
        </w:tc>
        <w:tc>
          <w:tcPr>
            <w:tcW w:w="10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1,949,627</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0.0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Total Investments - 861.6%</w:t>
            </w:r>
          </w:p>
        </w:tc>
        <w:tc>
          <w:tcPr>
            <w:tcW w:w="100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140" w:type="dxa"/>
            <w:vAlign w:val="bottom"/>
            <w:tcBorders>
              <w:bottom w:val="single" w:sz="8" w:color="CFF0FC"/>
            </w:tcBorders>
          </w:tcPr>
          <w:p>
            <w:pPr>
              <w:spacing w:after="0"/>
              <w:rPr>
                <w:sz w:val="12"/>
                <w:szCs w:val="12"/>
                <w:color w:val="auto"/>
              </w:rPr>
            </w:pPr>
          </w:p>
        </w:tc>
        <w:tc>
          <w:tcPr>
            <w:tcW w:w="480" w:type="dxa"/>
            <w:vAlign w:val="bottom"/>
            <w:tcBorders>
              <w:bottom w:val="single" w:sz="8" w:color="CFF0FC"/>
            </w:tcBorders>
          </w:tcPr>
          <w:p>
            <w:pPr>
              <w:spacing w:after="0"/>
              <w:rPr>
                <w:sz w:val="12"/>
                <w:szCs w:val="12"/>
                <w:color w:val="auto"/>
              </w:rPr>
            </w:pPr>
          </w:p>
        </w:tc>
        <w:tc>
          <w:tcPr>
            <w:tcW w:w="116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408,251,402</w:t>
            </w:r>
          </w:p>
        </w:tc>
        <w:tc>
          <w:tcPr>
            <w:tcW w:w="8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392,986,090</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861.6</w:t>
            </w: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Cash and Cash Equivalents—24.4%</w:t>
            </w:r>
          </w:p>
        </w:tc>
        <w:tc>
          <w:tcPr>
            <w:tcW w:w="10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11,115,373</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11,121,479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24.4</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Total Investments and Cash Equivalents—886.0%</w:t>
            </w:r>
          </w:p>
        </w:tc>
        <w:tc>
          <w:tcPr>
            <w:tcW w:w="100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140" w:type="dxa"/>
            <w:vAlign w:val="bottom"/>
            <w:tcBorders>
              <w:bottom w:val="single" w:sz="8" w:color="CFF0FC"/>
            </w:tcBorders>
          </w:tcPr>
          <w:p>
            <w:pPr>
              <w:spacing w:after="0"/>
              <w:rPr>
                <w:sz w:val="15"/>
                <w:szCs w:val="15"/>
                <w:color w:val="auto"/>
              </w:rPr>
            </w:pPr>
          </w:p>
        </w:tc>
        <w:tc>
          <w:tcPr>
            <w:tcW w:w="480" w:type="dxa"/>
            <w:vAlign w:val="bottom"/>
            <w:tcBorders>
              <w:bottom w:val="single" w:sz="8" w:color="CFF0FC"/>
            </w:tcBorders>
          </w:tcPr>
          <w:p>
            <w:pPr>
              <w:spacing w:after="0"/>
              <w:rPr>
                <w:sz w:val="15"/>
                <w:szCs w:val="15"/>
                <w:color w:val="auto"/>
              </w:rPr>
            </w:pPr>
          </w:p>
        </w:tc>
        <w:tc>
          <w:tcPr>
            <w:tcW w:w="116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419,366,775</w:t>
            </w:r>
          </w:p>
        </w:tc>
        <w:tc>
          <w:tcPr>
            <w:tcW w:w="8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404,107,569</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886.0</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00" w:type="dxa"/>
            <w:vAlign w:val="bottom"/>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Liabilities in Excess of Other Assets—(786.0)%</w:t>
            </w:r>
          </w:p>
        </w:tc>
        <w:tc>
          <w:tcPr>
            <w:tcW w:w="10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w w:val="98"/>
              </w:rPr>
              <w:t>(358,495,484</w:t>
            </w:r>
          </w:p>
        </w:tc>
        <w:tc>
          <w:tcPr>
            <w:tcW w:w="220" w:type="dxa"/>
            <w:vAlign w:val="bottom"/>
            <w:shd w:val="clear" w:color="auto" w:fill="CFF0FC"/>
          </w:tcPr>
          <w:p>
            <w:pPr>
              <w:jc w:val="right"/>
              <w:ind w:right="139"/>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2"/>
                <w:szCs w:val="12"/>
                <w:color w:val="auto"/>
              </w:rPr>
              <w:t>(786.0)</w:t>
            </w: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b w:val="1"/>
                <w:bCs w:val="1"/>
                <w:color w:val="auto"/>
              </w:rPr>
              <w:t>Members’ Equity—100.0%</w:t>
            </w:r>
          </w:p>
        </w:tc>
        <w:tc>
          <w:tcPr>
            <w:tcW w:w="10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Borders>
              <w:bottom w:val="single" w:sz="8" w:color="auto"/>
            </w:tcBorders>
          </w:tcPr>
          <w:p>
            <w:pPr>
              <w:jc w:val="right"/>
              <w:ind w:right="22"/>
              <w:spacing w:after="0" w:line="129" w:lineRule="exact"/>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45,612,085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100.0</w:t>
            </w:r>
          </w:p>
        </w:tc>
        <w:tc>
          <w:tcPr>
            <w:tcW w:w="100" w:type="dxa"/>
            <w:vAlign w:val="bottom"/>
          </w:tcPr>
          <w:p>
            <w:pPr>
              <w:spacing w:after="0"/>
              <w:rPr>
                <w:sz w:val="11"/>
                <w:szCs w:val="11"/>
                <w:color w:val="auto"/>
              </w:rPr>
            </w:pPr>
          </w:p>
        </w:tc>
        <w:tc>
          <w:tcPr>
            <w:tcW w:w="14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both"/>
        <w:ind w:left="380" w:hanging="372"/>
        <w:spacing w:after="0" w:line="233" w:lineRule="auto"/>
        <w:tabs>
          <w:tab w:leader="none" w:pos="3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2"/>
          <w:szCs w:val="12"/>
          <w:color w:val="auto"/>
        </w:rPr>
      </w:pPr>
    </w:p>
    <w:p>
      <w:pPr>
        <w:ind w:left="380" w:hanging="372"/>
        <w:spacing w:after="0"/>
        <w:tabs>
          <w:tab w:leader="none" w:pos="3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Valued based on PSSL’s accounting policy.</w:t>
      </w:r>
    </w:p>
    <w:p>
      <w:pPr>
        <w:spacing w:after="0" w:line="28" w:lineRule="exact"/>
        <w:rPr>
          <w:rFonts w:ascii="Arial" w:cs="Arial" w:eastAsia="Arial" w:hAnsi="Arial"/>
          <w:sz w:val="12"/>
          <w:szCs w:val="12"/>
          <w:color w:val="auto"/>
        </w:rPr>
      </w:pPr>
    </w:p>
    <w:p>
      <w:pPr>
        <w:ind w:left="380" w:hanging="372"/>
        <w:spacing w:after="0"/>
        <w:tabs>
          <w:tab w:leader="none" w:pos="3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Non-U.S. company or principal place of business outside the United States.</w:t>
      </w:r>
    </w:p>
    <w:p>
      <w:pPr>
        <w:spacing w:after="0" w:line="28" w:lineRule="exact"/>
        <w:rPr>
          <w:rFonts w:ascii="Arial" w:cs="Arial" w:eastAsia="Arial" w:hAnsi="Arial"/>
          <w:sz w:val="12"/>
          <w:szCs w:val="12"/>
          <w:color w:val="auto"/>
        </w:rPr>
      </w:pPr>
    </w:p>
    <w:p>
      <w:pPr>
        <w:ind w:left="380" w:hanging="372"/>
        <w:spacing w:after="0"/>
        <w:tabs>
          <w:tab w:leader="none" w:pos="3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Par amount is denominated in Australian Dollars (A$) or in Canadian Dollars (C$) as denoted.</w:t>
      </w:r>
    </w:p>
    <w:p>
      <w:pPr>
        <w:spacing w:after="0" w:line="28" w:lineRule="exact"/>
        <w:rPr>
          <w:rFonts w:ascii="Arial" w:cs="Arial" w:eastAsia="Arial" w:hAnsi="Arial"/>
          <w:sz w:val="12"/>
          <w:szCs w:val="12"/>
          <w:color w:val="auto"/>
        </w:rPr>
      </w:pPr>
    </w:p>
    <w:p>
      <w:pPr>
        <w:ind w:left="380" w:hanging="372"/>
        <w:spacing w:after="0"/>
        <w:tabs>
          <w:tab w:leader="none" w:pos="380" w:val="left"/>
        </w:tabs>
        <w:numPr>
          <w:ilvl w:val="0"/>
          <w:numId w:val="107"/>
        </w:numPr>
        <w:rPr>
          <w:rFonts w:ascii="Arial" w:cs="Arial" w:eastAsia="Arial" w:hAnsi="Arial"/>
          <w:sz w:val="12"/>
          <w:szCs w:val="12"/>
          <w:color w:val="auto"/>
        </w:rPr>
      </w:pPr>
      <w:r>
        <w:rPr>
          <w:rFonts w:ascii="Arial" w:cs="Arial" w:eastAsia="Arial" w:hAnsi="Arial"/>
          <w:sz w:val="14"/>
          <w:szCs w:val="14"/>
          <w:color w:val="auto"/>
        </w:rPr>
        <w:t>Non-income producing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-861060</wp:posOffset>
            </wp:positionV>
            <wp:extent cx="193738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37" w:name="page138"/>
    <w:bookmarkEnd w:id="137"/>
    <w:p>
      <w:pPr>
        <w:jc w:val="center"/>
        <w:ind w:right="20"/>
        <w:spacing w:after="0"/>
        <w:rPr>
          <w:sz w:val="20"/>
          <w:szCs w:val="20"/>
          <w:color w:val="auto"/>
        </w:rPr>
      </w:pPr>
      <w:r>
        <w:rPr>
          <w:rFonts w:ascii="Arial" w:cs="Arial" w:eastAsia="Arial" w:hAnsi="Arial"/>
          <w:sz w:val="16"/>
          <w:szCs w:val="16"/>
          <w:b w:val="1"/>
          <w:bCs w:val="1"/>
          <w:color w:val="auto"/>
        </w:rPr>
        <w:t>PennantPark Senior Secured Loan Fund I LLC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 2019</w:t>
      </w: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ind w:right="342"/>
              <w:spacing w:after="0"/>
              <w:rPr>
                <w:sz w:val="20"/>
                <w:szCs w:val="20"/>
                <w:color w:val="auto"/>
              </w:rPr>
            </w:pPr>
            <w:r>
              <w:rPr>
                <w:rFonts w:ascii="Arial" w:cs="Arial" w:eastAsia="Arial" w:hAnsi="Arial"/>
                <w:sz w:val="12"/>
                <w:szCs w:val="12"/>
                <w:b w:val="1"/>
                <w:bCs w:val="1"/>
                <w:color w:val="auto"/>
              </w:rPr>
              <w:t>Current</w:t>
            </w:r>
          </w:p>
        </w:tc>
        <w:tc>
          <w:tcPr>
            <w:tcW w:w="320" w:type="dxa"/>
            <w:vAlign w:val="bottom"/>
          </w:tcPr>
          <w:p>
            <w:pPr>
              <w:spacing w:after="0"/>
              <w:rPr>
                <w:sz w:val="12"/>
                <w:szCs w:val="12"/>
                <w:color w:val="auto"/>
              </w:rPr>
            </w:pPr>
          </w:p>
        </w:tc>
      </w:tr>
      <w:tr>
        <w:trPr>
          <w:trHeight w:val="143"/>
        </w:trPr>
        <w:tc>
          <w:tcPr>
            <w:tcW w:w="3200" w:type="dxa"/>
            <w:vAlign w:val="bottom"/>
          </w:tcPr>
          <w:p>
            <w:pPr>
              <w:spacing w:after="0"/>
              <w:rPr>
                <w:sz w:val="12"/>
                <w:szCs w:val="12"/>
                <w:color w:val="auto"/>
              </w:rPr>
            </w:pPr>
          </w:p>
        </w:tc>
        <w:tc>
          <w:tcPr>
            <w:tcW w:w="960" w:type="dxa"/>
            <w:vAlign w:val="bottom"/>
            <w:gridSpan w:val="2"/>
          </w:tcPr>
          <w:p>
            <w:pPr>
              <w:ind w:left="180"/>
              <w:spacing w:after="0"/>
              <w:rPr>
                <w:sz w:val="20"/>
                <w:szCs w:val="20"/>
                <w:color w:val="auto"/>
              </w:rPr>
            </w:pPr>
            <w:r>
              <w:rPr>
                <w:rFonts w:ascii="Arial" w:cs="Arial" w:eastAsia="Arial" w:hAnsi="Arial"/>
                <w:sz w:val="12"/>
                <w:szCs w:val="12"/>
                <w:b w:val="1"/>
                <w:bCs w:val="1"/>
                <w:color w:val="auto"/>
              </w:rPr>
              <w:t>Maturity</w:t>
            </w:r>
          </w:p>
        </w:tc>
        <w:tc>
          <w:tcPr>
            <w:tcW w:w="1200" w:type="dxa"/>
            <w:vAlign w:val="bottom"/>
          </w:tcPr>
          <w:p>
            <w:pPr>
              <w:jc w:val="right"/>
              <w:ind w:right="342"/>
              <w:spacing w:after="0"/>
              <w:rPr>
                <w:sz w:val="20"/>
                <w:szCs w:val="20"/>
                <w:color w:val="auto"/>
              </w:rPr>
            </w:pPr>
            <w:r>
              <w:rPr>
                <w:rFonts w:ascii="Arial" w:cs="Arial" w:eastAsia="Arial" w:hAnsi="Arial"/>
                <w:sz w:val="12"/>
                <w:szCs w:val="12"/>
                <w:b w:val="1"/>
                <w:bCs w:val="1"/>
                <w:color w:val="auto"/>
              </w:rPr>
              <w:t>Coupon</w:t>
            </w:r>
          </w:p>
        </w:tc>
        <w:tc>
          <w:tcPr>
            <w:tcW w:w="320" w:type="dxa"/>
            <w:vAlign w:val="bottom"/>
          </w:tcPr>
          <w:p>
            <w:pPr>
              <w:spacing w:after="0"/>
              <w:rPr>
                <w:sz w:val="12"/>
                <w:szCs w:val="12"/>
                <w:color w:val="auto"/>
              </w:rPr>
            </w:pPr>
          </w:p>
        </w:tc>
      </w:tr>
      <w:tr>
        <w:trPr>
          <w:trHeight w:val="190"/>
        </w:trPr>
        <w:tc>
          <w:tcPr>
            <w:tcW w:w="3200" w:type="dxa"/>
            <w:vAlign w:val="bottom"/>
          </w:tcPr>
          <w:p>
            <w:pPr>
              <w:spacing w:after="0"/>
              <w:rPr>
                <w:sz w:val="20"/>
                <w:szCs w:val="20"/>
                <w:color w:val="auto"/>
              </w:rPr>
            </w:pPr>
            <w:r>
              <w:rPr>
                <w:rFonts w:ascii="Arial" w:cs="Arial" w:eastAsia="Arial" w:hAnsi="Arial"/>
                <w:sz w:val="12"/>
                <w:szCs w:val="12"/>
                <w:b w:val="1"/>
                <w:bCs w:val="1"/>
                <w:color w:val="auto"/>
              </w:rPr>
              <w:t>First Lien Secured Debt - 830.5%</w:t>
            </w: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Aerospace and Defense</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Cadence Aerospace, LLC</w:t>
            </w:r>
          </w:p>
        </w:tc>
        <w:tc>
          <w:tcPr>
            <w:tcW w:w="820" w:type="dxa"/>
            <w:vAlign w:val="bottom"/>
          </w:tcPr>
          <w:p>
            <w:pPr>
              <w:ind w:left="180"/>
              <w:spacing w:after="0"/>
              <w:rPr>
                <w:sz w:val="20"/>
                <w:szCs w:val="20"/>
                <w:color w:val="auto"/>
              </w:rPr>
            </w:pPr>
            <w:r>
              <w:rPr>
                <w:rFonts w:ascii="Arial" w:cs="Arial" w:eastAsia="Arial" w:hAnsi="Arial"/>
                <w:sz w:val="12"/>
                <w:szCs w:val="12"/>
                <w:color w:val="auto"/>
              </w:rPr>
              <w:t>11/14/2023</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8.54%</w:t>
            </w: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Centauri Group Holdings, LLC</w:t>
            </w:r>
          </w:p>
        </w:tc>
        <w:tc>
          <w:tcPr>
            <w:tcW w:w="820" w:type="dxa"/>
            <w:vAlign w:val="bottom"/>
          </w:tcPr>
          <w:p>
            <w:pPr>
              <w:ind w:left="180"/>
              <w:spacing w:after="0"/>
              <w:rPr>
                <w:sz w:val="20"/>
                <w:szCs w:val="20"/>
                <w:color w:val="auto"/>
              </w:rPr>
            </w:pPr>
            <w:r>
              <w:rPr>
                <w:rFonts w:ascii="Arial" w:cs="Arial" w:eastAsia="Arial" w:hAnsi="Arial"/>
                <w:sz w:val="12"/>
                <w:szCs w:val="12"/>
                <w:color w:val="auto"/>
              </w:rPr>
              <w:t>02/12/2024</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7.36%</w:t>
            </w: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IMIA Holdings, Inc.</w:t>
            </w:r>
          </w:p>
        </w:tc>
        <w:tc>
          <w:tcPr>
            <w:tcW w:w="820" w:type="dxa"/>
            <w:vAlign w:val="bottom"/>
          </w:tcPr>
          <w:p>
            <w:pPr>
              <w:ind w:left="180"/>
              <w:spacing w:after="0"/>
              <w:rPr>
                <w:sz w:val="20"/>
                <w:szCs w:val="20"/>
                <w:color w:val="auto"/>
              </w:rPr>
            </w:pPr>
            <w:r>
              <w:rPr>
                <w:rFonts w:ascii="Arial" w:cs="Arial" w:eastAsia="Arial" w:hAnsi="Arial"/>
                <w:sz w:val="12"/>
                <w:szCs w:val="12"/>
                <w:color w:val="auto"/>
              </w:rPr>
              <w:t>10/28/2024</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6.60%</w:t>
            </w:r>
          </w:p>
        </w:tc>
        <w:tc>
          <w:tcPr>
            <w:tcW w:w="320" w:type="dxa"/>
            <w:vAlign w:val="bottom"/>
          </w:tcPr>
          <w:p>
            <w:pPr>
              <w:spacing w:after="0"/>
              <w:rPr>
                <w:sz w:val="12"/>
                <w:szCs w:val="12"/>
                <w:color w:val="auto"/>
              </w:rPr>
            </w:pPr>
          </w:p>
        </w:tc>
      </w:tr>
      <w:tr>
        <w:trPr>
          <w:trHeight w:val="149"/>
        </w:trPr>
        <w:tc>
          <w:tcPr>
            <w:tcW w:w="3200" w:type="dxa"/>
            <w:vAlign w:val="bottom"/>
          </w:tcPr>
          <w:p>
            <w:pPr>
              <w:ind w:left="260"/>
              <w:spacing w:after="0"/>
              <w:rPr>
                <w:sz w:val="20"/>
                <w:szCs w:val="20"/>
                <w:color w:val="auto"/>
              </w:rPr>
            </w:pPr>
            <w:r>
              <w:rPr>
                <w:rFonts w:ascii="Arial" w:cs="Arial" w:eastAsia="Arial" w:hAnsi="Arial"/>
                <w:sz w:val="12"/>
                <w:szCs w:val="12"/>
                <w:color w:val="auto"/>
              </w:rPr>
              <w:t>Whitney, Bradley &amp; Brown, Inc.</w:t>
            </w:r>
          </w:p>
        </w:tc>
        <w:tc>
          <w:tcPr>
            <w:tcW w:w="820" w:type="dxa"/>
            <w:vAlign w:val="bottom"/>
          </w:tcPr>
          <w:p>
            <w:pPr>
              <w:ind w:left="180"/>
              <w:spacing w:after="0"/>
              <w:rPr>
                <w:sz w:val="20"/>
                <w:szCs w:val="20"/>
                <w:color w:val="auto"/>
              </w:rPr>
            </w:pPr>
            <w:r>
              <w:rPr>
                <w:rFonts w:ascii="Arial" w:cs="Arial" w:eastAsia="Arial" w:hAnsi="Arial"/>
                <w:sz w:val="12"/>
                <w:szCs w:val="12"/>
                <w:color w:val="auto"/>
              </w:rPr>
              <w:t>10/18/2022</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9.55%</w:t>
            </w:r>
          </w:p>
        </w:tc>
        <w:tc>
          <w:tcPr>
            <w:tcW w:w="320" w:type="dxa"/>
            <w:vAlign w:val="bottom"/>
          </w:tcPr>
          <w:p>
            <w:pPr>
              <w:spacing w:after="0"/>
              <w:rPr>
                <w:sz w:val="12"/>
                <w:szCs w:val="12"/>
                <w:color w:val="auto"/>
              </w:rPr>
            </w:pPr>
          </w:p>
        </w:tc>
      </w:tr>
      <w:tr>
        <w:trPr>
          <w:trHeight w:val="139"/>
        </w:trPr>
        <w:tc>
          <w:tcPr>
            <w:tcW w:w="3200" w:type="dxa"/>
            <w:vAlign w:val="bottom"/>
          </w:tcPr>
          <w:p>
            <w:pPr>
              <w:spacing w:after="0"/>
              <w:rPr>
                <w:sz w:val="20"/>
                <w:szCs w:val="20"/>
                <w:color w:val="auto"/>
              </w:rPr>
            </w:pPr>
            <w:r>
              <w:rPr>
                <w:rFonts w:ascii="Arial" w:cs="Arial" w:eastAsia="Arial" w:hAnsi="Arial"/>
                <w:sz w:val="12"/>
                <w:szCs w:val="12"/>
                <w:color w:val="auto"/>
              </w:rPr>
              <w:t>Banking, Finance, Insurance and Real Estate</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58"/>
        </w:trPr>
        <w:tc>
          <w:tcPr>
            <w:tcW w:w="3200" w:type="dxa"/>
            <w:vAlign w:val="bottom"/>
          </w:tcPr>
          <w:p>
            <w:pPr>
              <w:ind w:left="260"/>
              <w:spacing w:after="0" w:line="158" w:lineRule="exact"/>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18"/>
                <w:szCs w:val="18"/>
                <w:color w:val="auto"/>
                <w:vertAlign w:val="superscript"/>
              </w:rPr>
              <w:t>(3,4)</w:t>
            </w:r>
          </w:p>
        </w:tc>
        <w:tc>
          <w:tcPr>
            <w:tcW w:w="820" w:type="dxa"/>
            <w:vAlign w:val="bottom"/>
          </w:tcPr>
          <w:p>
            <w:pPr>
              <w:ind w:left="180"/>
              <w:spacing w:after="0"/>
              <w:rPr>
                <w:sz w:val="20"/>
                <w:szCs w:val="20"/>
                <w:color w:val="auto"/>
              </w:rPr>
            </w:pPr>
            <w:r>
              <w:rPr>
                <w:rFonts w:ascii="Arial" w:cs="Arial" w:eastAsia="Arial" w:hAnsi="Arial"/>
                <w:sz w:val="12"/>
                <w:szCs w:val="12"/>
                <w:color w:val="auto"/>
              </w:rPr>
              <w:t>05/31/2024</w:t>
            </w:r>
          </w:p>
        </w:tc>
        <w:tc>
          <w:tcPr>
            <w:tcW w:w="140" w:type="dxa"/>
            <w:vAlign w:val="bottom"/>
          </w:tcPr>
          <w:p>
            <w:pPr>
              <w:spacing w:after="0"/>
              <w:rPr>
                <w:sz w:val="13"/>
                <w:szCs w:val="13"/>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6.26%</w:t>
            </w:r>
          </w:p>
        </w:tc>
        <w:tc>
          <w:tcPr>
            <w:tcW w:w="320" w:type="dxa"/>
            <w:vAlign w:val="bottom"/>
          </w:tcPr>
          <w:p>
            <w:pPr>
              <w:ind w:left="180"/>
              <w:spacing w:after="0"/>
              <w:rPr>
                <w:sz w:val="20"/>
                <w:szCs w:val="20"/>
                <w:color w:val="auto"/>
              </w:rPr>
            </w:pPr>
            <w:r>
              <w:rPr>
                <w:rFonts w:ascii="Arial" w:cs="Arial" w:eastAsia="Arial" w:hAnsi="Arial"/>
                <w:sz w:val="12"/>
                <w:szCs w:val="12"/>
                <w:color w:val="auto"/>
                <w:w w:val="81"/>
              </w:rPr>
              <w:t>A$</w:t>
            </w: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Beverage, Food and Tobacco</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Cardenas Markets LLC</w:t>
            </w:r>
          </w:p>
        </w:tc>
        <w:tc>
          <w:tcPr>
            <w:tcW w:w="820" w:type="dxa"/>
            <w:vAlign w:val="bottom"/>
          </w:tcPr>
          <w:p>
            <w:pPr>
              <w:ind w:left="180"/>
              <w:spacing w:after="0"/>
              <w:rPr>
                <w:sz w:val="20"/>
                <w:szCs w:val="20"/>
                <w:color w:val="auto"/>
              </w:rPr>
            </w:pPr>
            <w:r>
              <w:rPr>
                <w:rFonts w:ascii="Arial" w:cs="Arial" w:eastAsia="Arial" w:hAnsi="Arial"/>
                <w:sz w:val="12"/>
                <w:szCs w:val="12"/>
                <w:color w:val="auto"/>
              </w:rPr>
              <w:t>11/29/2023</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7.79%</w:t>
            </w:r>
          </w:p>
        </w:tc>
        <w:tc>
          <w:tcPr>
            <w:tcW w:w="320" w:type="dxa"/>
            <w:vAlign w:val="bottom"/>
          </w:tcPr>
          <w:p>
            <w:pPr>
              <w:spacing w:after="0"/>
              <w:rPr>
                <w:sz w:val="12"/>
                <w:szCs w:val="12"/>
                <w:color w:val="auto"/>
              </w:rPr>
            </w:pPr>
          </w:p>
        </w:tc>
      </w:tr>
      <w:tr>
        <w:trPr>
          <w:trHeight w:val="149"/>
        </w:trPr>
        <w:tc>
          <w:tcPr>
            <w:tcW w:w="3200" w:type="dxa"/>
            <w:vAlign w:val="bottom"/>
          </w:tcPr>
          <w:p>
            <w:pPr>
              <w:ind w:left="260"/>
              <w:spacing w:after="0"/>
              <w:rPr>
                <w:sz w:val="20"/>
                <w:szCs w:val="20"/>
                <w:color w:val="auto"/>
              </w:rPr>
            </w:pPr>
            <w:r>
              <w:rPr>
                <w:rFonts w:ascii="Arial" w:cs="Arial" w:eastAsia="Arial" w:hAnsi="Arial"/>
                <w:sz w:val="12"/>
                <w:szCs w:val="12"/>
                <w:color w:val="auto"/>
              </w:rPr>
              <w:t>Country Fresh Holdings, LLC - First Out</w:t>
            </w:r>
          </w:p>
        </w:tc>
        <w:tc>
          <w:tcPr>
            <w:tcW w:w="820" w:type="dxa"/>
            <w:vAlign w:val="bottom"/>
          </w:tcPr>
          <w:p>
            <w:pPr>
              <w:ind w:left="180"/>
              <w:spacing w:after="0"/>
              <w:rPr>
                <w:sz w:val="20"/>
                <w:szCs w:val="20"/>
                <w:color w:val="auto"/>
              </w:rPr>
            </w:pPr>
            <w:r>
              <w:rPr>
                <w:rFonts w:ascii="Arial" w:cs="Arial" w:eastAsia="Arial" w:hAnsi="Arial"/>
                <w:sz w:val="12"/>
                <w:szCs w:val="12"/>
                <w:color w:val="auto"/>
              </w:rPr>
              <w:t>05/01/2023</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7.10%</w:t>
            </w:r>
          </w:p>
        </w:tc>
        <w:tc>
          <w:tcPr>
            <w:tcW w:w="320" w:type="dxa"/>
            <w:vAlign w:val="bottom"/>
          </w:tcPr>
          <w:p>
            <w:pPr>
              <w:spacing w:after="0"/>
              <w:rPr>
                <w:sz w:val="12"/>
                <w:szCs w:val="12"/>
                <w:color w:val="auto"/>
              </w:rPr>
            </w:pPr>
          </w:p>
        </w:tc>
      </w:tr>
      <w:tr>
        <w:trPr>
          <w:trHeight w:val="139"/>
        </w:trPr>
        <w:tc>
          <w:tcPr>
            <w:tcW w:w="3200" w:type="dxa"/>
            <w:vAlign w:val="bottom"/>
          </w:tcPr>
          <w:p>
            <w:pPr>
              <w:ind w:left="260"/>
              <w:spacing w:after="0"/>
              <w:rPr>
                <w:sz w:val="20"/>
                <w:szCs w:val="20"/>
                <w:color w:val="auto"/>
              </w:rPr>
            </w:pPr>
            <w:r>
              <w:rPr>
                <w:rFonts w:ascii="Arial" w:cs="Arial" w:eastAsia="Arial" w:hAnsi="Arial"/>
                <w:sz w:val="12"/>
                <w:szCs w:val="12"/>
                <w:color w:val="auto"/>
              </w:rPr>
              <w:t>Country Fresh Holdings, LLC - Funded Revolver</w:t>
            </w:r>
          </w:p>
        </w:tc>
        <w:tc>
          <w:tcPr>
            <w:tcW w:w="820" w:type="dxa"/>
            <w:vAlign w:val="bottom"/>
          </w:tcPr>
          <w:p>
            <w:pPr>
              <w:ind w:left="180"/>
              <w:spacing w:after="0"/>
              <w:rPr>
                <w:sz w:val="20"/>
                <w:szCs w:val="20"/>
                <w:color w:val="auto"/>
              </w:rPr>
            </w:pPr>
            <w:r>
              <w:rPr>
                <w:rFonts w:ascii="Arial" w:cs="Arial" w:eastAsia="Arial" w:hAnsi="Arial"/>
                <w:sz w:val="12"/>
                <w:szCs w:val="12"/>
                <w:color w:val="auto"/>
              </w:rPr>
              <w:t>05/01/2023</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7.10%</w:t>
            </w:r>
          </w:p>
        </w:tc>
        <w:tc>
          <w:tcPr>
            <w:tcW w:w="320" w:type="dxa"/>
            <w:vAlign w:val="bottom"/>
          </w:tcPr>
          <w:p>
            <w:pPr>
              <w:spacing w:after="0"/>
              <w:rPr>
                <w:sz w:val="12"/>
                <w:szCs w:val="12"/>
                <w:color w:val="auto"/>
              </w:rPr>
            </w:pPr>
          </w:p>
        </w:tc>
      </w:tr>
      <w:tr>
        <w:trPr>
          <w:trHeight w:val="158"/>
        </w:trPr>
        <w:tc>
          <w:tcPr>
            <w:tcW w:w="3200" w:type="dxa"/>
            <w:vAlign w:val="bottom"/>
          </w:tcPr>
          <w:p>
            <w:pPr>
              <w:ind w:left="260"/>
              <w:spacing w:after="0" w:line="158" w:lineRule="exact"/>
              <w:rPr>
                <w:sz w:val="20"/>
                <w:szCs w:val="20"/>
                <w:color w:val="auto"/>
              </w:rPr>
            </w:pPr>
            <w:r>
              <w:rPr>
                <w:rFonts w:ascii="Arial" w:cs="Arial" w:eastAsia="Arial" w:hAnsi="Arial"/>
                <w:sz w:val="11"/>
                <w:szCs w:val="11"/>
                <w:color w:val="auto"/>
              </w:rPr>
              <w:t xml:space="preserve">Country Fresh Holdings, LLC - Unfunded Revolver </w:t>
            </w:r>
            <w:r>
              <w:rPr>
                <w:rFonts w:ascii="Arial" w:cs="Arial" w:eastAsia="Arial" w:hAnsi="Arial"/>
                <w:sz w:val="18"/>
                <w:szCs w:val="18"/>
                <w:color w:val="auto"/>
                <w:vertAlign w:val="superscript"/>
              </w:rPr>
              <w:t>(5)</w:t>
            </w:r>
          </w:p>
        </w:tc>
        <w:tc>
          <w:tcPr>
            <w:tcW w:w="820" w:type="dxa"/>
            <w:vAlign w:val="bottom"/>
          </w:tcPr>
          <w:p>
            <w:pPr>
              <w:ind w:left="180"/>
              <w:spacing w:after="0"/>
              <w:rPr>
                <w:sz w:val="20"/>
                <w:szCs w:val="20"/>
                <w:color w:val="auto"/>
              </w:rPr>
            </w:pPr>
            <w:r>
              <w:rPr>
                <w:rFonts w:ascii="Arial" w:cs="Arial" w:eastAsia="Arial" w:hAnsi="Arial"/>
                <w:sz w:val="12"/>
                <w:szCs w:val="12"/>
                <w:color w:val="auto"/>
              </w:rPr>
              <w:t>05/01/2023</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Good Source Solutions, Inc.</w:t>
            </w:r>
          </w:p>
        </w:tc>
        <w:tc>
          <w:tcPr>
            <w:tcW w:w="820" w:type="dxa"/>
            <w:vAlign w:val="bottom"/>
          </w:tcPr>
          <w:p>
            <w:pPr>
              <w:ind w:left="180"/>
              <w:spacing w:after="0"/>
              <w:rPr>
                <w:sz w:val="20"/>
                <w:szCs w:val="20"/>
                <w:color w:val="auto"/>
              </w:rPr>
            </w:pPr>
            <w:r>
              <w:rPr>
                <w:rFonts w:ascii="Arial" w:cs="Arial" w:eastAsia="Arial" w:hAnsi="Arial"/>
                <w:sz w:val="12"/>
                <w:szCs w:val="12"/>
                <w:color w:val="auto"/>
              </w:rPr>
              <w:t>06/29/2023</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6.37%</w:t>
            </w: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Olde Thompson, LLC</w:t>
            </w:r>
          </w:p>
        </w:tc>
        <w:tc>
          <w:tcPr>
            <w:tcW w:w="820" w:type="dxa"/>
            <w:vAlign w:val="bottom"/>
          </w:tcPr>
          <w:p>
            <w:pPr>
              <w:ind w:left="180"/>
              <w:spacing w:after="0"/>
              <w:rPr>
                <w:sz w:val="20"/>
                <w:szCs w:val="20"/>
                <w:color w:val="auto"/>
              </w:rPr>
            </w:pPr>
            <w:r>
              <w:rPr>
                <w:rFonts w:ascii="Arial" w:cs="Arial" w:eastAsia="Arial" w:hAnsi="Arial"/>
                <w:sz w:val="12"/>
                <w:szCs w:val="12"/>
                <w:color w:val="auto"/>
              </w:rPr>
              <w:t>05/14/2024</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6.54%</w:t>
            </w:r>
          </w:p>
        </w:tc>
        <w:tc>
          <w:tcPr>
            <w:tcW w:w="320" w:type="dxa"/>
            <w:vAlign w:val="bottom"/>
          </w:tcPr>
          <w:p>
            <w:pPr>
              <w:spacing w:after="0"/>
              <w:rPr>
                <w:sz w:val="12"/>
                <w:szCs w:val="12"/>
                <w:color w:val="auto"/>
              </w:rPr>
            </w:pPr>
          </w:p>
        </w:tc>
      </w:tr>
      <w:tr>
        <w:trPr>
          <w:trHeight w:val="139"/>
        </w:trPr>
        <w:tc>
          <w:tcPr>
            <w:tcW w:w="3200" w:type="dxa"/>
            <w:vAlign w:val="bottom"/>
          </w:tcPr>
          <w:p>
            <w:pPr>
              <w:ind w:left="260"/>
              <w:spacing w:after="0"/>
              <w:rPr>
                <w:sz w:val="20"/>
                <w:szCs w:val="20"/>
                <w:color w:val="auto"/>
              </w:rPr>
            </w:pPr>
            <w:r>
              <w:rPr>
                <w:rFonts w:ascii="Arial" w:cs="Arial" w:eastAsia="Arial" w:hAnsi="Arial"/>
                <w:sz w:val="12"/>
                <w:szCs w:val="12"/>
                <w:color w:val="auto"/>
              </w:rPr>
              <w:t>Pestell Minerals and Ingredients Inc.</w:t>
            </w:r>
          </w:p>
        </w:tc>
        <w:tc>
          <w:tcPr>
            <w:tcW w:w="820" w:type="dxa"/>
            <w:vAlign w:val="bottom"/>
          </w:tcPr>
          <w:p>
            <w:pPr>
              <w:ind w:left="180"/>
              <w:spacing w:after="0"/>
              <w:rPr>
                <w:sz w:val="20"/>
                <w:szCs w:val="20"/>
                <w:color w:val="auto"/>
              </w:rPr>
            </w:pPr>
            <w:r>
              <w:rPr>
                <w:rFonts w:ascii="Arial" w:cs="Arial" w:eastAsia="Arial" w:hAnsi="Arial"/>
                <w:sz w:val="12"/>
                <w:szCs w:val="12"/>
                <w:color w:val="auto"/>
              </w:rPr>
              <w:t>06/01/2023</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7.57%</w:t>
            </w:r>
          </w:p>
        </w:tc>
        <w:tc>
          <w:tcPr>
            <w:tcW w:w="320" w:type="dxa"/>
            <w:vAlign w:val="bottom"/>
          </w:tcPr>
          <w:p>
            <w:pPr>
              <w:spacing w:after="0"/>
              <w:rPr>
                <w:sz w:val="12"/>
                <w:szCs w:val="12"/>
                <w:color w:val="auto"/>
              </w:rPr>
            </w:pPr>
          </w:p>
        </w:tc>
      </w:tr>
      <w:tr>
        <w:trPr>
          <w:trHeight w:val="158"/>
        </w:trPr>
        <w:tc>
          <w:tcPr>
            <w:tcW w:w="3200" w:type="dxa"/>
            <w:vAlign w:val="bottom"/>
          </w:tcPr>
          <w:p>
            <w:pPr>
              <w:ind w:left="260"/>
              <w:spacing w:after="0" w:line="158" w:lineRule="exact"/>
              <w:rPr>
                <w:sz w:val="20"/>
                <w:szCs w:val="20"/>
                <w:color w:val="auto"/>
              </w:rPr>
            </w:pPr>
            <w:r>
              <w:rPr>
                <w:rFonts w:ascii="Arial" w:cs="Arial" w:eastAsia="Arial" w:hAnsi="Arial"/>
                <w:sz w:val="11"/>
                <w:szCs w:val="11"/>
                <w:color w:val="auto"/>
              </w:rPr>
              <w:t xml:space="preserve">Pestell Minerals and Ingredients Inc. </w:t>
            </w:r>
            <w:r>
              <w:rPr>
                <w:rFonts w:ascii="Arial" w:cs="Arial" w:eastAsia="Arial" w:hAnsi="Arial"/>
                <w:sz w:val="18"/>
                <w:szCs w:val="18"/>
                <w:color w:val="auto"/>
                <w:vertAlign w:val="superscript"/>
              </w:rPr>
              <w:t>(3,4)</w:t>
            </w:r>
          </w:p>
        </w:tc>
        <w:tc>
          <w:tcPr>
            <w:tcW w:w="820" w:type="dxa"/>
            <w:vAlign w:val="bottom"/>
          </w:tcPr>
          <w:p>
            <w:pPr>
              <w:ind w:left="180"/>
              <w:spacing w:after="0"/>
              <w:rPr>
                <w:sz w:val="20"/>
                <w:szCs w:val="20"/>
                <w:color w:val="auto"/>
              </w:rPr>
            </w:pPr>
            <w:r>
              <w:rPr>
                <w:rFonts w:ascii="Arial" w:cs="Arial" w:eastAsia="Arial" w:hAnsi="Arial"/>
                <w:sz w:val="12"/>
                <w:szCs w:val="12"/>
                <w:color w:val="auto"/>
              </w:rPr>
              <w:t>06/01/2023</w:t>
            </w:r>
          </w:p>
        </w:tc>
        <w:tc>
          <w:tcPr>
            <w:tcW w:w="140" w:type="dxa"/>
            <w:vAlign w:val="bottom"/>
          </w:tcPr>
          <w:p>
            <w:pPr>
              <w:spacing w:after="0"/>
              <w:rPr>
                <w:sz w:val="13"/>
                <w:szCs w:val="13"/>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7.23%</w:t>
            </w:r>
          </w:p>
        </w:tc>
        <w:tc>
          <w:tcPr>
            <w:tcW w:w="320" w:type="dxa"/>
            <w:vAlign w:val="bottom"/>
          </w:tcPr>
          <w:p>
            <w:pPr>
              <w:ind w:left="180"/>
              <w:spacing w:after="0"/>
              <w:rPr>
                <w:sz w:val="20"/>
                <w:szCs w:val="20"/>
                <w:color w:val="auto"/>
              </w:rPr>
            </w:pPr>
            <w:r>
              <w:rPr>
                <w:rFonts w:ascii="Arial" w:cs="Arial" w:eastAsia="Arial" w:hAnsi="Arial"/>
                <w:sz w:val="12"/>
                <w:szCs w:val="12"/>
                <w:color w:val="auto"/>
                <w:w w:val="77"/>
              </w:rPr>
              <w:t>C$</w:t>
            </w: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Snak Club, LLC</w:t>
            </w:r>
          </w:p>
        </w:tc>
        <w:tc>
          <w:tcPr>
            <w:tcW w:w="820" w:type="dxa"/>
            <w:vAlign w:val="bottom"/>
          </w:tcPr>
          <w:p>
            <w:pPr>
              <w:ind w:left="180"/>
              <w:spacing w:after="0"/>
              <w:rPr>
                <w:sz w:val="20"/>
                <w:szCs w:val="20"/>
                <w:color w:val="auto"/>
              </w:rPr>
            </w:pPr>
            <w:r>
              <w:rPr>
                <w:rFonts w:ascii="Arial" w:cs="Arial" w:eastAsia="Arial" w:hAnsi="Arial"/>
                <w:sz w:val="12"/>
                <w:szCs w:val="12"/>
                <w:color w:val="auto"/>
              </w:rPr>
              <w:t>07/19/2021</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8.10%</w:t>
            </w:r>
          </w:p>
        </w:tc>
        <w:tc>
          <w:tcPr>
            <w:tcW w:w="320" w:type="dxa"/>
            <w:vAlign w:val="bottom"/>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Beverages</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Good2Grow LLC</w:t>
            </w:r>
          </w:p>
        </w:tc>
        <w:tc>
          <w:tcPr>
            <w:tcW w:w="820" w:type="dxa"/>
            <w:vAlign w:val="bottom"/>
          </w:tcPr>
          <w:p>
            <w:pPr>
              <w:ind w:left="180"/>
              <w:spacing w:after="0"/>
              <w:rPr>
                <w:sz w:val="20"/>
                <w:szCs w:val="20"/>
                <w:color w:val="auto"/>
              </w:rPr>
            </w:pPr>
            <w:r>
              <w:rPr>
                <w:rFonts w:ascii="Arial" w:cs="Arial" w:eastAsia="Arial" w:hAnsi="Arial"/>
                <w:sz w:val="12"/>
                <w:szCs w:val="12"/>
                <w:color w:val="auto"/>
              </w:rPr>
              <w:t>11/18/2024</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6.35%</w:t>
            </w:r>
          </w:p>
        </w:tc>
        <w:tc>
          <w:tcPr>
            <w:tcW w:w="320" w:type="dxa"/>
            <w:vAlign w:val="bottom"/>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Business Services</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9"/>
        </w:trPr>
        <w:tc>
          <w:tcPr>
            <w:tcW w:w="3200" w:type="dxa"/>
            <w:vAlign w:val="bottom"/>
          </w:tcPr>
          <w:p>
            <w:pPr>
              <w:ind w:left="260"/>
              <w:spacing w:after="0"/>
              <w:rPr>
                <w:sz w:val="20"/>
                <w:szCs w:val="20"/>
                <w:color w:val="auto"/>
              </w:rPr>
            </w:pPr>
            <w:r>
              <w:rPr>
                <w:rFonts w:ascii="Arial" w:cs="Arial" w:eastAsia="Arial" w:hAnsi="Arial"/>
                <w:sz w:val="12"/>
                <w:szCs w:val="12"/>
                <w:color w:val="auto"/>
              </w:rPr>
              <w:t>Challenger Performance Optimization, Inc.</w:t>
            </w:r>
          </w:p>
        </w:tc>
        <w:tc>
          <w:tcPr>
            <w:tcW w:w="820" w:type="dxa"/>
            <w:vAlign w:val="bottom"/>
          </w:tcPr>
          <w:p>
            <w:pPr>
              <w:ind w:left="180"/>
              <w:spacing w:after="0"/>
              <w:rPr>
                <w:sz w:val="20"/>
                <w:szCs w:val="20"/>
                <w:color w:val="auto"/>
              </w:rPr>
            </w:pPr>
            <w:r>
              <w:rPr>
                <w:rFonts w:ascii="Arial" w:cs="Arial" w:eastAsia="Arial" w:hAnsi="Arial"/>
                <w:sz w:val="12"/>
                <w:szCs w:val="12"/>
                <w:color w:val="auto"/>
              </w:rPr>
              <w:t>08/31/2023</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7.87%</w:t>
            </w: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Output Services Group, Inc.</w:t>
            </w:r>
          </w:p>
        </w:tc>
        <w:tc>
          <w:tcPr>
            <w:tcW w:w="820" w:type="dxa"/>
            <w:vAlign w:val="bottom"/>
          </w:tcPr>
          <w:p>
            <w:pPr>
              <w:ind w:left="180"/>
              <w:spacing w:after="0"/>
              <w:rPr>
                <w:sz w:val="20"/>
                <w:szCs w:val="20"/>
                <w:color w:val="auto"/>
              </w:rPr>
            </w:pPr>
            <w:r>
              <w:rPr>
                <w:rFonts w:ascii="Arial" w:cs="Arial" w:eastAsia="Arial" w:hAnsi="Arial"/>
                <w:sz w:val="12"/>
                <w:szCs w:val="12"/>
                <w:color w:val="auto"/>
              </w:rPr>
              <w:t>03/27/2024</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6.54%</w:t>
            </w: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TVC Enterprises, LLC</w:t>
            </w:r>
          </w:p>
        </w:tc>
        <w:tc>
          <w:tcPr>
            <w:tcW w:w="820" w:type="dxa"/>
            <w:vAlign w:val="bottom"/>
          </w:tcPr>
          <w:p>
            <w:pPr>
              <w:ind w:left="180"/>
              <w:spacing w:after="0"/>
              <w:rPr>
                <w:sz w:val="20"/>
                <w:szCs w:val="20"/>
                <w:color w:val="auto"/>
              </w:rPr>
            </w:pPr>
            <w:r>
              <w:rPr>
                <w:rFonts w:ascii="Arial" w:cs="Arial" w:eastAsia="Arial" w:hAnsi="Arial"/>
                <w:sz w:val="12"/>
                <w:szCs w:val="12"/>
                <w:color w:val="auto"/>
              </w:rPr>
              <w:t>01/18/2024</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7.55%</w:t>
            </w:r>
          </w:p>
        </w:tc>
        <w:tc>
          <w:tcPr>
            <w:tcW w:w="320" w:type="dxa"/>
            <w:vAlign w:val="bottom"/>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Capital Equipment</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LAV Gear Holdings, Inc.</w:t>
            </w:r>
          </w:p>
        </w:tc>
        <w:tc>
          <w:tcPr>
            <w:tcW w:w="820" w:type="dxa"/>
            <w:vAlign w:val="bottom"/>
          </w:tcPr>
          <w:p>
            <w:pPr>
              <w:ind w:left="180"/>
              <w:spacing w:after="0"/>
              <w:rPr>
                <w:sz w:val="20"/>
                <w:szCs w:val="20"/>
                <w:color w:val="auto"/>
              </w:rPr>
            </w:pPr>
            <w:r>
              <w:rPr>
                <w:rFonts w:ascii="Arial" w:cs="Arial" w:eastAsia="Arial" w:hAnsi="Arial"/>
                <w:sz w:val="12"/>
                <w:szCs w:val="12"/>
                <w:color w:val="auto"/>
              </w:rPr>
              <w:t>10/31/2024</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7.60%</w:t>
            </w:r>
          </w:p>
        </w:tc>
        <w:tc>
          <w:tcPr>
            <w:tcW w:w="320" w:type="dxa"/>
            <w:vAlign w:val="bottom"/>
          </w:tcPr>
          <w:p>
            <w:pPr>
              <w:spacing w:after="0"/>
              <w:rPr>
                <w:sz w:val="12"/>
                <w:szCs w:val="12"/>
                <w:color w:val="auto"/>
              </w:rPr>
            </w:pPr>
          </w:p>
        </w:tc>
      </w:tr>
      <w:tr>
        <w:trPr>
          <w:trHeight w:val="149"/>
        </w:trPr>
        <w:tc>
          <w:tcPr>
            <w:tcW w:w="3200" w:type="dxa"/>
            <w:vAlign w:val="bottom"/>
          </w:tcPr>
          <w:p>
            <w:pPr>
              <w:ind w:left="260"/>
              <w:spacing w:after="0"/>
              <w:rPr>
                <w:sz w:val="20"/>
                <w:szCs w:val="20"/>
                <w:color w:val="auto"/>
              </w:rPr>
            </w:pPr>
            <w:r>
              <w:rPr>
                <w:rFonts w:ascii="Arial" w:cs="Arial" w:eastAsia="Arial" w:hAnsi="Arial"/>
                <w:sz w:val="12"/>
                <w:szCs w:val="12"/>
                <w:color w:val="auto"/>
              </w:rPr>
              <w:t>Mission Critical Electronics, Inc.</w:t>
            </w:r>
          </w:p>
        </w:tc>
        <w:tc>
          <w:tcPr>
            <w:tcW w:w="820" w:type="dxa"/>
            <w:vAlign w:val="bottom"/>
          </w:tcPr>
          <w:p>
            <w:pPr>
              <w:ind w:left="180"/>
              <w:spacing w:after="0"/>
              <w:rPr>
                <w:sz w:val="20"/>
                <w:szCs w:val="20"/>
                <w:color w:val="auto"/>
              </w:rPr>
            </w:pPr>
            <w:r>
              <w:rPr>
                <w:rFonts w:ascii="Arial" w:cs="Arial" w:eastAsia="Arial" w:hAnsi="Arial"/>
                <w:sz w:val="12"/>
                <w:szCs w:val="12"/>
                <w:color w:val="auto"/>
              </w:rPr>
              <w:t>09/28/2022</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7.10%</w:t>
            </w: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Sonny's Enterprises, LLC</w:t>
            </w:r>
          </w:p>
        </w:tc>
        <w:tc>
          <w:tcPr>
            <w:tcW w:w="820" w:type="dxa"/>
            <w:vAlign w:val="bottom"/>
          </w:tcPr>
          <w:p>
            <w:pPr>
              <w:ind w:left="180"/>
              <w:spacing w:after="0"/>
              <w:rPr>
                <w:sz w:val="20"/>
                <w:szCs w:val="20"/>
                <w:color w:val="auto"/>
              </w:rPr>
            </w:pPr>
            <w:r>
              <w:rPr>
                <w:rFonts w:ascii="Arial" w:cs="Arial" w:eastAsia="Arial" w:hAnsi="Arial"/>
                <w:sz w:val="12"/>
                <w:szCs w:val="12"/>
                <w:color w:val="auto"/>
              </w:rPr>
              <w:t>12/01/2022</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6.35%</w:t>
            </w: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UBEO, LLC</w:t>
            </w:r>
          </w:p>
        </w:tc>
        <w:tc>
          <w:tcPr>
            <w:tcW w:w="820" w:type="dxa"/>
            <w:vAlign w:val="bottom"/>
          </w:tcPr>
          <w:p>
            <w:pPr>
              <w:ind w:left="180"/>
              <w:spacing w:after="0"/>
              <w:rPr>
                <w:sz w:val="20"/>
                <w:szCs w:val="20"/>
                <w:color w:val="auto"/>
              </w:rPr>
            </w:pPr>
            <w:r>
              <w:rPr>
                <w:rFonts w:ascii="Arial" w:cs="Arial" w:eastAsia="Arial" w:hAnsi="Arial"/>
                <w:sz w:val="12"/>
                <w:szCs w:val="12"/>
                <w:color w:val="auto"/>
              </w:rPr>
              <w:t>04/03/2024</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6.78%</w:t>
            </w:r>
          </w:p>
        </w:tc>
        <w:tc>
          <w:tcPr>
            <w:tcW w:w="320" w:type="dxa"/>
            <w:vAlign w:val="bottom"/>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Chemicals, Plastics and Rubber</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9"/>
        </w:trPr>
        <w:tc>
          <w:tcPr>
            <w:tcW w:w="3200" w:type="dxa"/>
            <w:vAlign w:val="bottom"/>
          </w:tcPr>
          <w:p>
            <w:pPr>
              <w:ind w:left="260"/>
              <w:spacing w:after="0"/>
              <w:rPr>
                <w:sz w:val="20"/>
                <w:szCs w:val="20"/>
                <w:color w:val="auto"/>
              </w:rPr>
            </w:pPr>
            <w:r>
              <w:rPr>
                <w:rFonts w:ascii="Arial" w:cs="Arial" w:eastAsia="Arial" w:hAnsi="Arial"/>
                <w:sz w:val="12"/>
                <w:szCs w:val="12"/>
                <w:color w:val="auto"/>
              </w:rPr>
              <w:t>Douglas Products and Packaging Company LLC</w:t>
            </w:r>
          </w:p>
        </w:tc>
        <w:tc>
          <w:tcPr>
            <w:tcW w:w="820" w:type="dxa"/>
            <w:vAlign w:val="bottom"/>
          </w:tcPr>
          <w:p>
            <w:pPr>
              <w:ind w:left="180"/>
              <w:spacing w:after="0"/>
              <w:rPr>
                <w:sz w:val="20"/>
                <w:szCs w:val="20"/>
                <w:color w:val="auto"/>
              </w:rPr>
            </w:pPr>
            <w:r>
              <w:rPr>
                <w:rFonts w:ascii="Arial" w:cs="Arial" w:eastAsia="Arial" w:hAnsi="Arial"/>
                <w:sz w:val="12"/>
                <w:szCs w:val="12"/>
                <w:color w:val="auto"/>
              </w:rPr>
              <w:t>10/19/2022</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7.85%</w:t>
            </w: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Douglas Sewer Intermediate, LLC</w:t>
            </w:r>
          </w:p>
        </w:tc>
        <w:tc>
          <w:tcPr>
            <w:tcW w:w="820" w:type="dxa"/>
            <w:vAlign w:val="bottom"/>
          </w:tcPr>
          <w:p>
            <w:pPr>
              <w:ind w:left="180"/>
              <w:spacing w:after="0"/>
              <w:rPr>
                <w:sz w:val="20"/>
                <w:szCs w:val="20"/>
                <w:color w:val="auto"/>
              </w:rPr>
            </w:pPr>
            <w:r>
              <w:rPr>
                <w:rFonts w:ascii="Arial" w:cs="Arial" w:eastAsia="Arial" w:hAnsi="Arial"/>
                <w:sz w:val="12"/>
                <w:szCs w:val="12"/>
                <w:color w:val="auto"/>
              </w:rPr>
              <w:t>10/19/2022</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7.85%</w:t>
            </w: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K2 Pure Solutions NoCal, L.P.</w:t>
            </w:r>
          </w:p>
        </w:tc>
        <w:tc>
          <w:tcPr>
            <w:tcW w:w="820" w:type="dxa"/>
            <w:vAlign w:val="bottom"/>
          </w:tcPr>
          <w:p>
            <w:pPr>
              <w:ind w:left="180"/>
              <w:spacing w:after="0"/>
              <w:rPr>
                <w:sz w:val="20"/>
                <w:szCs w:val="20"/>
                <w:color w:val="auto"/>
              </w:rPr>
            </w:pPr>
            <w:r>
              <w:rPr>
                <w:rFonts w:ascii="Arial" w:cs="Arial" w:eastAsia="Arial" w:hAnsi="Arial"/>
                <w:sz w:val="12"/>
                <w:szCs w:val="12"/>
                <w:color w:val="auto"/>
              </w:rPr>
              <w:t>12/20/2023</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7.30%</w:t>
            </w:r>
          </w:p>
        </w:tc>
        <w:tc>
          <w:tcPr>
            <w:tcW w:w="320" w:type="dxa"/>
            <w:vAlign w:val="bottom"/>
          </w:tcPr>
          <w:p>
            <w:pPr>
              <w:spacing w:after="0"/>
              <w:rPr>
                <w:sz w:val="12"/>
                <w:szCs w:val="12"/>
                <w:color w:val="auto"/>
              </w:rPr>
            </w:pPr>
          </w:p>
        </w:tc>
      </w:tr>
      <w:tr>
        <w:trPr>
          <w:trHeight w:val="149"/>
        </w:trPr>
        <w:tc>
          <w:tcPr>
            <w:tcW w:w="3200" w:type="dxa"/>
            <w:vAlign w:val="bottom"/>
          </w:tcPr>
          <w:p>
            <w:pPr>
              <w:ind w:left="260"/>
              <w:spacing w:after="0"/>
              <w:rPr>
                <w:sz w:val="20"/>
                <w:szCs w:val="20"/>
                <w:color w:val="auto"/>
              </w:rPr>
            </w:pPr>
            <w:r>
              <w:rPr>
                <w:rFonts w:ascii="Arial" w:cs="Arial" w:eastAsia="Arial" w:hAnsi="Arial"/>
                <w:sz w:val="12"/>
                <w:szCs w:val="12"/>
                <w:color w:val="auto"/>
              </w:rPr>
              <w:t>Plant Health Intermediate, Inc.</w:t>
            </w:r>
          </w:p>
        </w:tc>
        <w:tc>
          <w:tcPr>
            <w:tcW w:w="820" w:type="dxa"/>
            <w:vAlign w:val="bottom"/>
          </w:tcPr>
          <w:p>
            <w:pPr>
              <w:ind w:left="180"/>
              <w:spacing w:after="0"/>
              <w:rPr>
                <w:sz w:val="20"/>
                <w:szCs w:val="20"/>
                <w:color w:val="auto"/>
              </w:rPr>
            </w:pPr>
            <w:r>
              <w:rPr>
                <w:rFonts w:ascii="Arial" w:cs="Arial" w:eastAsia="Arial" w:hAnsi="Arial"/>
                <w:sz w:val="12"/>
                <w:szCs w:val="12"/>
                <w:color w:val="auto"/>
              </w:rPr>
              <w:t>10/19/2022</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8.00%</w:t>
            </w:r>
          </w:p>
        </w:tc>
        <w:tc>
          <w:tcPr>
            <w:tcW w:w="320" w:type="dxa"/>
            <w:vAlign w:val="bottom"/>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Consumer Goods: Durable</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GSM Holdings, Inc.</w:t>
            </w:r>
          </w:p>
        </w:tc>
        <w:tc>
          <w:tcPr>
            <w:tcW w:w="820" w:type="dxa"/>
            <w:vAlign w:val="bottom"/>
          </w:tcPr>
          <w:p>
            <w:pPr>
              <w:ind w:left="180"/>
              <w:spacing w:after="0"/>
              <w:rPr>
                <w:sz w:val="20"/>
                <w:szCs w:val="20"/>
                <w:color w:val="auto"/>
              </w:rPr>
            </w:pPr>
            <w:r>
              <w:rPr>
                <w:rFonts w:ascii="Arial" w:cs="Arial" w:eastAsia="Arial" w:hAnsi="Arial"/>
                <w:sz w:val="12"/>
                <w:szCs w:val="12"/>
                <w:color w:val="auto"/>
              </w:rPr>
              <w:t>06/03/2024</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6.60%</w:t>
            </w:r>
          </w:p>
        </w:tc>
        <w:tc>
          <w:tcPr>
            <w:tcW w:w="320" w:type="dxa"/>
            <w:vAlign w:val="bottom"/>
          </w:tcPr>
          <w:p>
            <w:pPr>
              <w:spacing w:after="0"/>
              <w:rPr>
                <w:sz w:val="12"/>
                <w:szCs w:val="12"/>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2"/>
                <w:szCs w:val="12"/>
                <w:color w:val="auto"/>
              </w:rPr>
              <w:t>Consumer Goods: Non-Durable</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Deva Holdings, Inc.</w:t>
            </w:r>
          </w:p>
        </w:tc>
        <w:tc>
          <w:tcPr>
            <w:tcW w:w="820" w:type="dxa"/>
            <w:vAlign w:val="bottom"/>
          </w:tcPr>
          <w:p>
            <w:pPr>
              <w:ind w:left="180"/>
              <w:spacing w:after="0"/>
              <w:rPr>
                <w:sz w:val="20"/>
                <w:szCs w:val="20"/>
                <w:color w:val="auto"/>
              </w:rPr>
            </w:pPr>
            <w:r>
              <w:rPr>
                <w:rFonts w:ascii="Arial" w:cs="Arial" w:eastAsia="Arial" w:hAnsi="Arial"/>
                <w:sz w:val="12"/>
                <w:szCs w:val="12"/>
                <w:color w:val="auto"/>
              </w:rPr>
              <w:t>10/31/2023</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7.54%</w:t>
            </w:r>
          </w:p>
        </w:tc>
        <w:tc>
          <w:tcPr>
            <w:tcW w:w="320" w:type="dxa"/>
            <w:vAlign w:val="bottom"/>
          </w:tcPr>
          <w:p>
            <w:pPr>
              <w:spacing w:after="0"/>
              <w:rPr>
                <w:sz w:val="12"/>
                <w:szCs w:val="12"/>
                <w:color w:val="auto"/>
              </w:rPr>
            </w:pPr>
          </w:p>
        </w:tc>
      </w:tr>
      <w:tr>
        <w:trPr>
          <w:trHeight w:val="149"/>
        </w:trPr>
        <w:tc>
          <w:tcPr>
            <w:tcW w:w="3200" w:type="dxa"/>
            <w:vAlign w:val="bottom"/>
          </w:tcPr>
          <w:p>
            <w:pPr>
              <w:ind w:left="260"/>
              <w:spacing w:after="0"/>
              <w:rPr>
                <w:sz w:val="20"/>
                <w:szCs w:val="20"/>
                <w:color w:val="auto"/>
              </w:rPr>
            </w:pPr>
            <w:r>
              <w:rPr>
                <w:rFonts w:ascii="Arial" w:cs="Arial" w:eastAsia="Arial" w:hAnsi="Arial"/>
                <w:sz w:val="12"/>
                <w:szCs w:val="12"/>
                <w:color w:val="auto"/>
              </w:rPr>
              <w:t>Manna Pro Products, LLC</w:t>
            </w:r>
          </w:p>
        </w:tc>
        <w:tc>
          <w:tcPr>
            <w:tcW w:w="820" w:type="dxa"/>
            <w:vAlign w:val="bottom"/>
          </w:tcPr>
          <w:p>
            <w:pPr>
              <w:ind w:left="180"/>
              <w:spacing w:after="0"/>
              <w:rPr>
                <w:sz w:val="20"/>
                <w:szCs w:val="20"/>
                <w:color w:val="auto"/>
              </w:rPr>
            </w:pPr>
            <w:r>
              <w:rPr>
                <w:rFonts w:ascii="Arial" w:cs="Arial" w:eastAsia="Arial" w:hAnsi="Arial"/>
                <w:sz w:val="12"/>
                <w:szCs w:val="12"/>
                <w:color w:val="auto"/>
              </w:rPr>
              <w:t>12/08/2023</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8.05%</w:t>
            </w: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New Milani Group LLC</w:t>
            </w:r>
          </w:p>
        </w:tc>
        <w:tc>
          <w:tcPr>
            <w:tcW w:w="820" w:type="dxa"/>
            <w:vAlign w:val="bottom"/>
          </w:tcPr>
          <w:p>
            <w:pPr>
              <w:ind w:left="180"/>
              <w:spacing w:after="0"/>
              <w:rPr>
                <w:sz w:val="20"/>
                <w:szCs w:val="20"/>
                <w:color w:val="auto"/>
              </w:rPr>
            </w:pPr>
            <w:r>
              <w:rPr>
                <w:rFonts w:ascii="Arial" w:cs="Arial" w:eastAsia="Arial" w:hAnsi="Arial"/>
                <w:sz w:val="12"/>
                <w:szCs w:val="12"/>
                <w:color w:val="auto"/>
              </w:rPr>
              <w:t>06/06/2024</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6.35%</w:t>
            </w:r>
          </w:p>
        </w:tc>
        <w:tc>
          <w:tcPr>
            <w:tcW w:w="320" w:type="dxa"/>
            <w:vAlign w:val="bottom"/>
          </w:tcPr>
          <w:p>
            <w:pPr>
              <w:spacing w:after="0"/>
              <w:rPr>
                <w:sz w:val="12"/>
                <w:szCs w:val="12"/>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Diversified Consumer Services</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9"/>
        </w:trPr>
        <w:tc>
          <w:tcPr>
            <w:tcW w:w="3200" w:type="dxa"/>
            <w:vAlign w:val="bottom"/>
          </w:tcPr>
          <w:p>
            <w:pPr>
              <w:ind w:left="260"/>
              <w:spacing w:after="0"/>
              <w:rPr>
                <w:sz w:val="20"/>
                <w:szCs w:val="20"/>
                <w:color w:val="auto"/>
              </w:rPr>
            </w:pPr>
            <w:r>
              <w:rPr>
                <w:rFonts w:ascii="Arial" w:cs="Arial" w:eastAsia="Arial" w:hAnsi="Arial"/>
                <w:sz w:val="12"/>
                <w:szCs w:val="12"/>
                <w:color w:val="auto"/>
              </w:rPr>
              <w:t>Integrative Nutrition, LLC</w:t>
            </w:r>
          </w:p>
        </w:tc>
        <w:tc>
          <w:tcPr>
            <w:tcW w:w="820" w:type="dxa"/>
            <w:vAlign w:val="bottom"/>
          </w:tcPr>
          <w:p>
            <w:pPr>
              <w:ind w:left="180"/>
              <w:spacing w:after="0"/>
              <w:rPr>
                <w:sz w:val="20"/>
                <w:szCs w:val="20"/>
                <w:color w:val="auto"/>
              </w:rPr>
            </w:pPr>
            <w:r>
              <w:rPr>
                <w:rFonts w:ascii="Arial" w:cs="Arial" w:eastAsia="Arial" w:hAnsi="Arial"/>
                <w:sz w:val="12"/>
                <w:szCs w:val="12"/>
                <w:color w:val="auto"/>
              </w:rPr>
              <w:t>09/29/2023</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6.85%</w:t>
            </w: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TWS Acquisition Corporation</w:t>
            </w:r>
          </w:p>
        </w:tc>
        <w:tc>
          <w:tcPr>
            <w:tcW w:w="820" w:type="dxa"/>
            <w:vAlign w:val="bottom"/>
          </w:tcPr>
          <w:p>
            <w:pPr>
              <w:ind w:left="180"/>
              <w:spacing w:after="0"/>
              <w:rPr>
                <w:sz w:val="20"/>
                <w:szCs w:val="20"/>
                <w:color w:val="auto"/>
              </w:rPr>
            </w:pPr>
            <w:r>
              <w:rPr>
                <w:rFonts w:ascii="Arial" w:cs="Arial" w:eastAsia="Arial" w:hAnsi="Arial"/>
                <w:sz w:val="12"/>
                <w:szCs w:val="12"/>
                <w:color w:val="auto"/>
              </w:rPr>
              <w:t>06/16/2025</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8.28%</w:t>
            </w: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Teneo Holdings LLC</w:t>
            </w:r>
          </w:p>
        </w:tc>
        <w:tc>
          <w:tcPr>
            <w:tcW w:w="820" w:type="dxa"/>
            <w:vAlign w:val="bottom"/>
          </w:tcPr>
          <w:p>
            <w:pPr>
              <w:ind w:left="180"/>
              <w:spacing w:after="0"/>
              <w:rPr>
                <w:sz w:val="20"/>
                <w:szCs w:val="20"/>
                <w:color w:val="auto"/>
              </w:rPr>
            </w:pPr>
            <w:r>
              <w:rPr>
                <w:rFonts w:ascii="Arial" w:cs="Arial" w:eastAsia="Arial" w:hAnsi="Arial"/>
                <w:sz w:val="12"/>
                <w:szCs w:val="12"/>
                <w:color w:val="auto"/>
              </w:rPr>
              <w:t>07/18/2025</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7.29%</w:t>
            </w:r>
          </w:p>
        </w:tc>
        <w:tc>
          <w:tcPr>
            <w:tcW w:w="320" w:type="dxa"/>
            <w:vAlign w:val="bottom"/>
          </w:tcPr>
          <w:p>
            <w:pPr>
              <w:spacing w:after="0"/>
              <w:rPr>
                <w:sz w:val="12"/>
                <w:szCs w:val="12"/>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2"/>
                <w:szCs w:val="12"/>
                <w:color w:val="auto"/>
              </w:rPr>
              <w:t>Healthcare and Pharmaceuticals</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Long's Drugs Incorporated</w:t>
            </w:r>
          </w:p>
        </w:tc>
        <w:tc>
          <w:tcPr>
            <w:tcW w:w="820" w:type="dxa"/>
            <w:vAlign w:val="bottom"/>
          </w:tcPr>
          <w:p>
            <w:pPr>
              <w:ind w:left="180"/>
              <w:spacing w:after="0"/>
              <w:rPr>
                <w:sz w:val="20"/>
                <w:szCs w:val="20"/>
                <w:color w:val="auto"/>
              </w:rPr>
            </w:pPr>
            <w:r>
              <w:rPr>
                <w:rFonts w:ascii="Arial" w:cs="Arial" w:eastAsia="Arial" w:hAnsi="Arial"/>
                <w:sz w:val="12"/>
                <w:szCs w:val="12"/>
                <w:color w:val="auto"/>
              </w:rPr>
              <w:t>08/19/2022</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7.10%</w:t>
            </w:r>
          </w:p>
        </w:tc>
        <w:tc>
          <w:tcPr>
            <w:tcW w:w="320" w:type="dxa"/>
            <w:vAlign w:val="bottom"/>
          </w:tcPr>
          <w:p>
            <w:pPr>
              <w:spacing w:after="0"/>
              <w:rPr>
                <w:sz w:val="12"/>
                <w:szCs w:val="12"/>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Smile Brands Inc.</w:t>
            </w:r>
          </w:p>
        </w:tc>
        <w:tc>
          <w:tcPr>
            <w:tcW w:w="820" w:type="dxa"/>
            <w:vAlign w:val="bottom"/>
          </w:tcPr>
          <w:p>
            <w:pPr>
              <w:ind w:left="180"/>
              <w:spacing w:after="0"/>
              <w:rPr>
                <w:sz w:val="20"/>
                <w:szCs w:val="20"/>
                <w:color w:val="auto"/>
              </w:rPr>
            </w:pPr>
            <w:r>
              <w:rPr>
                <w:rFonts w:ascii="Arial" w:cs="Arial" w:eastAsia="Arial" w:hAnsi="Arial"/>
                <w:sz w:val="12"/>
                <w:szCs w:val="12"/>
                <w:color w:val="auto"/>
              </w:rPr>
              <w:t>10/14/2024</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6.66%</w:t>
            </w:r>
          </w:p>
        </w:tc>
        <w:tc>
          <w:tcPr>
            <w:tcW w:w="320" w:type="dxa"/>
            <w:vAlign w:val="bottom"/>
          </w:tcPr>
          <w:p>
            <w:pPr>
              <w:spacing w:after="0"/>
              <w:rPr>
                <w:sz w:val="12"/>
                <w:szCs w:val="12"/>
                <w:color w:val="auto"/>
              </w:rPr>
            </w:pPr>
          </w:p>
        </w:tc>
      </w:tr>
      <w:tr>
        <w:trPr>
          <w:trHeight w:val="149"/>
        </w:trPr>
        <w:tc>
          <w:tcPr>
            <w:tcW w:w="3200" w:type="dxa"/>
            <w:vAlign w:val="bottom"/>
          </w:tcPr>
          <w:p>
            <w:pPr>
              <w:ind w:left="260"/>
              <w:spacing w:after="0"/>
              <w:rPr>
                <w:sz w:val="20"/>
                <w:szCs w:val="20"/>
                <w:color w:val="auto"/>
              </w:rPr>
            </w:pPr>
            <w:r>
              <w:rPr>
                <w:rFonts w:ascii="Arial" w:cs="Arial" w:eastAsia="Arial" w:hAnsi="Arial"/>
                <w:sz w:val="12"/>
                <w:szCs w:val="12"/>
                <w:color w:val="auto"/>
              </w:rPr>
              <w:t>Urology Management Associates, LLC</w:t>
            </w:r>
          </w:p>
        </w:tc>
        <w:tc>
          <w:tcPr>
            <w:tcW w:w="820" w:type="dxa"/>
            <w:vAlign w:val="bottom"/>
          </w:tcPr>
          <w:p>
            <w:pPr>
              <w:ind w:left="180"/>
              <w:spacing w:after="0"/>
              <w:rPr>
                <w:sz w:val="20"/>
                <w:szCs w:val="20"/>
                <w:color w:val="auto"/>
              </w:rPr>
            </w:pPr>
            <w:r>
              <w:rPr>
                <w:rFonts w:ascii="Arial" w:cs="Arial" w:eastAsia="Arial" w:hAnsi="Arial"/>
                <w:sz w:val="12"/>
                <w:szCs w:val="12"/>
                <w:color w:val="auto"/>
              </w:rPr>
              <w:t>08/30/2024</w:t>
            </w:r>
          </w:p>
        </w:tc>
        <w:tc>
          <w:tcPr>
            <w:tcW w:w="140" w:type="dxa"/>
            <w:vAlign w:val="bottom"/>
          </w:tcPr>
          <w:p>
            <w:pPr>
              <w:spacing w:after="0"/>
              <w:rPr>
                <w:sz w:val="12"/>
                <w:szCs w:val="12"/>
                <w:color w:val="auto"/>
              </w:rPr>
            </w:pPr>
          </w:p>
        </w:tc>
        <w:tc>
          <w:tcPr>
            <w:tcW w:w="1200" w:type="dxa"/>
            <w:vAlign w:val="bottom"/>
          </w:tcPr>
          <w:p>
            <w:pPr>
              <w:jc w:val="right"/>
              <w:ind w:right="82"/>
              <w:spacing w:after="0"/>
              <w:rPr>
                <w:sz w:val="20"/>
                <w:szCs w:val="20"/>
                <w:color w:val="auto"/>
              </w:rPr>
            </w:pPr>
            <w:r>
              <w:rPr>
                <w:rFonts w:ascii="Arial" w:cs="Arial" w:eastAsia="Arial" w:hAnsi="Arial"/>
                <w:sz w:val="12"/>
                <w:szCs w:val="12"/>
                <w:color w:val="auto"/>
              </w:rPr>
              <w:t>7.04%</w:t>
            </w:r>
          </w:p>
        </w:tc>
        <w:tc>
          <w:tcPr>
            <w:tcW w:w="3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-4530090</wp:posOffset>
            </wp:positionV>
            <wp:extent cx="7132320" cy="939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-4341495</wp:posOffset>
            </wp:positionV>
            <wp:extent cx="7132320" cy="939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-4152900</wp:posOffset>
            </wp:positionV>
            <wp:extent cx="7132320" cy="939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-3964305</wp:posOffset>
            </wp:positionV>
            <wp:extent cx="7132320" cy="939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-3775710</wp:posOffset>
            </wp:positionV>
            <wp:extent cx="7132320" cy="946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-3587115</wp:posOffset>
            </wp:positionV>
            <wp:extent cx="7132320" cy="939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-3398520</wp:posOffset>
            </wp:positionV>
            <wp:extent cx="7132320" cy="939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-3209925</wp:posOffset>
            </wp:positionV>
            <wp:extent cx="7132320" cy="946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-3021330</wp:posOffset>
            </wp:positionV>
            <wp:extent cx="7132320" cy="939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-2832735</wp:posOffset>
            </wp:positionV>
            <wp:extent cx="7132320" cy="939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-2644140</wp:posOffset>
            </wp:positionV>
            <wp:extent cx="7132320" cy="939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-2455545</wp:posOffset>
            </wp:positionV>
            <wp:extent cx="7132320" cy="939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-2266950</wp:posOffset>
            </wp:positionV>
            <wp:extent cx="7132320" cy="946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-2078355</wp:posOffset>
            </wp:positionV>
            <wp:extent cx="7132320" cy="939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-1889760</wp:posOffset>
            </wp:positionV>
            <wp:extent cx="7132320" cy="939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-1701165</wp:posOffset>
            </wp:positionV>
            <wp:extent cx="7132320" cy="939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-1512570</wp:posOffset>
            </wp:positionV>
            <wp:extent cx="7132320" cy="939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-1323975</wp:posOffset>
            </wp:positionV>
            <wp:extent cx="7132320" cy="946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-1135380</wp:posOffset>
            </wp:positionV>
            <wp:extent cx="7132320" cy="946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-946785</wp:posOffset>
            </wp:positionV>
            <wp:extent cx="7132320" cy="939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-758190</wp:posOffset>
            </wp:positionV>
            <wp:extent cx="7132320" cy="939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-569595</wp:posOffset>
            </wp:positionV>
            <wp:extent cx="7132320" cy="946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-381000</wp:posOffset>
            </wp:positionV>
            <wp:extent cx="7132320" cy="946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939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left="202"/>
              <w:spacing w:after="0"/>
              <w:rPr>
                <w:sz w:val="20"/>
                <w:szCs w:val="20"/>
                <w:color w:val="auto"/>
              </w:rPr>
            </w:pPr>
            <w:r>
              <w:rPr>
                <w:rFonts w:ascii="Arial" w:cs="Arial" w:eastAsia="Arial" w:hAnsi="Arial"/>
                <w:sz w:val="12"/>
                <w:szCs w:val="12"/>
                <w:b w:val="1"/>
                <w:bCs w:val="1"/>
                <w:color w:val="auto"/>
                <w:w w:val="87"/>
              </w:rPr>
              <w:t>Fair Value as a</w:t>
            </w:r>
          </w:p>
        </w:tc>
        <w:tc>
          <w:tcPr>
            <w:tcW w:w="280" w:type="dxa"/>
            <w:vAlign w:val="bottom"/>
          </w:tcPr>
          <w:p>
            <w:pPr>
              <w:spacing w:after="0"/>
              <w:rPr>
                <w:sz w:val="12"/>
                <w:szCs w:val="12"/>
                <w:color w:val="auto"/>
              </w:rPr>
            </w:pPr>
          </w:p>
        </w:tc>
      </w:tr>
      <w:tr>
        <w:trPr>
          <w:trHeight w:val="126"/>
        </w:trPr>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center"/>
              <w:ind w:left="202"/>
              <w:spacing w:after="0" w:line="126" w:lineRule="exact"/>
              <w:rPr>
                <w:sz w:val="20"/>
                <w:szCs w:val="20"/>
                <w:color w:val="auto"/>
              </w:rPr>
            </w:pPr>
            <w:r>
              <w:rPr>
                <w:rFonts w:ascii="Arial" w:cs="Arial" w:eastAsia="Arial" w:hAnsi="Arial"/>
                <w:sz w:val="12"/>
                <w:szCs w:val="12"/>
                <w:b w:val="1"/>
                <w:bCs w:val="1"/>
                <w:color w:val="auto"/>
                <w:w w:val="83"/>
              </w:rPr>
              <w:t>Percentage of</w:t>
            </w:r>
          </w:p>
        </w:tc>
        <w:tc>
          <w:tcPr>
            <w:tcW w:w="280" w:type="dxa"/>
            <w:vAlign w:val="bottom"/>
          </w:tcPr>
          <w:p>
            <w:pPr>
              <w:spacing w:after="0"/>
              <w:rPr>
                <w:sz w:val="10"/>
                <w:szCs w:val="10"/>
                <w:color w:val="auto"/>
              </w:rPr>
            </w:pPr>
          </w:p>
        </w:tc>
      </w:tr>
      <w:tr>
        <w:trPr>
          <w:trHeight w:val="153"/>
        </w:trPr>
        <w:tc>
          <w:tcPr>
            <w:tcW w:w="1060" w:type="dxa"/>
            <w:vAlign w:val="bottom"/>
            <w:tcBorders>
              <w:bottom w:val="single" w:sz="8" w:color="auto"/>
            </w:tcBorders>
          </w:tcPr>
          <w:p>
            <w:pPr>
              <w:jc w:val="right"/>
              <w:ind w:right="322"/>
              <w:spacing w:after="0" w:line="153" w:lineRule="exact"/>
              <w:rPr>
                <w:sz w:val="20"/>
                <w:szCs w:val="20"/>
                <w:color w:val="auto"/>
              </w:rPr>
            </w:pPr>
            <w:r>
              <w:rPr>
                <w:rFonts w:ascii="Arial" w:cs="Arial" w:eastAsia="Arial" w:hAnsi="Arial"/>
                <w:sz w:val="17"/>
                <w:szCs w:val="17"/>
                <w:b w:val="1"/>
                <w:bCs w:val="1"/>
                <w:color w:val="auto"/>
                <w:vertAlign w:val="subscript"/>
              </w:rPr>
              <w:t>Par</w:t>
            </w:r>
            <w:r>
              <w:rPr>
                <w:rFonts w:ascii="Arial" w:cs="Arial" w:eastAsia="Arial" w:hAnsi="Arial"/>
                <w:sz w:val="8"/>
                <w:szCs w:val="8"/>
                <w:b w:val="1"/>
                <w:bCs w:val="1"/>
                <w:color w:val="auto"/>
              </w:rPr>
              <w:t xml:space="preserve"> (1)</w:t>
            </w:r>
          </w:p>
        </w:tc>
        <w:tc>
          <w:tcPr>
            <w:tcW w:w="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b w:val="1"/>
                <w:bCs w:val="1"/>
                <w:color w:val="auto"/>
              </w:rPr>
              <w:t>Cost</w:t>
            </w:r>
          </w:p>
        </w:tc>
        <w:tc>
          <w:tcPr>
            <w:tcW w:w="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Fair Value</w:t>
            </w:r>
          </w:p>
        </w:tc>
        <w:tc>
          <w:tcPr>
            <w:tcW w:w="240" w:type="dxa"/>
            <w:vAlign w:val="bottom"/>
          </w:tcPr>
          <w:p>
            <w:pPr>
              <w:spacing w:after="0"/>
              <w:rPr>
                <w:sz w:val="13"/>
                <w:szCs w:val="13"/>
                <w:color w:val="auto"/>
              </w:rPr>
            </w:pPr>
          </w:p>
        </w:tc>
        <w:tc>
          <w:tcPr>
            <w:tcW w:w="1360" w:type="dxa"/>
            <w:vAlign w:val="bottom"/>
            <w:tcBorders>
              <w:bottom w:val="single" w:sz="8" w:color="auto"/>
            </w:tcBorders>
            <w:gridSpan w:val="2"/>
          </w:tcPr>
          <w:p>
            <w:pPr>
              <w:jc w:val="center"/>
              <w:spacing w:after="0" w:line="153" w:lineRule="exact"/>
              <w:rPr>
                <w:sz w:val="20"/>
                <w:szCs w:val="20"/>
                <w:color w:val="auto"/>
              </w:rPr>
            </w:pPr>
            <w:r>
              <w:rPr>
                <w:rFonts w:ascii="Arial" w:cs="Arial" w:eastAsia="Arial" w:hAnsi="Arial"/>
                <w:sz w:val="11"/>
                <w:szCs w:val="11"/>
                <w:b w:val="1"/>
                <w:bCs w:val="1"/>
                <w:color w:val="auto"/>
                <w:w w:val="97"/>
              </w:rPr>
              <w:t xml:space="preserve">Members’ Equity </w:t>
            </w:r>
            <w:r>
              <w:rPr>
                <w:rFonts w:ascii="Arial" w:cs="Arial" w:eastAsia="Arial" w:hAnsi="Arial"/>
                <w:sz w:val="17"/>
                <w:szCs w:val="17"/>
                <w:b w:val="1"/>
                <w:bCs w:val="1"/>
                <w:color w:val="auto"/>
                <w:w w:val="97"/>
                <w:vertAlign w:val="superscript"/>
              </w:rPr>
              <w:t>(2)</w:t>
            </w:r>
          </w:p>
        </w:tc>
      </w:tr>
      <w:tr>
        <w:trPr>
          <w:trHeight w:val="487"/>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11,735,208</w:t>
            </w: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11,644,440</w:t>
            </w: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11,680,054</w:t>
            </w:r>
          </w:p>
        </w:tc>
        <w:tc>
          <w:tcPr>
            <w:tcW w:w="2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20.5</w:t>
            </w:r>
          </w:p>
        </w:tc>
        <w:tc>
          <w:tcPr>
            <w:tcW w:w="280" w:type="dxa"/>
            <w:vAlign w:val="bottom"/>
          </w:tcPr>
          <w:p>
            <w:pPr>
              <w:jc w:val="right"/>
              <w:ind w:right="82"/>
              <w:spacing w:after="0"/>
              <w:rPr>
                <w:sz w:val="20"/>
                <w:szCs w:val="20"/>
                <w:color w:val="auto"/>
              </w:rPr>
            </w:pPr>
            <w:r>
              <w:rPr>
                <w:rFonts w:ascii="Arial" w:cs="Arial" w:eastAsia="Arial" w:hAnsi="Arial"/>
                <w:sz w:val="12"/>
                <w:szCs w:val="12"/>
                <w:color w:val="auto"/>
              </w:rPr>
              <w:t>%</w:t>
            </w:r>
          </w:p>
        </w:tc>
      </w:tr>
      <w:tr>
        <w:trPr>
          <w:trHeight w:val="148"/>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10,422,726</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10,413,416</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10,396,669</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18.2</w:t>
            </w:r>
          </w:p>
        </w:tc>
        <w:tc>
          <w:tcPr>
            <w:tcW w:w="280" w:type="dxa"/>
            <w:vAlign w:val="bottom"/>
          </w:tcPr>
          <w:p>
            <w:pPr>
              <w:spacing w:after="0"/>
              <w:rPr>
                <w:sz w:val="12"/>
                <w:szCs w:val="12"/>
                <w:color w:val="auto"/>
              </w:rPr>
            </w:pPr>
          </w:p>
        </w:tc>
      </w:tr>
      <w:tr>
        <w:trPr>
          <w:trHeight w:val="148"/>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12,406,250</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12,351,255</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12,344,219</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21.6</w:t>
            </w:r>
          </w:p>
        </w:tc>
        <w:tc>
          <w:tcPr>
            <w:tcW w:w="280" w:type="dxa"/>
            <w:vAlign w:val="bottom"/>
          </w:tcPr>
          <w:p>
            <w:pPr>
              <w:spacing w:after="0"/>
              <w:rPr>
                <w:sz w:val="12"/>
                <w:szCs w:val="12"/>
                <w:color w:val="auto"/>
              </w:rPr>
            </w:pPr>
          </w:p>
        </w:tc>
      </w:tr>
      <w:tr>
        <w:trPr>
          <w:trHeight w:val="149"/>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5,466,024</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5,389,938</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5,466,024</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9.6</w:t>
            </w:r>
          </w:p>
        </w:tc>
        <w:tc>
          <w:tcPr>
            <w:tcW w:w="280" w:type="dxa"/>
            <w:vAlign w:val="bottom"/>
          </w:tcPr>
          <w:p>
            <w:pPr>
              <w:spacing w:after="0"/>
              <w:rPr>
                <w:sz w:val="12"/>
                <w:szCs w:val="12"/>
                <w:color w:val="auto"/>
              </w:rPr>
            </w:pPr>
          </w:p>
        </w:tc>
      </w:tr>
      <w:tr>
        <w:trPr>
          <w:trHeight w:val="297"/>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10,000,000</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7,376,173</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6,542,165</w:t>
            </w:r>
          </w:p>
        </w:tc>
        <w:tc>
          <w:tcPr>
            <w:tcW w:w="2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11.5</w:t>
            </w:r>
          </w:p>
        </w:tc>
        <w:tc>
          <w:tcPr>
            <w:tcW w:w="280" w:type="dxa"/>
            <w:vAlign w:val="bottom"/>
          </w:tcPr>
          <w:p>
            <w:pPr>
              <w:spacing w:after="0"/>
              <w:rPr>
                <w:sz w:val="24"/>
                <w:szCs w:val="24"/>
                <w:color w:val="auto"/>
              </w:rPr>
            </w:pPr>
          </w:p>
        </w:tc>
      </w:tr>
      <w:tr>
        <w:trPr>
          <w:trHeight w:val="297"/>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7,348,866</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7,311,507</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7,128,400</w:t>
            </w:r>
          </w:p>
        </w:tc>
        <w:tc>
          <w:tcPr>
            <w:tcW w:w="2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12.5</w:t>
            </w:r>
          </w:p>
        </w:tc>
        <w:tc>
          <w:tcPr>
            <w:tcW w:w="280" w:type="dxa"/>
            <w:vAlign w:val="bottom"/>
          </w:tcPr>
          <w:p>
            <w:pPr>
              <w:spacing w:after="0"/>
              <w:rPr>
                <w:sz w:val="24"/>
                <w:szCs w:val="24"/>
                <w:color w:val="auto"/>
              </w:rPr>
            </w:pPr>
          </w:p>
        </w:tc>
      </w:tr>
      <w:tr>
        <w:trPr>
          <w:trHeight w:val="149"/>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182,403</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179,170</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182,403</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0.3</w:t>
            </w:r>
          </w:p>
        </w:tc>
        <w:tc>
          <w:tcPr>
            <w:tcW w:w="280" w:type="dxa"/>
            <w:vAlign w:val="bottom"/>
          </w:tcPr>
          <w:p>
            <w:pPr>
              <w:spacing w:after="0"/>
              <w:rPr>
                <w:sz w:val="12"/>
                <w:szCs w:val="12"/>
                <w:color w:val="auto"/>
              </w:rPr>
            </w:pPr>
          </w:p>
        </w:tc>
      </w:tr>
      <w:tr>
        <w:trPr>
          <w:trHeight w:val="148"/>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126,031</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126,031</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126,031</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0.2</w:t>
            </w:r>
          </w:p>
        </w:tc>
        <w:tc>
          <w:tcPr>
            <w:tcW w:w="280" w:type="dxa"/>
            <w:vAlign w:val="bottom"/>
          </w:tcPr>
          <w:p>
            <w:pPr>
              <w:spacing w:after="0"/>
              <w:rPr>
                <w:sz w:val="12"/>
                <w:szCs w:val="12"/>
                <w:color w:val="auto"/>
              </w:rPr>
            </w:pPr>
          </w:p>
        </w:tc>
      </w:tr>
      <w:tr>
        <w:trPr>
          <w:trHeight w:val="148"/>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324,080</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0.0</w:t>
            </w:r>
          </w:p>
        </w:tc>
        <w:tc>
          <w:tcPr>
            <w:tcW w:w="280" w:type="dxa"/>
            <w:vAlign w:val="bottom"/>
          </w:tcPr>
          <w:p>
            <w:pPr>
              <w:spacing w:after="0"/>
              <w:rPr>
                <w:sz w:val="12"/>
                <w:szCs w:val="12"/>
                <w:color w:val="auto"/>
              </w:rPr>
            </w:pPr>
          </w:p>
        </w:tc>
      </w:tr>
      <w:tr>
        <w:trPr>
          <w:trHeight w:val="148"/>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14,357,813</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14,241,579</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14,135,267</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24.8</w:t>
            </w:r>
          </w:p>
        </w:tc>
        <w:tc>
          <w:tcPr>
            <w:tcW w:w="280" w:type="dxa"/>
            <w:vAlign w:val="bottom"/>
          </w:tcPr>
          <w:p>
            <w:pPr>
              <w:spacing w:after="0"/>
              <w:rPr>
                <w:sz w:val="12"/>
                <w:szCs w:val="12"/>
                <w:color w:val="auto"/>
              </w:rPr>
            </w:pPr>
          </w:p>
        </w:tc>
      </w:tr>
      <w:tr>
        <w:trPr>
          <w:trHeight w:val="148"/>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11,876,667</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11,757,900</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11,876,667</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20.8</w:t>
            </w:r>
          </w:p>
        </w:tc>
        <w:tc>
          <w:tcPr>
            <w:tcW w:w="280" w:type="dxa"/>
            <w:vAlign w:val="bottom"/>
          </w:tcPr>
          <w:p>
            <w:pPr>
              <w:spacing w:after="0"/>
              <w:rPr>
                <w:sz w:val="12"/>
                <w:szCs w:val="12"/>
                <w:color w:val="auto"/>
              </w:rPr>
            </w:pPr>
          </w:p>
        </w:tc>
      </w:tr>
      <w:tr>
        <w:trPr>
          <w:trHeight w:val="148"/>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9,925,000</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9,840,202</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9,825,750</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17.2</w:t>
            </w:r>
          </w:p>
        </w:tc>
        <w:tc>
          <w:tcPr>
            <w:tcW w:w="280" w:type="dxa"/>
            <w:vAlign w:val="bottom"/>
          </w:tcPr>
          <w:p>
            <w:pPr>
              <w:spacing w:after="0"/>
              <w:rPr>
                <w:sz w:val="12"/>
                <w:szCs w:val="12"/>
                <w:color w:val="auto"/>
              </w:rPr>
            </w:pPr>
          </w:p>
        </w:tc>
      </w:tr>
      <w:tr>
        <w:trPr>
          <w:trHeight w:val="149"/>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3,242,655</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2,412,626</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2,424,644</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4.2</w:t>
            </w:r>
          </w:p>
        </w:tc>
        <w:tc>
          <w:tcPr>
            <w:tcW w:w="280" w:type="dxa"/>
            <w:vAlign w:val="bottom"/>
          </w:tcPr>
          <w:p>
            <w:pPr>
              <w:spacing w:after="0"/>
              <w:rPr>
                <w:sz w:val="12"/>
                <w:szCs w:val="12"/>
                <w:color w:val="auto"/>
              </w:rPr>
            </w:pPr>
          </w:p>
        </w:tc>
      </w:tr>
      <w:tr>
        <w:trPr>
          <w:trHeight w:val="148"/>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4,687,495</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4,687,495</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4,359,370</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7.6</w:t>
            </w:r>
          </w:p>
        </w:tc>
        <w:tc>
          <w:tcPr>
            <w:tcW w:w="280" w:type="dxa"/>
            <w:vAlign w:val="bottom"/>
          </w:tcPr>
          <w:p>
            <w:pPr>
              <w:spacing w:after="0"/>
              <w:rPr>
                <w:sz w:val="12"/>
                <w:szCs w:val="12"/>
                <w:color w:val="auto"/>
              </w:rPr>
            </w:pPr>
          </w:p>
        </w:tc>
      </w:tr>
      <w:tr>
        <w:trPr>
          <w:trHeight w:val="297"/>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11,752,655</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11,649,126</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11,576,366</w:t>
            </w:r>
          </w:p>
        </w:tc>
        <w:tc>
          <w:tcPr>
            <w:tcW w:w="2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20.3</w:t>
            </w:r>
          </w:p>
        </w:tc>
        <w:tc>
          <w:tcPr>
            <w:tcW w:w="280" w:type="dxa"/>
            <w:vAlign w:val="bottom"/>
          </w:tcPr>
          <w:p>
            <w:pPr>
              <w:spacing w:after="0"/>
              <w:rPr>
                <w:sz w:val="24"/>
                <w:szCs w:val="24"/>
                <w:color w:val="auto"/>
              </w:rPr>
            </w:pPr>
          </w:p>
        </w:tc>
      </w:tr>
      <w:tr>
        <w:trPr>
          <w:trHeight w:val="297"/>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10,127,447</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10,040,432</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9,874,261</w:t>
            </w:r>
          </w:p>
        </w:tc>
        <w:tc>
          <w:tcPr>
            <w:tcW w:w="2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17.3</w:t>
            </w:r>
          </w:p>
        </w:tc>
        <w:tc>
          <w:tcPr>
            <w:tcW w:w="280" w:type="dxa"/>
            <w:vAlign w:val="bottom"/>
          </w:tcPr>
          <w:p>
            <w:pPr>
              <w:spacing w:after="0"/>
              <w:rPr>
                <w:sz w:val="24"/>
                <w:szCs w:val="24"/>
                <w:color w:val="auto"/>
              </w:rPr>
            </w:pPr>
          </w:p>
        </w:tc>
      </w:tr>
      <w:tr>
        <w:trPr>
          <w:trHeight w:val="148"/>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7,883,419</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7,909,754</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6,779,740</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11.9</w:t>
            </w:r>
          </w:p>
        </w:tc>
        <w:tc>
          <w:tcPr>
            <w:tcW w:w="280" w:type="dxa"/>
            <w:vAlign w:val="bottom"/>
          </w:tcPr>
          <w:p>
            <w:pPr>
              <w:spacing w:after="0"/>
              <w:rPr>
                <w:sz w:val="12"/>
                <w:szCs w:val="12"/>
                <w:color w:val="auto"/>
              </w:rPr>
            </w:pPr>
          </w:p>
        </w:tc>
      </w:tr>
      <w:tr>
        <w:trPr>
          <w:trHeight w:val="148"/>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9,974,874</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9,974,874</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9,974,874</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17.5</w:t>
            </w:r>
          </w:p>
        </w:tc>
        <w:tc>
          <w:tcPr>
            <w:tcW w:w="280" w:type="dxa"/>
            <w:vAlign w:val="bottom"/>
          </w:tcPr>
          <w:p>
            <w:pPr>
              <w:spacing w:after="0"/>
              <w:rPr>
                <w:sz w:val="12"/>
                <w:szCs w:val="12"/>
                <w:color w:val="auto"/>
              </w:rPr>
            </w:pPr>
          </w:p>
        </w:tc>
      </w:tr>
      <w:tr>
        <w:trPr>
          <w:trHeight w:val="297"/>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9,925,000</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9,837,686</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9,916,068</w:t>
            </w:r>
          </w:p>
        </w:tc>
        <w:tc>
          <w:tcPr>
            <w:tcW w:w="2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17.4</w:t>
            </w:r>
          </w:p>
        </w:tc>
        <w:tc>
          <w:tcPr>
            <w:tcW w:w="280" w:type="dxa"/>
            <w:vAlign w:val="bottom"/>
          </w:tcPr>
          <w:p>
            <w:pPr>
              <w:spacing w:after="0"/>
              <w:rPr>
                <w:sz w:val="24"/>
                <w:szCs w:val="24"/>
                <w:color w:val="auto"/>
              </w:rPr>
            </w:pPr>
          </w:p>
        </w:tc>
      </w:tr>
      <w:tr>
        <w:trPr>
          <w:trHeight w:val="149"/>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6,009,982</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5,977,867</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6,009,982</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10.5</w:t>
            </w:r>
          </w:p>
        </w:tc>
        <w:tc>
          <w:tcPr>
            <w:tcW w:w="280" w:type="dxa"/>
            <w:vAlign w:val="bottom"/>
          </w:tcPr>
          <w:p>
            <w:pPr>
              <w:spacing w:after="0"/>
              <w:rPr>
                <w:sz w:val="12"/>
                <w:szCs w:val="12"/>
                <w:color w:val="auto"/>
              </w:rPr>
            </w:pPr>
          </w:p>
        </w:tc>
      </w:tr>
      <w:tr>
        <w:trPr>
          <w:trHeight w:val="148"/>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15,224,842</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15,227,900</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15,224,842</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26.7</w:t>
            </w:r>
          </w:p>
        </w:tc>
        <w:tc>
          <w:tcPr>
            <w:tcW w:w="280" w:type="dxa"/>
            <w:vAlign w:val="bottom"/>
          </w:tcPr>
          <w:p>
            <w:pPr>
              <w:spacing w:after="0"/>
              <w:rPr>
                <w:sz w:val="12"/>
                <w:szCs w:val="12"/>
                <w:color w:val="auto"/>
              </w:rPr>
            </w:pPr>
          </w:p>
        </w:tc>
      </w:tr>
      <w:tr>
        <w:trPr>
          <w:trHeight w:val="148"/>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22,248,673</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22,045,879</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22,026,186</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38.6</w:t>
            </w:r>
          </w:p>
        </w:tc>
        <w:tc>
          <w:tcPr>
            <w:tcW w:w="280" w:type="dxa"/>
            <w:vAlign w:val="bottom"/>
          </w:tcPr>
          <w:p>
            <w:pPr>
              <w:spacing w:after="0"/>
              <w:rPr>
                <w:sz w:val="12"/>
                <w:szCs w:val="12"/>
                <w:color w:val="auto"/>
              </w:rPr>
            </w:pPr>
          </w:p>
        </w:tc>
      </w:tr>
      <w:tr>
        <w:trPr>
          <w:trHeight w:val="297"/>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12,312,500</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12,157,345</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12,189,375</w:t>
            </w:r>
          </w:p>
        </w:tc>
        <w:tc>
          <w:tcPr>
            <w:tcW w:w="2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21.3</w:t>
            </w:r>
          </w:p>
        </w:tc>
        <w:tc>
          <w:tcPr>
            <w:tcW w:w="280" w:type="dxa"/>
            <w:vAlign w:val="bottom"/>
          </w:tcPr>
          <w:p>
            <w:pPr>
              <w:spacing w:after="0"/>
              <w:rPr>
                <w:sz w:val="24"/>
                <w:szCs w:val="24"/>
                <w:color w:val="auto"/>
              </w:rPr>
            </w:pPr>
          </w:p>
        </w:tc>
      </w:tr>
      <w:tr>
        <w:trPr>
          <w:trHeight w:val="148"/>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8,166,594</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8,116,022</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8,084,928</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14.2</w:t>
            </w:r>
          </w:p>
        </w:tc>
        <w:tc>
          <w:tcPr>
            <w:tcW w:w="280" w:type="dxa"/>
            <w:vAlign w:val="bottom"/>
          </w:tcPr>
          <w:p>
            <w:pPr>
              <w:spacing w:after="0"/>
              <w:rPr>
                <w:sz w:val="12"/>
                <w:szCs w:val="12"/>
                <w:color w:val="auto"/>
              </w:rPr>
            </w:pPr>
          </w:p>
        </w:tc>
      </w:tr>
      <w:tr>
        <w:trPr>
          <w:trHeight w:val="148"/>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19,850,000</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19,586,294</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19,609,815</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34.3</w:t>
            </w:r>
          </w:p>
        </w:tc>
        <w:tc>
          <w:tcPr>
            <w:tcW w:w="280" w:type="dxa"/>
            <w:vAlign w:val="bottom"/>
          </w:tcPr>
          <w:p>
            <w:pPr>
              <w:spacing w:after="0"/>
              <w:rPr>
                <w:sz w:val="12"/>
                <w:szCs w:val="12"/>
                <w:color w:val="auto"/>
              </w:rPr>
            </w:pPr>
          </w:p>
        </w:tc>
      </w:tr>
      <w:tr>
        <w:trPr>
          <w:trHeight w:val="149"/>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1,758,406</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1,736,386</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1,740,822</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3.0</w:t>
            </w:r>
          </w:p>
        </w:tc>
        <w:tc>
          <w:tcPr>
            <w:tcW w:w="280" w:type="dxa"/>
            <w:vAlign w:val="bottom"/>
          </w:tcPr>
          <w:p>
            <w:pPr>
              <w:spacing w:after="0"/>
              <w:rPr>
                <w:sz w:val="12"/>
                <w:szCs w:val="12"/>
                <w:color w:val="auto"/>
              </w:rPr>
            </w:pPr>
          </w:p>
        </w:tc>
      </w:tr>
      <w:tr>
        <w:trPr>
          <w:trHeight w:val="297"/>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19,669,098</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19,524,460</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19,472,406</w:t>
            </w:r>
          </w:p>
        </w:tc>
        <w:tc>
          <w:tcPr>
            <w:tcW w:w="2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34.1</w:t>
            </w:r>
          </w:p>
        </w:tc>
        <w:tc>
          <w:tcPr>
            <w:tcW w:w="280" w:type="dxa"/>
            <w:vAlign w:val="bottom"/>
          </w:tcPr>
          <w:p>
            <w:pPr>
              <w:spacing w:after="0"/>
              <w:rPr>
                <w:sz w:val="24"/>
                <w:szCs w:val="24"/>
                <w:color w:val="auto"/>
              </w:rPr>
            </w:pPr>
          </w:p>
        </w:tc>
      </w:tr>
      <w:tr>
        <w:trPr>
          <w:trHeight w:val="297"/>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19,748,744</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19,748,744</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19,748,744</w:t>
            </w:r>
          </w:p>
        </w:tc>
        <w:tc>
          <w:tcPr>
            <w:tcW w:w="2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34.6</w:t>
            </w:r>
          </w:p>
        </w:tc>
        <w:tc>
          <w:tcPr>
            <w:tcW w:w="280" w:type="dxa"/>
            <w:vAlign w:val="bottom"/>
          </w:tcPr>
          <w:p>
            <w:pPr>
              <w:spacing w:after="0"/>
              <w:rPr>
                <w:sz w:val="24"/>
                <w:szCs w:val="24"/>
                <w:color w:val="auto"/>
              </w:rPr>
            </w:pPr>
          </w:p>
        </w:tc>
      </w:tr>
      <w:tr>
        <w:trPr>
          <w:trHeight w:val="149"/>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6,877,500</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6,797,207</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6,688,369</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11.7</w:t>
            </w:r>
          </w:p>
        </w:tc>
        <w:tc>
          <w:tcPr>
            <w:tcW w:w="280" w:type="dxa"/>
            <w:vAlign w:val="bottom"/>
          </w:tcPr>
          <w:p>
            <w:pPr>
              <w:spacing w:after="0"/>
              <w:rPr>
                <w:sz w:val="12"/>
                <w:szCs w:val="12"/>
                <w:color w:val="auto"/>
              </w:rPr>
            </w:pPr>
          </w:p>
        </w:tc>
      </w:tr>
      <w:tr>
        <w:trPr>
          <w:trHeight w:val="148"/>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14,812,500</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14,691,710</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14,664,375</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25.7</w:t>
            </w:r>
          </w:p>
        </w:tc>
        <w:tc>
          <w:tcPr>
            <w:tcW w:w="280" w:type="dxa"/>
            <w:vAlign w:val="bottom"/>
          </w:tcPr>
          <w:p>
            <w:pPr>
              <w:spacing w:after="0"/>
              <w:rPr>
                <w:sz w:val="12"/>
                <w:szCs w:val="12"/>
                <w:color w:val="auto"/>
              </w:rPr>
            </w:pPr>
          </w:p>
        </w:tc>
      </w:tr>
      <w:tr>
        <w:trPr>
          <w:trHeight w:val="297"/>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9,974,874</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9,974,874</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9,974,874</w:t>
            </w:r>
          </w:p>
        </w:tc>
        <w:tc>
          <w:tcPr>
            <w:tcW w:w="2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17.5</w:t>
            </w:r>
          </w:p>
        </w:tc>
        <w:tc>
          <w:tcPr>
            <w:tcW w:w="280" w:type="dxa"/>
            <w:vAlign w:val="bottom"/>
          </w:tcPr>
          <w:p>
            <w:pPr>
              <w:spacing w:after="0"/>
              <w:rPr>
                <w:sz w:val="24"/>
                <w:szCs w:val="24"/>
                <w:color w:val="auto"/>
              </w:rPr>
            </w:pPr>
          </w:p>
        </w:tc>
      </w:tr>
      <w:tr>
        <w:trPr>
          <w:trHeight w:val="148"/>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7,075,000</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6,937,888</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6,933,500</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12.1</w:t>
            </w:r>
          </w:p>
        </w:tc>
        <w:tc>
          <w:tcPr>
            <w:tcW w:w="280" w:type="dxa"/>
            <w:vAlign w:val="bottom"/>
          </w:tcPr>
          <w:p>
            <w:pPr>
              <w:spacing w:after="0"/>
              <w:rPr>
                <w:sz w:val="12"/>
                <w:szCs w:val="12"/>
                <w:color w:val="auto"/>
              </w:rPr>
            </w:pPr>
          </w:p>
        </w:tc>
      </w:tr>
      <w:tr>
        <w:trPr>
          <w:trHeight w:val="148"/>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5,000,000</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4,804,110</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4,762,500</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8.3</w:t>
            </w:r>
          </w:p>
        </w:tc>
        <w:tc>
          <w:tcPr>
            <w:tcW w:w="280" w:type="dxa"/>
            <w:vAlign w:val="bottom"/>
          </w:tcPr>
          <w:p>
            <w:pPr>
              <w:spacing w:after="0"/>
              <w:rPr>
                <w:sz w:val="12"/>
                <w:szCs w:val="12"/>
                <w:color w:val="auto"/>
              </w:rPr>
            </w:pPr>
          </w:p>
        </w:tc>
      </w:tr>
      <w:tr>
        <w:trPr>
          <w:trHeight w:val="297"/>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17,820,000</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17,688,160</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17,641,800</w:t>
            </w:r>
          </w:p>
        </w:tc>
        <w:tc>
          <w:tcPr>
            <w:tcW w:w="2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30.9</w:t>
            </w:r>
          </w:p>
        </w:tc>
        <w:tc>
          <w:tcPr>
            <w:tcW w:w="280" w:type="dxa"/>
            <w:vAlign w:val="bottom"/>
          </w:tcPr>
          <w:p>
            <w:pPr>
              <w:spacing w:after="0"/>
              <w:rPr>
                <w:sz w:val="24"/>
                <w:szCs w:val="24"/>
                <w:color w:val="auto"/>
              </w:rPr>
            </w:pPr>
          </w:p>
        </w:tc>
      </w:tr>
      <w:tr>
        <w:trPr>
          <w:trHeight w:val="148"/>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11,289,688</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11,189,470</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11,176,791</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19.6</w:t>
            </w:r>
          </w:p>
        </w:tc>
        <w:tc>
          <w:tcPr>
            <w:tcW w:w="280" w:type="dxa"/>
            <w:vAlign w:val="bottom"/>
          </w:tcPr>
          <w:p>
            <w:pPr>
              <w:spacing w:after="0"/>
              <w:rPr>
                <w:sz w:val="12"/>
                <w:szCs w:val="12"/>
                <w:color w:val="auto"/>
              </w:rPr>
            </w:pPr>
          </w:p>
        </w:tc>
      </w:tr>
      <w:tr>
        <w:trPr>
          <w:trHeight w:val="149"/>
        </w:trPr>
        <w:tc>
          <w:tcPr>
            <w:tcW w:w="1060" w:type="dxa"/>
            <w:vAlign w:val="bottom"/>
          </w:tcPr>
          <w:p>
            <w:pPr>
              <w:jc w:val="right"/>
              <w:ind w:right="22"/>
              <w:spacing w:after="0"/>
              <w:rPr>
                <w:sz w:val="20"/>
                <w:szCs w:val="20"/>
                <w:color w:val="auto"/>
              </w:rPr>
            </w:pPr>
            <w:r>
              <w:rPr>
                <w:rFonts w:ascii="Arial" w:cs="Arial" w:eastAsia="Arial" w:hAnsi="Arial"/>
                <w:sz w:val="12"/>
                <w:szCs w:val="12"/>
                <w:color w:val="auto"/>
              </w:rPr>
              <w:t>11,572,122</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11,388,612</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11,572,122</w:t>
            </w:r>
          </w:p>
        </w:tc>
        <w:tc>
          <w:tcPr>
            <w:tcW w:w="240" w:type="dxa"/>
            <w:vAlign w:val="bottom"/>
          </w:tcPr>
          <w:p>
            <w:pPr>
              <w:spacing w:after="0"/>
              <w:rPr>
                <w:sz w:val="12"/>
                <w:szCs w:val="12"/>
                <w:color w:val="auto"/>
              </w:rPr>
            </w:pPr>
          </w:p>
        </w:tc>
        <w:tc>
          <w:tcPr>
            <w:tcW w:w="1080" w:type="dxa"/>
            <w:vAlign w:val="bottom"/>
          </w:tcPr>
          <w:p>
            <w:pPr>
              <w:jc w:val="right"/>
              <w:ind w:right="22"/>
              <w:spacing w:after="0"/>
              <w:rPr>
                <w:sz w:val="20"/>
                <w:szCs w:val="20"/>
                <w:color w:val="auto"/>
              </w:rPr>
            </w:pPr>
            <w:r>
              <w:rPr>
                <w:rFonts w:ascii="Arial" w:cs="Arial" w:eastAsia="Arial" w:hAnsi="Arial"/>
                <w:sz w:val="12"/>
                <w:szCs w:val="12"/>
                <w:color w:val="auto"/>
              </w:rPr>
              <w:t>20.3</w:t>
            </w:r>
          </w:p>
        </w:tc>
        <w:tc>
          <w:tcPr>
            <w:tcW w:w="280" w:type="dxa"/>
            <w:vAlign w:val="bottom"/>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2">
            <w:col w:w="5680" w:space="60"/>
            <w:col w:w="5500"/>
          </w:cols>
          <w:pgMar w:left="320" w:top="85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jc w:val="center"/>
              <w:ind w:left="162"/>
              <w:spacing w:after="0"/>
              <w:rPr>
                <w:sz w:val="20"/>
                <w:szCs w:val="20"/>
                <w:color w:val="auto"/>
              </w:rPr>
            </w:pPr>
            <w:r>
              <w:rPr>
                <w:rFonts w:ascii="Arial" w:cs="Arial" w:eastAsia="Arial" w:hAnsi="Arial"/>
                <w:sz w:val="12"/>
                <w:szCs w:val="12"/>
                <w:b w:val="1"/>
                <w:bCs w:val="1"/>
                <w:color w:val="auto"/>
                <w:w w:val="87"/>
              </w:rPr>
              <w:t>Fair Value as a</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right"/>
              <w:ind w:right="322"/>
              <w:spacing w:after="0" w:line="126" w:lineRule="exact"/>
              <w:rPr>
                <w:sz w:val="20"/>
                <w:szCs w:val="20"/>
                <w:color w:val="auto"/>
              </w:rPr>
            </w:pPr>
            <w:r>
              <w:rPr>
                <w:rFonts w:ascii="Arial" w:cs="Arial" w:eastAsia="Arial" w:hAnsi="Arial"/>
                <w:sz w:val="12"/>
                <w:szCs w:val="12"/>
                <w:b w:val="1"/>
                <w:bCs w:val="1"/>
                <w:color w:val="auto"/>
              </w:rPr>
              <w:t>Current</w:t>
            </w:r>
          </w:p>
        </w:tc>
        <w:tc>
          <w:tcPr>
            <w:tcW w:w="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2"/>
          </w:tcPr>
          <w:p>
            <w:pPr>
              <w:jc w:val="center"/>
              <w:ind w:left="142"/>
              <w:spacing w:after="0" w:line="126" w:lineRule="exact"/>
              <w:rPr>
                <w:sz w:val="20"/>
                <w:szCs w:val="20"/>
                <w:color w:val="auto"/>
              </w:rPr>
            </w:pPr>
            <w:r>
              <w:rPr>
                <w:rFonts w:ascii="Arial" w:cs="Arial" w:eastAsia="Arial" w:hAnsi="Arial"/>
                <w:sz w:val="12"/>
                <w:szCs w:val="12"/>
                <w:b w:val="1"/>
                <w:bCs w:val="1"/>
                <w:color w:val="auto"/>
                <w:w w:val="85"/>
              </w:rPr>
              <w:t>Percentage of</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Maturity</w:t>
            </w:r>
          </w:p>
        </w:tc>
        <w:tc>
          <w:tcPr>
            <w:tcW w:w="1180" w:type="dxa"/>
            <w:vAlign w:val="bottom"/>
          </w:tcPr>
          <w:p>
            <w:pPr>
              <w:jc w:val="right"/>
              <w:ind w:right="342"/>
              <w:spacing w:after="0"/>
              <w:rPr>
                <w:sz w:val="20"/>
                <w:szCs w:val="20"/>
                <w:color w:val="auto"/>
              </w:rPr>
            </w:pPr>
            <w:r>
              <w:rPr>
                <w:rFonts w:ascii="Arial" w:cs="Arial" w:eastAsia="Arial" w:hAnsi="Arial"/>
                <w:sz w:val="12"/>
                <w:szCs w:val="12"/>
                <w:b w:val="1"/>
                <w:bCs w:val="1"/>
                <w:color w:val="auto"/>
              </w:rPr>
              <w:t>Coupon</w:t>
            </w:r>
          </w:p>
        </w:tc>
        <w:tc>
          <w:tcPr>
            <w:tcW w:w="420" w:type="dxa"/>
            <w:vAlign w:val="bottom"/>
          </w:tcPr>
          <w:p>
            <w:pPr>
              <w:spacing w:after="0"/>
              <w:rPr>
                <w:sz w:val="13"/>
                <w:szCs w:val="13"/>
                <w:color w:val="auto"/>
              </w:rPr>
            </w:pPr>
          </w:p>
        </w:tc>
        <w:tc>
          <w:tcPr>
            <w:tcW w:w="1060" w:type="dxa"/>
            <w:vAlign w:val="bottom"/>
          </w:tcPr>
          <w:p>
            <w:pPr>
              <w:jc w:val="right"/>
              <w:ind w:right="322"/>
              <w:spacing w:after="0" w:line="153" w:lineRule="exact"/>
              <w:rPr>
                <w:sz w:val="20"/>
                <w:szCs w:val="20"/>
                <w:color w:val="auto"/>
              </w:rPr>
            </w:pPr>
            <w:r>
              <w:rPr>
                <w:rFonts w:ascii="Arial" w:cs="Arial" w:eastAsia="Arial" w:hAnsi="Arial"/>
                <w:sz w:val="11"/>
                <w:szCs w:val="11"/>
                <w:b w:val="1"/>
                <w:bCs w:val="1"/>
                <w:color w:val="auto"/>
              </w:rPr>
              <w:t xml:space="preserve">Par </w:t>
            </w:r>
            <w:r>
              <w:rPr>
                <w:rFonts w:ascii="Arial" w:cs="Arial" w:eastAsia="Arial" w:hAnsi="Arial"/>
                <w:sz w:val="17"/>
                <w:szCs w:val="17"/>
                <w:b w:val="1"/>
                <w:bCs w:val="1"/>
                <w:color w:val="auto"/>
                <w:vertAlign w:val="superscript"/>
              </w:rPr>
              <w:t>(1)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40"/>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ind w:left="220"/>
              <w:spacing w:after="0"/>
              <w:rPr>
                <w:sz w:val="20"/>
                <w:szCs w:val="20"/>
                <w:color w:val="auto"/>
              </w:rPr>
            </w:pPr>
            <w:r>
              <w:rPr>
                <w:rFonts w:ascii="Arial" w:cs="Arial" w:eastAsia="Arial" w:hAnsi="Arial"/>
                <w:sz w:val="12"/>
                <w:szCs w:val="12"/>
                <w:b w:val="1"/>
                <w:bCs w:val="1"/>
                <w:color w:val="auto"/>
              </w:rPr>
              <w:t>Fair Value</w:t>
            </w:r>
          </w:p>
        </w:tc>
        <w:tc>
          <w:tcPr>
            <w:tcW w:w="40" w:type="dxa"/>
            <w:vAlign w:val="bottom"/>
          </w:tcPr>
          <w:p>
            <w:pPr>
              <w:spacing w:after="0"/>
              <w:rPr>
                <w:sz w:val="13"/>
                <w:szCs w:val="13"/>
                <w:color w:val="auto"/>
              </w:rPr>
            </w:pPr>
          </w:p>
        </w:tc>
        <w:tc>
          <w:tcPr>
            <w:tcW w:w="1300" w:type="dxa"/>
            <w:vAlign w:val="bottom"/>
            <w:gridSpan w:val="3"/>
          </w:tcPr>
          <w:p>
            <w:pPr>
              <w:jc w:val="center"/>
              <w:spacing w:after="0" w:line="153" w:lineRule="exact"/>
              <w:rPr>
                <w:sz w:val="20"/>
                <w:szCs w:val="20"/>
                <w:color w:val="auto"/>
              </w:rPr>
            </w:pPr>
            <w:r>
              <w:rPr>
                <w:rFonts w:ascii="Arial" w:cs="Arial" w:eastAsia="Arial" w:hAnsi="Arial"/>
                <w:sz w:val="11"/>
                <w:szCs w:val="11"/>
                <w:b w:val="1"/>
                <w:bCs w:val="1"/>
                <w:color w:val="auto"/>
                <w:w w:val="97"/>
              </w:rPr>
              <w:t xml:space="preserve">Members’ Equity </w:t>
            </w:r>
            <w:r>
              <w:rPr>
                <w:rFonts w:ascii="Arial" w:cs="Arial" w:eastAsia="Arial" w:hAnsi="Arial"/>
                <w:sz w:val="17"/>
                <w:szCs w:val="17"/>
                <w:b w:val="1"/>
                <w:bCs w:val="1"/>
                <w:color w:val="auto"/>
                <w:w w:val="97"/>
                <w:vertAlign w:val="superscript"/>
              </w:rPr>
              <w:t>(2)</w:t>
            </w:r>
          </w:p>
        </w:tc>
        <w:tc>
          <w:tcPr>
            <w:tcW w:w="0" w:type="dxa"/>
            <w:vAlign w:val="bottom"/>
          </w:tcPr>
          <w:p>
            <w:pPr>
              <w:spacing w:after="0"/>
              <w:rPr>
                <w:sz w:val="1"/>
                <w:szCs w:val="1"/>
                <w:color w:val="auto"/>
              </w:rPr>
            </w:pPr>
          </w:p>
        </w:tc>
      </w:tr>
      <w:tr>
        <w:trPr>
          <w:trHeight w:val="34"/>
        </w:trPr>
        <w:tc>
          <w:tcPr>
            <w:tcW w:w="32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High Tech Industries</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Altamira Technologies, LLC</w:t>
            </w:r>
          </w:p>
        </w:tc>
        <w:tc>
          <w:tcPr>
            <w:tcW w:w="820" w:type="dxa"/>
            <w:vAlign w:val="bottom"/>
          </w:tcPr>
          <w:p>
            <w:pPr>
              <w:jc w:val="center"/>
              <w:spacing w:after="0"/>
              <w:rPr>
                <w:sz w:val="20"/>
                <w:szCs w:val="20"/>
                <w:color w:val="auto"/>
              </w:rPr>
            </w:pPr>
            <w:r>
              <w:rPr>
                <w:rFonts w:ascii="Arial" w:cs="Arial" w:eastAsia="Arial" w:hAnsi="Arial"/>
                <w:sz w:val="12"/>
                <w:szCs w:val="12"/>
                <w:color w:val="auto"/>
                <w:w w:val="86"/>
              </w:rPr>
              <w:t>07/24/2025</w:t>
            </w:r>
          </w:p>
        </w:tc>
        <w:tc>
          <w:tcPr>
            <w:tcW w:w="160" w:type="dxa"/>
            <w:vAlign w:val="bottom"/>
          </w:tcPr>
          <w:p>
            <w:pPr>
              <w:spacing w:after="0"/>
              <w:rPr>
                <w:sz w:val="12"/>
                <w:szCs w:val="12"/>
                <w:color w:val="auto"/>
              </w:rPr>
            </w:pPr>
          </w:p>
        </w:tc>
        <w:tc>
          <w:tcPr>
            <w:tcW w:w="1180" w:type="dxa"/>
            <w:vAlign w:val="bottom"/>
          </w:tcPr>
          <w:p>
            <w:pPr>
              <w:jc w:val="right"/>
              <w:ind w:right="102"/>
              <w:spacing w:after="0"/>
              <w:rPr>
                <w:sz w:val="20"/>
                <w:szCs w:val="20"/>
                <w:color w:val="auto"/>
              </w:rPr>
            </w:pPr>
            <w:r>
              <w:rPr>
                <w:rFonts w:ascii="Arial" w:cs="Arial" w:eastAsia="Arial" w:hAnsi="Arial"/>
                <w:sz w:val="12"/>
                <w:szCs w:val="12"/>
                <w:color w:val="auto"/>
              </w:rPr>
              <w:t>8.28%</w:t>
            </w:r>
          </w:p>
        </w:tc>
        <w:tc>
          <w:tcPr>
            <w:tcW w:w="420" w:type="dxa"/>
            <w:vAlign w:val="bottom"/>
          </w:tcPr>
          <w:p>
            <w:pPr>
              <w:spacing w:after="0"/>
              <w:rPr>
                <w:sz w:val="12"/>
                <w:szCs w:val="12"/>
                <w:color w:val="auto"/>
              </w:rPr>
            </w:pPr>
          </w:p>
        </w:tc>
        <w:tc>
          <w:tcPr>
            <w:tcW w:w="1060" w:type="dxa"/>
            <w:vAlign w:val="bottom"/>
          </w:tcPr>
          <w:p>
            <w:pPr>
              <w:jc w:val="right"/>
              <w:ind w:right="22"/>
              <w:spacing w:after="0"/>
              <w:rPr>
                <w:sz w:val="20"/>
                <w:szCs w:val="20"/>
                <w:color w:val="auto"/>
              </w:rPr>
            </w:pPr>
            <w:r>
              <w:rPr>
                <w:rFonts w:ascii="Arial" w:cs="Arial" w:eastAsia="Arial" w:hAnsi="Arial"/>
                <w:sz w:val="12"/>
                <w:szCs w:val="12"/>
                <w:color w:val="auto"/>
              </w:rPr>
              <w:t>5,000,000</w:t>
            </w:r>
          </w:p>
        </w:tc>
        <w:tc>
          <w:tcPr>
            <w:tcW w:w="60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4,927,149</w:t>
            </w:r>
          </w:p>
        </w:tc>
        <w:tc>
          <w:tcPr>
            <w:tcW w:w="10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5,000,000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8.8</w:t>
            </w:r>
          </w:p>
        </w:tc>
        <w:tc>
          <w:tcPr>
            <w:tcW w:w="80" w:type="dxa"/>
            <w:vAlign w:val="bottom"/>
          </w:tcPr>
          <w:p>
            <w:pPr>
              <w:spacing w:after="0"/>
              <w:rPr>
                <w:sz w:val="12"/>
                <w:szCs w:val="12"/>
                <w:color w:val="auto"/>
              </w:rPr>
            </w:pPr>
          </w:p>
        </w:tc>
        <w:tc>
          <w:tcPr>
            <w:tcW w:w="260" w:type="dxa"/>
            <w:vAlign w:val="bottom"/>
          </w:tcPr>
          <w:p>
            <w:pPr>
              <w:jc w:val="right"/>
              <w:ind w:right="82"/>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By Light Professional IT Services, LLC</w:t>
            </w: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05/16/2022</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2"/>
                <w:szCs w:val="12"/>
                <w:color w:val="auto"/>
              </w:rPr>
              <w:t>8.52%</w:t>
            </w: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rPr>
              <w:t>13,772,261</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13,531,751</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13,772,261</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24.1</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260"/>
              <w:spacing w:after="0"/>
              <w:rPr>
                <w:sz w:val="20"/>
                <w:szCs w:val="20"/>
                <w:color w:val="auto"/>
              </w:rPr>
            </w:pPr>
            <w:r>
              <w:rPr>
                <w:rFonts w:ascii="Arial" w:cs="Arial" w:eastAsia="Arial" w:hAnsi="Arial"/>
                <w:sz w:val="12"/>
                <w:szCs w:val="12"/>
                <w:color w:val="auto"/>
              </w:rPr>
              <w:t>GCOM Software LLC</w:t>
            </w:r>
          </w:p>
        </w:tc>
        <w:tc>
          <w:tcPr>
            <w:tcW w:w="820" w:type="dxa"/>
            <w:vAlign w:val="bottom"/>
          </w:tcPr>
          <w:p>
            <w:pPr>
              <w:jc w:val="center"/>
              <w:spacing w:after="0"/>
              <w:rPr>
                <w:sz w:val="20"/>
                <w:szCs w:val="20"/>
                <w:color w:val="auto"/>
              </w:rPr>
            </w:pPr>
            <w:r>
              <w:rPr>
                <w:rFonts w:ascii="Arial" w:cs="Arial" w:eastAsia="Arial" w:hAnsi="Arial"/>
                <w:sz w:val="12"/>
                <w:szCs w:val="12"/>
                <w:color w:val="auto"/>
                <w:w w:val="86"/>
              </w:rPr>
              <w:t>11/14/2022</w:t>
            </w:r>
          </w:p>
        </w:tc>
        <w:tc>
          <w:tcPr>
            <w:tcW w:w="160" w:type="dxa"/>
            <w:vAlign w:val="bottom"/>
          </w:tcPr>
          <w:p>
            <w:pPr>
              <w:spacing w:after="0"/>
              <w:rPr>
                <w:sz w:val="12"/>
                <w:szCs w:val="12"/>
                <w:color w:val="auto"/>
              </w:rPr>
            </w:pPr>
          </w:p>
        </w:tc>
        <w:tc>
          <w:tcPr>
            <w:tcW w:w="1180" w:type="dxa"/>
            <w:vAlign w:val="bottom"/>
          </w:tcPr>
          <w:p>
            <w:pPr>
              <w:jc w:val="right"/>
              <w:ind w:right="102"/>
              <w:spacing w:after="0"/>
              <w:rPr>
                <w:sz w:val="20"/>
                <w:szCs w:val="20"/>
                <w:color w:val="auto"/>
              </w:rPr>
            </w:pPr>
            <w:r>
              <w:rPr>
                <w:rFonts w:ascii="Arial" w:cs="Arial" w:eastAsia="Arial" w:hAnsi="Arial"/>
                <w:sz w:val="12"/>
                <w:szCs w:val="12"/>
                <w:color w:val="auto"/>
              </w:rPr>
              <w:t>8.37%</w:t>
            </w:r>
          </w:p>
        </w:tc>
        <w:tc>
          <w:tcPr>
            <w:tcW w:w="420" w:type="dxa"/>
            <w:vAlign w:val="bottom"/>
          </w:tcPr>
          <w:p>
            <w:pPr>
              <w:spacing w:after="0"/>
              <w:rPr>
                <w:sz w:val="12"/>
                <w:szCs w:val="12"/>
                <w:color w:val="auto"/>
              </w:rPr>
            </w:pPr>
          </w:p>
        </w:tc>
        <w:tc>
          <w:tcPr>
            <w:tcW w:w="1060" w:type="dxa"/>
            <w:vAlign w:val="bottom"/>
          </w:tcPr>
          <w:p>
            <w:pPr>
              <w:jc w:val="right"/>
              <w:ind w:right="22"/>
              <w:spacing w:after="0"/>
              <w:rPr>
                <w:sz w:val="20"/>
                <w:szCs w:val="20"/>
                <w:color w:val="auto"/>
              </w:rPr>
            </w:pPr>
            <w:r>
              <w:rPr>
                <w:rFonts w:ascii="Arial" w:cs="Arial" w:eastAsia="Arial" w:hAnsi="Arial"/>
                <w:sz w:val="12"/>
                <w:szCs w:val="12"/>
                <w:color w:val="auto"/>
              </w:rPr>
              <w:t>17,384,864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17,263,748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17,384,864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30.4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ind w:left="260"/>
              <w:spacing w:after="0" w:line="149" w:lineRule="exact"/>
              <w:rPr>
                <w:sz w:val="20"/>
                <w:szCs w:val="20"/>
                <w:color w:val="auto"/>
              </w:rPr>
            </w:pPr>
            <w:r>
              <w:rPr>
                <w:rFonts w:ascii="Arial" w:cs="Arial" w:eastAsia="Arial" w:hAnsi="Arial"/>
                <w:sz w:val="11"/>
                <w:szCs w:val="11"/>
                <w:color w:val="auto"/>
              </w:rPr>
              <w:t xml:space="preserve">Leap Legal Software Pty Ltd </w:t>
            </w:r>
            <w:r>
              <w:rPr>
                <w:rFonts w:ascii="Arial" w:cs="Arial" w:eastAsia="Arial" w:hAnsi="Arial"/>
                <w:sz w:val="17"/>
                <w:szCs w:val="17"/>
                <w:color w:val="auto"/>
                <w:vertAlign w:val="superscript"/>
              </w:rPr>
              <w:t>(3,4)</w:t>
            </w: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09/12/2022</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2"/>
                <w:szCs w:val="12"/>
                <w:color w:val="auto"/>
              </w:rPr>
              <w:t>6.80%</w:t>
            </w:r>
          </w:p>
        </w:tc>
        <w:tc>
          <w:tcPr>
            <w:tcW w:w="420" w:type="dxa"/>
            <w:vAlign w:val="bottom"/>
            <w:shd w:val="clear" w:color="auto" w:fill="CFF0FC"/>
          </w:tcPr>
          <w:p>
            <w:pPr>
              <w:ind w:left="220"/>
              <w:spacing w:after="0"/>
              <w:rPr>
                <w:sz w:val="20"/>
                <w:szCs w:val="20"/>
                <w:color w:val="auto"/>
              </w:rPr>
            </w:pPr>
            <w:r>
              <w:rPr>
                <w:rFonts w:ascii="Arial" w:cs="Arial" w:eastAsia="Arial" w:hAnsi="Arial"/>
                <w:sz w:val="12"/>
                <w:szCs w:val="12"/>
                <w:color w:val="auto"/>
              </w:rPr>
              <w:t>A$</w:t>
            </w: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rPr>
              <w:t>14,755,747</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10,483,859</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9,952,014</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17.4</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Leisure Products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PlayPower, Inc.</w:t>
            </w: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05/08/2026</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2"/>
                <w:szCs w:val="12"/>
                <w:color w:val="auto"/>
              </w:rPr>
              <w:t>7.60%</w:t>
            </w: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rPr>
              <w:t>4,189,500</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4,148,451</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4,184,263</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7.3</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Media: Broadcasting and Subscription</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The Infosoft Group, LLC</w:t>
            </w: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09/16/2024</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2"/>
                <w:szCs w:val="12"/>
                <w:color w:val="auto"/>
              </w:rPr>
              <w:t>7.43%</w:t>
            </w: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rPr>
              <w:t>8,823,392</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8,790,069</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8,735,157</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15.3</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Media: Diversified and Production</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ind w:left="260"/>
              <w:spacing w:after="0" w:line="149" w:lineRule="exact"/>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7"/>
                <w:szCs w:val="17"/>
                <w:color w:val="auto"/>
                <w:vertAlign w:val="superscript"/>
              </w:rPr>
              <w:t>(3,4)</w:t>
            </w: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01/27/2023</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2"/>
                <w:szCs w:val="12"/>
                <w:color w:val="auto"/>
              </w:rPr>
              <w:t>7.20%</w:t>
            </w:r>
          </w:p>
        </w:tc>
        <w:tc>
          <w:tcPr>
            <w:tcW w:w="420" w:type="dxa"/>
            <w:vAlign w:val="bottom"/>
            <w:shd w:val="clear" w:color="auto" w:fill="CFF0FC"/>
          </w:tcPr>
          <w:p>
            <w:pPr>
              <w:ind w:left="220"/>
              <w:spacing w:after="0"/>
              <w:rPr>
                <w:sz w:val="20"/>
                <w:szCs w:val="20"/>
                <w:color w:val="auto"/>
              </w:rPr>
            </w:pPr>
            <w:r>
              <w:rPr>
                <w:rFonts w:ascii="Arial" w:cs="Arial" w:eastAsia="Arial" w:hAnsi="Arial"/>
                <w:sz w:val="12"/>
                <w:szCs w:val="12"/>
                <w:color w:val="auto"/>
              </w:rPr>
              <w:t>C$</w:t>
            </w: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rPr>
              <w:t>5,760,254</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4,461,926</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4,350,645</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7.6</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2"/>
                <w:szCs w:val="12"/>
                <w:color w:val="auto"/>
              </w:rPr>
              <w:t>Retail</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LSF9 Atlantis Holdings, LLC</w:t>
            </w: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05/01/2023</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2"/>
                <w:szCs w:val="12"/>
                <w:color w:val="auto"/>
              </w:rPr>
              <w:t>8.04%</w:t>
            </w: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rPr>
              <w:t>7,078,125</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7,118,977</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6,575,083</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11.5</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Transportation: Consumer</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American Auto Auction Group, LLC</w:t>
            </w: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01/02/2024</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2"/>
                <w:szCs w:val="12"/>
                <w:color w:val="auto"/>
              </w:rPr>
              <w:t>6.85%</w:t>
            </w: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rPr>
              <w:t>7,749,274</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7,674,216</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7,671,781</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13.4</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Wholesale</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Impact Group, LLC</w:t>
            </w: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06/27/2023</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2"/>
                <w:szCs w:val="12"/>
                <w:color w:val="auto"/>
              </w:rPr>
              <w:t>8.60%</w:t>
            </w: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rPr>
              <w:t>9,390,185</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9,296,753</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9,296,283</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16.3</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260"/>
              <w:spacing w:after="0" w:line="149" w:lineRule="exact"/>
              <w:rPr>
                <w:sz w:val="20"/>
                <w:szCs w:val="20"/>
                <w:color w:val="auto"/>
              </w:rPr>
            </w:pPr>
            <w:r>
              <w:rPr>
                <w:rFonts w:ascii="Arial" w:cs="Arial" w:eastAsia="Arial" w:hAnsi="Arial"/>
                <w:sz w:val="11"/>
                <w:szCs w:val="11"/>
                <w:color w:val="auto"/>
              </w:rPr>
              <w:t>Infrastructure Supply Operations Pty Ltd.</w:t>
            </w:r>
            <w:r>
              <w:rPr>
                <w:rFonts w:ascii="Arial" w:cs="Arial" w:eastAsia="Arial" w:hAnsi="Arial"/>
                <w:sz w:val="17"/>
                <w:szCs w:val="17"/>
                <w:color w:val="auto"/>
                <w:vertAlign w:val="superscript"/>
              </w:rPr>
              <w:t>(3,4)</w:t>
            </w:r>
          </w:p>
        </w:tc>
        <w:tc>
          <w:tcPr>
            <w:tcW w:w="820" w:type="dxa"/>
            <w:vAlign w:val="bottom"/>
          </w:tcPr>
          <w:p>
            <w:pPr>
              <w:jc w:val="center"/>
              <w:spacing w:after="0"/>
              <w:rPr>
                <w:sz w:val="20"/>
                <w:szCs w:val="20"/>
                <w:color w:val="auto"/>
              </w:rPr>
            </w:pPr>
            <w:r>
              <w:rPr>
                <w:rFonts w:ascii="Arial" w:cs="Arial" w:eastAsia="Arial" w:hAnsi="Arial"/>
                <w:sz w:val="12"/>
                <w:szCs w:val="12"/>
                <w:color w:val="auto"/>
                <w:w w:val="86"/>
              </w:rPr>
              <w:t>12/12/2023</w:t>
            </w:r>
          </w:p>
        </w:tc>
        <w:tc>
          <w:tcPr>
            <w:tcW w:w="160" w:type="dxa"/>
            <w:vAlign w:val="bottom"/>
          </w:tcPr>
          <w:p>
            <w:pPr>
              <w:spacing w:after="0"/>
              <w:rPr>
                <w:sz w:val="12"/>
                <w:szCs w:val="12"/>
                <w:color w:val="auto"/>
              </w:rPr>
            </w:pPr>
          </w:p>
        </w:tc>
        <w:tc>
          <w:tcPr>
            <w:tcW w:w="1180" w:type="dxa"/>
            <w:vAlign w:val="bottom"/>
          </w:tcPr>
          <w:p>
            <w:pPr>
              <w:jc w:val="right"/>
              <w:ind w:right="102"/>
              <w:spacing w:after="0"/>
              <w:rPr>
                <w:sz w:val="20"/>
                <w:szCs w:val="20"/>
                <w:color w:val="auto"/>
              </w:rPr>
            </w:pPr>
            <w:r>
              <w:rPr>
                <w:rFonts w:ascii="Arial" w:cs="Arial" w:eastAsia="Arial" w:hAnsi="Arial"/>
                <w:sz w:val="12"/>
                <w:szCs w:val="12"/>
                <w:color w:val="auto"/>
              </w:rPr>
              <w:t>5.80%</w:t>
            </w:r>
          </w:p>
        </w:tc>
        <w:tc>
          <w:tcPr>
            <w:tcW w:w="420" w:type="dxa"/>
            <w:vAlign w:val="bottom"/>
          </w:tcPr>
          <w:p>
            <w:pPr>
              <w:ind w:left="220"/>
              <w:spacing w:after="0"/>
              <w:rPr>
                <w:sz w:val="20"/>
                <w:szCs w:val="20"/>
                <w:color w:val="auto"/>
              </w:rPr>
            </w:pPr>
            <w:r>
              <w:rPr>
                <w:rFonts w:ascii="Arial" w:cs="Arial" w:eastAsia="Arial" w:hAnsi="Arial"/>
                <w:sz w:val="12"/>
                <w:szCs w:val="12"/>
                <w:color w:val="auto"/>
              </w:rPr>
              <w:t>A$</w:t>
            </w:r>
          </w:p>
        </w:tc>
        <w:tc>
          <w:tcPr>
            <w:tcW w:w="1060" w:type="dxa"/>
            <w:vAlign w:val="bottom"/>
          </w:tcPr>
          <w:p>
            <w:pPr>
              <w:jc w:val="right"/>
              <w:ind w:right="22"/>
              <w:spacing w:after="0"/>
              <w:rPr>
                <w:sz w:val="20"/>
                <w:szCs w:val="20"/>
                <w:color w:val="auto"/>
              </w:rPr>
            </w:pPr>
            <w:r>
              <w:rPr>
                <w:rFonts w:ascii="Arial" w:cs="Arial" w:eastAsia="Arial" w:hAnsi="Arial"/>
                <w:sz w:val="12"/>
                <w:szCs w:val="12"/>
                <w:color w:val="auto"/>
              </w:rPr>
              <w:t>15,000,000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10,973,919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9,717,138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17.0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PH Beauty Holdings III, Inc.</w:t>
            </w: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09/29/2025</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2"/>
                <w:szCs w:val="12"/>
                <w:color w:val="auto"/>
              </w:rPr>
              <w:t>7.04%</w:t>
            </w: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rPr>
              <w:t>9,892,519</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9,804,058</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9,397,893</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16.5</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Walker Edison Furniture Company LLC</w:t>
            </w:r>
          </w:p>
        </w:tc>
        <w:tc>
          <w:tcPr>
            <w:tcW w:w="820" w:type="dxa"/>
            <w:vAlign w:val="bottom"/>
            <w:tcBorders>
              <w:bottom w:val="single" w:sz="8" w:color="CFF0FC"/>
            </w:tcBorders>
          </w:tcPr>
          <w:p>
            <w:pPr>
              <w:jc w:val="center"/>
              <w:spacing w:after="0"/>
              <w:rPr>
                <w:sz w:val="20"/>
                <w:szCs w:val="20"/>
                <w:color w:val="auto"/>
              </w:rPr>
            </w:pPr>
            <w:r>
              <w:rPr>
                <w:rFonts w:ascii="Arial" w:cs="Arial" w:eastAsia="Arial" w:hAnsi="Arial"/>
                <w:sz w:val="12"/>
                <w:szCs w:val="12"/>
                <w:color w:val="auto"/>
                <w:w w:val="86"/>
              </w:rPr>
              <w:t>09/26/2024</w:t>
            </w:r>
          </w:p>
        </w:tc>
        <w:tc>
          <w:tcPr>
            <w:tcW w:w="160" w:type="dxa"/>
            <w:vAlign w:val="bottom"/>
            <w:tcBorders>
              <w:bottom w:val="single" w:sz="8" w:color="CFF0FC"/>
            </w:tcBorders>
          </w:tcPr>
          <w:p>
            <w:pPr>
              <w:spacing w:after="0"/>
              <w:rPr>
                <w:sz w:val="12"/>
                <w:szCs w:val="12"/>
                <w:color w:val="auto"/>
              </w:rPr>
            </w:pPr>
          </w:p>
        </w:tc>
        <w:tc>
          <w:tcPr>
            <w:tcW w:w="1180" w:type="dxa"/>
            <w:vAlign w:val="bottom"/>
            <w:tcBorders>
              <w:bottom w:val="single" w:sz="8" w:color="CFF0FC"/>
            </w:tcBorders>
          </w:tcPr>
          <w:p>
            <w:pPr>
              <w:jc w:val="right"/>
              <w:ind w:right="102"/>
              <w:spacing w:after="0"/>
              <w:rPr>
                <w:sz w:val="20"/>
                <w:szCs w:val="20"/>
                <w:color w:val="auto"/>
              </w:rPr>
            </w:pPr>
            <w:r>
              <w:rPr>
                <w:rFonts w:ascii="Arial" w:cs="Arial" w:eastAsia="Arial" w:hAnsi="Arial"/>
                <w:sz w:val="12"/>
                <w:szCs w:val="12"/>
                <w:color w:val="auto"/>
              </w:rPr>
              <w:t>8.83%</w:t>
            </w:r>
          </w:p>
        </w:tc>
        <w:tc>
          <w:tcPr>
            <w:tcW w:w="420" w:type="dxa"/>
            <w:vAlign w:val="bottom"/>
            <w:tcBorders>
              <w:bottom w:val="single" w:sz="8" w:color="CFF0FC"/>
            </w:tcBorders>
          </w:tcPr>
          <w:p>
            <w:pPr>
              <w:spacing w:after="0"/>
              <w:rPr>
                <w:sz w:val="12"/>
                <w:szCs w:val="12"/>
                <w:color w:val="auto"/>
              </w:rPr>
            </w:pPr>
          </w:p>
        </w:tc>
        <w:tc>
          <w:tcPr>
            <w:tcW w:w="1060" w:type="dxa"/>
            <w:vAlign w:val="bottom"/>
            <w:tcBorders>
              <w:bottom w:val="single" w:sz="8" w:color="CFF0FC"/>
            </w:tcBorders>
          </w:tcPr>
          <w:p>
            <w:pPr>
              <w:jc w:val="right"/>
              <w:ind w:right="22"/>
              <w:spacing w:after="0"/>
              <w:rPr>
                <w:sz w:val="20"/>
                <w:szCs w:val="20"/>
                <w:color w:val="auto"/>
              </w:rPr>
            </w:pPr>
            <w:r>
              <w:rPr>
                <w:rFonts w:ascii="Arial" w:cs="Arial" w:eastAsia="Arial" w:hAnsi="Arial"/>
                <w:sz w:val="12"/>
                <w:szCs w:val="12"/>
                <w:color w:val="auto"/>
              </w:rPr>
              <w:t>16,001,734</w:t>
            </w: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15,724,459</w:t>
            </w:r>
          </w:p>
        </w:tc>
        <w:tc>
          <w:tcPr>
            <w:tcW w:w="10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16,121,748</w:t>
            </w: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28.2</w:t>
            </w:r>
          </w:p>
        </w:tc>
        <w:tc>
          <w:tcPr>
            <w:tcW w:w="8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First Lien Secured Debt</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478,935,870</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474,289,533</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830.5</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2"/>
                <w:szCs w:val="12"/>
                <w:b w:val="1"/>
                <w:bCs w:val="1"/>
                <w:color w:val="auto"/>
              </w:rPr>
              <w:t>Second Lien Secured Debt - 14.8%</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Beverage, Food and Tobacco</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820" w:type="dxa"/>
            <w:vAlign w:val="bottom"/>
          </w:tcPr>
          <w:p>
            <w:pPr>
              <w:jc w:val="center"/>
              <w:spacing w:after="0"/>
              <w:rPr>
                <w:sz w:val="20"/>
                <w:szCs w:val="20"/>
                <w:color w:val="auto"/>
              </w:rPr>
            </w:pPr>
            <w:r>
              <w:rPr>
                <w:rFonts w:ascii="Arial" w:cs="Arial" w:eastAsia="Arial" w:hAnsi="Arial"/>
                <w:sz w:val="12"/>
                <w:szCs w:val="12"/>
                <w:color w:val="auto"/>
                <w:w w:val="86"/>
              </w:rPr>
              <w:t>04/29/2024</w:t>
            </w:r>
          </w:p>
        </w:tc>
        <w:tc>
          <w:tcPr>
            <w:tcW w:w="160" w:type="dxa"/>
            <w:vAlign w:val="bottom"/>
          </w:tcPr>
          <w:p>
            <w:pPr>
              <w:spacing w:after="0"/>
              <w:rPr>
                <w:sz w:val="12"/>
                <w:szCs w:val="12"/>
                <w:color w:val="auto"/>
              </w:rPr>
            </w:pPr>
          </w:p>
        </w:tc>
        <w:tc>
          <w:tcPr>
            <w:tcW w:w="1180" w:type="dxa"/>
            <w:vAlign w:val="bottom"/>
          </w:tcPr>
          <w:p>
            <w:pPr>
              <w:jc w:val="right"/>
              <w:ind w:right="202"/>
              <w:spacing w:after="0"/>
              <w:rPr>
                <w:sz w:val="20"/>
                <w:szCs w:val="20"/>
                <w:color w:val="auto"/>
              </w:rPr>
            </w:pPr>
            <w:r>
              <w:rPr>
                <w:rFonts w:ascii="Arial" w:cs="Arial" w:eastAsia="Arial" w:hAnsi="Arial"/>
                <w:sz w:val="12"/>
                <w:szCs w:val="12"/>
                <w:color w:val="auto"/>
              </w:rPr>
              <w:t>10.60%</w:t>
            </w:r>
          </w:p>
        </w:tc>
        <w:tc>
          <w:tcPr>
            <w:tcW w:w="420" w:type="dxa"/>
            <w:vAlign w:val="bottom"/>
          </w:tcPr>
          <w:p>
            <w:pPr>
              <w:spacing w:after="0"/>
              <w:rPr>
                <w:sz w:val="12"/>
                <w:szCs w:val="12"/>
                <w:color w:val="auto"/>
              </w:rPr>
            </w:pPr>
          </w:p>
        </w:tc>
        <w:tc>
          <w:tcPr>
            <w:tcW w:w="1060" w:type="dxa"/>
            <w:vAlign w:val="bottom"/>
          </w:tcPr>
          <w:p>
            <w:pPr>
              <w:jc w:val="right"/>
              <w:ind w:right="22"/>
              <w:spacing w:after="0"/>
              <w:rPr>
                <w:sz w:val="20"/>
                <w:szCs w:val="20"/>
                <w:color w:val="auto"/>
              </w:rPr>
            </w:pPr>
            <w:r>
              <w:rPr>
                <w:rFonts w:ascii="Arial" w:cs="Arial" w:eastAsia="Arial" w:hAnsi="Arial"/>
                <w:sz w:val="12"/>
                <w:szCs w:val="12"/>
                <w:color w:val="auto"/>
              </w:rPr>
              <w:t>870,886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870,886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870,886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vMerge w:val="restart"/>
          </w:tcPr>
          <w:p>
            <w:pPr>
              <w:jc w:val="right"/>
              <w:ind w:right="202"/>
              <w:spacing w:after="0"/>
              <w:rPr>
                <w:sz w:val="20"/>
                <w:szCs w:val="20"/>
                <w:color w:val="auto"/>
              </w:rPr>
            </w:pPr>
            <w:r>
              <w:rPr>
                <w:rFonts w:ascii="Arial" w:cs="Arial" w:eastAsia="Arial" w:hAnsi="Arial"/>
                <w:sz w:val="12"/>
                <w:szCs w:val="12"/>
                <w:color w:val="auto"/>
              </w:rPr>
              <w:t>(PIK 10.60%)</w:t>
            </w:r>
          </w:p>
        </w:tc>
        <w:tc>
          <w:tcPr>
            <w:tcW w:w="4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Business Services</w:t>
            </w:r>
          </w:p>
        </w:tc>
        <w:tc>
          <w:tcPr>
            <w:tcW w:w="8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20"/>
                <w:szCs w:val="20"/>
                <w:color w:val="auto"/>
              </w:rPr>
            </w:pPr>
            <w:r>
              <w:rPr>
                <w:rFonts w:ascii="Arial" w:cs="Arial" w:eastAsia="Arial" w:hAnsi="Arial"/>
                <w:sz w:val="12"/>
                <w:szCs w:val="12"/>
                <w:color w:val="auto"/>
              </w:rPr>
              <w:t>DBI Holding, LLC - Term Loan C</w:t>
            </w:r>
          </w:p>
        </w:tc>
        <w:tc>
          <w:tcPr>
            <w:tcW w:w="820" w:type="dxa"/>
            <w:vAlign w:val="bottom"/>
          </w:tcPr>
          <w:p>
            <w:pPr>
              <w:jc w:val="center"/>
              <w:spacing w:after="0"/>
              <w:rPr>
                <w:sz w:val="20"/>
                <w:szCs w:val="20"/>
                <w:color w:val="auto"/>
              </w:rPr>
            </w:pPr>
            <w:r>
              <w:rPr>
                <w:rFonts w:ascii="Arial" w:cs="Arial" w:eastAsia="Arial" w:hAnsi="Arial"/>
                <w:sz w:val="12"/>
                <w:szCs w:val="12"/>
                <w:color w:val="auto"/>
                <w:w w:val="86"/>
              </w:rPr>
              <w:t>03/26/2021</w:t>
            </w:r>
          </w:p>
        </w:tc>
        <w:tc>
          <w:tcPr>
            <w:tcW w:w="160" w:type="dxa"/>
            <w:vAlign w:val="bottom"/>
          </w:tcPr>
          <w:p>
            <w:pPr>
              <w:spacing w:after="0"/>
              <w:rPr>
                <w:sz w:val="12"/>
                <w:szCs w:val="12"/>
                <w:color w:val="auto"/>
              </w:rPr>
            </w:pPr>
          </w:p>
        </w:tc>
        <w:tc>
          <w:tcPr>
            <w:tcW w:w="1180" w:type="dxa"/>
            <w:vAlign w:val="bottom"/>
          </w:tcPr>
          <w:p>
            <w:pPr>
              <w:jc w:val="right"/>
              <w:ind w:right="202"/>
              <w:spacing w:after="0"/>
              <w:rPr>
                <w:sz w:val="20"/>
                <w:szCs w:val="20"/>
                <w:color w:val="auto"/>
              </w:rPr>
            </w:pPr>
            <w:r>
              <w:rPr>
                <w:rFonts w:ascii="Arial" w:cs="Arial" w:eastAsia="Arial" w:hAnsi="Arial"/>
                <w:sz w:val="12"/>
                <w:szCs w:val="12"/>
                <w:color w:val="auto"/>
              </w:rPr>
              <w:t>8.00%</w:t>
            </w:r>
          </w:p>
        </w:tc>
        <w:tc>
          <w:tcPr>
            <w:tcW w:w="420" w:type="dxa"/>
            <w:vAlign w:val="bottom"/>
          </w:tcPr>
          <w:p>
            <w:pPr>
              <w:spacing w:after="0"/>
              <w:rPr>
                <w:sz w:val="12"/>
                <w:szCs w:val="12"/>
                <w:color w:val="auto"/>
              </w:rPr>
            </w:pPr>
          </w:p>
        </w:tc>
        <w:tc>
          <w:tcPr>
            <w:tcW w:w="1060" w:type="dxa"/>
            <w:vAlign w:val="bottom"/>
          </w:tcPr>
          <w:p>
            <w:pPr>
              <w:jc w:val="right"/>
              <w:ind w:right="22"/>
              <w:spacing w:after="0"/>
              <w:rPr>
                <w:sz w:val="20"/>
                <w:szCs w:val="20"/>
                <w:color w:val="auto"/>
              </w:rPr>
            </w:pPr>
            <w:r>
              <w:rPr>
                <w:rFonts w:ascii="Arial" w:cs="Arial" w:eastAsia="Arial" w:hAnsi="Arial"/>
                <w:sz w:val="12"/>
                <w:szCs w:val="12"/>
                <w:color w:val="auto"/>
              </w:rPr>
              <w:t>15,206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15,206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15,206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vMerge w:val="restart"/>
          </w:tcPr>
          <w:p>
            <w:pPr>
              <w:jc w:val="right"/>
              <w:ind w:right="202"/>
              <w:spacing w:after="0"/>
              <w:rPr>
                <w:sz w:val="20"/>
                <w:szCs w:val="20"/>
                <w:color w:val="auto"/>
              </w:rPr>
            </w:pPr>
            <w:r>
              <w:rPr>
                <w:rFonts w:ascii="Arial" w:cs="Arial" w:eastAsia="Arial" w:hAnsi="Arial"/>
                <w:sz w:val="12"/>
                <w:szCs w:val="12"/>
                <w:color w:val="auto"/>
              </w:rPr>
              <w:t>(PIK 8.00%)</w:t>
            </w:r>
          </w:p>
        </w:tc>
        <w:tc>
          <w:tcPr>
            <w:tcW w:w="4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DBI Holding, LLC - Term Loan B</w:t>
            </w:r>
          </w:p>
        </w:tc>
        <w:tc>
          <w:tcPr>
            <w:tcW w:w="8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6"/>
              </w:rPr>
              <w:t>02/02/2026</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202"/>
              <w:spacing w:after="0"/>
              <w:rPr>
                <w:sz w:val="20"/>
                <w:szCs w:val="20"/>
                <w:color w:val="auto"/>
              </w:rPr>
            </w:pPr>
            <w:r>
              <w:rPr>
                <w:rFonts w:ascii="Arial" w:cs="Arial" w:eastAsia="Arial" w:hAnsi="Arial"/>
                <w:sz w:val="12"/>
                <w:szCs w:val="12"/>
                <w:color w:val="auto"/>
              </w:rPr>
              <w:t>8.00%</w:t>
            </w: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rPr>
              <w:t>7,607,291</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7,607,291</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7,569,254</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13.3</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20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180" w:type="dxa"/>
            <w:vAlign w:val="bottom"/>
            <w:vMerge w:val="restart"/>
            <w:shd w:val="clear" w:color="auto" w:fill="CFF0FC"/>
          </w:tcPr>
          <w:p>
            <w:pPr>
              <w:jc w:val="right"/>
              <w:ind w:right="202"/>
              <w:spacing w:after="0"/>
              <w:rPr>
                <w:sz w:val="20"/>
                <w:szCs w:val="20"/>
                <w:color w:val="auto"/>
              </w:rPr>
            </w:pPr>
            <w:r>
              <w:rPr>
                <w:rFonts w:ascii="Arial" w:cs="Arial" w:eastAsia="Arial" w:hAnsi="Arial"/>
                <w:sz w:val="12"/>
                <w:szCs w:val="12"/>
                <w:color w:val="auto"/>
              </w:rPr>
              <w:t>(PIK 8.00%)</w:t>
            </w:r>
          </w:p>
        </w:tc>
        <w:tc>
          <w:tcPr>
            <w:tcW w:w="42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0" w:type="dxa"/>
            <w:vAlign w:val="bottom"/>
            <w:gridSpan w:val="2"/>
            <w:vMerge w:val="continue"/>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20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180" w:type="dxa"/>
            <w:vAlign w:val="bottom"/>
            <w:vMerge w:val="continue"/>
            <w:shd w:val="clear" w:color="auto" w:fill="CFF0FC"/>
          </w:tcPr>
          <w:p>
            <w:pPr>
              <w:spacing w:after="0"/>
              <w:rPr>
                <w:sz w:val="5"/>
                <w:szCs w:val="5"/>
                <w:color w:val="auto"/>
              </w:rPr>
            </w:pPr>
          </w:p>
        </w:tc>
        <w:tc>
          <w:tcPr>
            <w:tcW w:w="42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220" w:type="dxa"/>
            <w:vAlign w:val="bottom"/>
            <w:tcBorders>
              <w:bottom w:val="single" w:sz="8" w:color="auto"/>
            </w:tcBorders>
            <w:shd w:val="clear" w:color="auto" w:fill="CFF0FC"/>
          </w:tcPr>
          <w:p>
            <w:pPr>
              <w:spacing w:after="0"/>
              <w:rPr>
                <w:sz w:val="5"/>
                <w:szCs w:val="5"/>
                <w:color w:val="auto"/>
              </w:rPr>
            </w:pPr>
          </w:p>
        </w:tc>
        <w:tc>
          <w:tcPr>
            <w:tcW w:w="120" w:type="dxa"/>
            <w:vAlign w:val="bottom"/>
            <w:tcBorders>
              <w:bottom w:val="single" w:sz="8" w:color="auto"/>
            </w:tcBorders>
            <w:shd w:val="clear" w:color="auto" w:fill="CFF0FC"/>
          </w:tcPr>
          <w:p>
            <w:pPr>
              <w:spacing w:after="0"/>
              <w:rPr>
                <w:sz w:val="5"/>
                <w:szCs w:val="5"/>
                <w:color w:val="auto"/>
              </w:rPr>
            </w:pPr>
          </w:p>
        </w:tc>
        <w:tc>
          <w:tcPr>
            <w:tcW w:w="720" w:type="dxa"/>
            <w:vAlign w:val="bottom"/>
            <w:tcBorders>
              <w:bottom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220" w:type="dxa"/>
            <w:vAlign w:val="bottom"/>
            <w:tcBorders>
              <w:bottom w:val="single" w:sz="8" w:color="auto"/>
            </w:tcBorders>
            <w:shd w:val="clear" w:color="auto" w:fill="CFF0FC"/>
          </w:tcPr>
          <w:p>
            <w:pPr>
              <w:spacing w:after="0"/>
              <w:rPr>
                <w:sz w:val="5"/>
                <w:szCs w:val="5"/>
                <w:color w:val="auto"/>
              </w:rPr>
            </w:pPr>
          </w:p>
        </w:tc>
        <w:tc>
          <w:tcPr>
            <w:tcW w:w="880" w:type="dxa"/>
            <w:vAlign w:val="bottom"/>
            <w:tcBorders>
              <w:bottom w:val="single" w:sz="8" w:color="auto"/>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960" w:type="dxa"/>
            <w:vAlign w:val="bottom"/>
            <w:tcBorders>
              <w:bottom w:val="single" w:sz="8" w:color="auto"/>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8,493,383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8,455,346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14.8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Preferred Equity - 8.2%</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Business Services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DBI Holding, LLC - Series A-1</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202"/>
              <w:spacing w:after="0"/>
              <w:rPr>
                <w:sz w:val="20"/>
                <w:szCs w:val="20"/>
                <w:color w:val="auto"/>
              </w:rPr>
            </w:pPr>
            <w:r>
              <w:rPr>
                <w:rFonts w:ascii="Arial" w:cs="Arial" w:eastAsia="Arial" w:hAnsi="Arial"/>
                <w:sz w:val="12"/>
                <w:szCs w:val="12"/>
                <w:color w:val="auto"/>
              </w:rPr>
              <w:t>13.00%</w:t>
            </w: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rPr>
              <w:t>5,034</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5,034,310</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4,680,039</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8.2</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202"/>
              <w:spacing w:after="0"/>
              <w:rPr>
                <w:sz w:val="20"/>
                <w:szCs w:val="20"/>
                <w:color w:val="auto"/>
              </w:rPr>
            </w:pPr>
            <w:r>
              <w:rPr>
                <w:rFonts w:ascii="Arial" w:cs="Arial" w:eastAsia="Arial" w:hAnsi="Arial"/>
                <w:sz w:val="12"/>
                <w:szCs w:val="12"/>
                <w:color w:val="auto"/>
              </w:rPr>
              <w:t>(PIK 13.00%)</w:t>
            </w: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20"/>
                <w:szCs w:val="20"/>
                <w:color w:val="auto"/>
              </w:rPr>
            </w:pPr>
            <w:r>
              <w:rPr>
                <w:rFonts w:ascii="Arial" w:cs="Arial" w:eastAsia="Arial" w:hAnsi="Arial"/>
                <w:sz w:val="12"/>
                <w:szCs w:val="12"/>
                <w:b w:val="1"/>
                <w:bCs w:val="1"/>
                <w:color w:val="auto"/>
              </w:rPr>
              <w:t>Total Preferred Equity</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5,034,310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4,680,039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8.2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Common Equity - 2.0%</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2"/>
                <w:szCs w:val="12"/>
                <w:color w:val="auto"/>
              </w:rPr>
              <w:t>Beverage, Food and Tobacco</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Country Fresh Holding Company Inc.</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rPr>
              <w:t>1,317</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1,713,106</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1,124,929</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2"/>
                <w:szCs w:val="12"/>
                <w:color w:val="auto"/>
              </w:rPr>
              <w:t>Business Services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ind w:left="260"/>
              <w:spacing w:after="0"/>
              <w:rPr>
                <w:sz w:val="20"/>
                <w:szCs w:val="20"/>
                <w:color w:val="auto"/>
              </w:rPr>
            </w:pPr>
            <w:r>
              <w:rPr>
                <w:rFonts w:ascii="Arial" w:cs="Arial" w:eastAsia="Arial" w:hAnsi="Arial"/>
                <w:sz w:val="12"/>
                <w:szCs w:val="12"/>
                <w:color w:val="auto"/>
              </w:rPr>
              <w:t>DBI Holding, LLC - Series B</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rPr>
              <w:t>1,065,021</w:t>
            </w:r>
          </w:p>
        </w:tc>
        <w:tc>
          <w:tcPr>
            <w:tcW w:w="26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236,521</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0</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0.0</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Total Common Equity</w:t>
            </w:r>
          </w:p>
        </w:tc>
        <w:tc>
          <w:tcPr>
            <w:tcW w:w="8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180" w:type="dxa"/>
            <w:vAlign w:val="bottom"/>
            <w:tcBorders>
              <w:bottom w:val="single" w:sz="8" w:color="CFF0FC"/>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06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1,949,627</w:t>
            </w:r>
          </w:p>
        </w:tc>
        <w:tc>
          <w:tcPr>
            <w:tcW w:w="10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1,124,929</w:t>
            </w: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8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Investments - 855.5%</w:t>
            </w: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494,413,190</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488,549,847</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855.5</w:t>
            </w: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Cash and Cash Equivalents—26.8%</w:t>
            </w:r>
          </w:p>
        </w:tc>
        <w:tc>
          <w:tcPr>
            <w:tcW w:w="8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180" w:type="dxa"/>
            <w:vAlign w:val="bottom"/>
            <w:tcBorders>
              <w:bottom w:val="single" w:sz="8" w:color="CFF0FC"/>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06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15,322,531</w:t>
            </w:r>
          </w:p>
        </w:tc>
        <w:tc>
          <w:tcPr>
            <w:tcW w:w="10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15,294,881</w:t>
            </w: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26.8</w:t>
            </w:r>
          </w:p>
        </w:tc>
        <w:tc>
          <w:tcPr>
            <w:tcW w:w="8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Total Investments and Cash Equivalents—882.3%</w:t>
            </w:r>
          </w:p>
        </w:tc>
        <w:tc>
          <w:tcPr>
            <w:tcW w:w="8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509,735,721</w:t>
            </w:r>
          </w:p>
        </w:tc>
        <w:tc>
          <w:tcPr>
            <w:tcW w:w="1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503,844,728</w:t>
            </w:r>
          </w:p>
        </w:tc>
        <w:tc>
          <w:tcPr>
            <w:tcW w:w="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882.3</w:t>
            </w:r>
          </w:p>
        </w:tc>
        <w:tc>
          <w:tcPr>
            <w:tcW w:w="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Assets—(782.3)%</w:t>
            </w: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2"/>
                <w:szCs w:val="12"/>
                <w:color w:val="auto"/>
              </w:rPr>
              <w:t>(446,736,922</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(782.3)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Borders>
              <w:top w:val="single" w:sz="8" w:color="CFF0FC"/>
              <w:bottom w:val="single" w:sz="8" w:color="CFF0FC"/>
            </w:tcBorders>
            <w:shd w:val="clear" w:color="auto" w:fill="CFF0FC"/>
          </w:tcPr>
          <w:p>
            <w:pPr>
              <w:spacing w:after="0" w:line="129" w:lineRule="exact"/>
              <w:rPr>
                <w:sz w:val="20"/>
                <w:szCs w:val="20"/>
                <w:color w:val="auto"/>
              </w:rPr>
            </w:pPr>
            <w:r>
              <w:rPr>
                <w:rFonts w:ascii="Arial" w:cs="Arial" w:eastAsia="Arial" w:hAnsi="Arial"/>
                <w:sz w:val="12"/>
                <w:szCs w:val="12"/>
                <w:b w:val="1"/>
                <w:bCs w:val="1"/>
                <w:color w:val="auto"/>
              </w:rPr>
              <w:t>Members’ Equity—100.0%</w:t>
            </w:r>
          </w:p>
        </w:tc>
        <w:tc>
          <w:tcPr>
            <w:tcW w:w="820" w:type="dxa"/>
            <w:vAlign w:val="bottom"/>
            <w:tcBorders>
              <w:top w:val="single" w:sz="8" w:color="CFF0FC"/>
              <w:bottom w:val="single" w:sz="8" w:color="CFF0FC"/>
            </w:tcBorders>
            <w:shd w:val="clear" w:color="auto" w:fill="CFF0FC"/>
          </w:tcPr>
          <w:p>
            <w:pPr>
              <w:spacing w:after="0"/>
              <w:rPr>
                <w:sz w:val="11"/>
                <w:szCs w:val="11"/>
                <w:color w:val="auto"/>
              </w:rPr>
            </w:pPr>
          </w:p>
        </w:tc>
        <w:tc>
          <w:tcPr>
            <w:tcW w:w="160" w:type="dxa"/>
            <w:vAlign w:val="bottom"/>
            <w:tcBorders>
              <w:top w:val="single" w:sz="8" w:color="CFF0FC"/>
              <w:bottom w:val="single" w:sz="8" w:color="CFF0FC"/>
            </w:tcBorders>
            <w:shd w:val="clear" w:color="auto" w:fill="CFF0FC"/>
          </w:tcPr>
          <w:p>
            <w:pPr>
              <w:spacing w:after="0"/>
              <w:rPr>
                <w:sz w:val="11"/>
                <w:szCs w:val="11"/>
                <w:color w:val="auto"/>
              </w:rPr>
            </w:pPr>
          </w:p>
        </w:tc>
        <w:tc>
          <w:tcPr>
            <w:tcW w:w="1180" w:type="dxa"/>
            <w:vAlign w:val="bottom"/>
            <w:tcBorders>
              <w:top w:val="single" w:sz="8" w:color="CFF0FC"/>
              <w:bottom w:val="single" w:sz="8" w:color="CFF0FC"/>
            </w:tcBorders>
            <w:shd w:val="clear" w:color="auto" w:fill="CFF0FC"/>
          </w:tcPr>
          <w:p>
            <w:pPr>
              <w:spacing w:after="0"/>
              <w:rPr>
                <w:sz w:val="11"/>
                <w:szCs w:val="11"/>
                <w:color w:val="auto"/>
              </w:rPr>
            </w:pPr>
          </w:p>
        </w:tc>
        <w:tc>
          <w:tcPr>
            <w:tcW w:w="420" w:type="dxa"/>
            <w:vAlign w:val="bottom"/>
            <w:tcBorders>
              <w:top w:val="single" w:sz="8" w:color="CFF0FC"/>
              <w:bottom w:val="single" w:sz="8" w:color="CFF0FC"/>
            </w:tcBorders>
            <w:shd w:val="clear" w:color="auto" w:fill="CFF0FC"/>
          </w:tcPr>
          <w:p>
            <w:pPr>
              <w:spacing w:after="0"/>
              <w:rPr>
                <w:sz w:val="11"/>
                <w:szCs w:val="11"/>
                <w:color w:val="auto"/>
              </w:rPr>
            </w:pPr>
          </w:p>
        </w:tc>
        <w:tc>
          <w:tcPr>
            <w:tcW w:w="1060" w:type="dxa"/>
            <w:vAlign w:val="bottom"/>
            <w:tcBorders>
              <w:top w:val="single" w:sz="8" w:color="CFF0FC"/>
              <w:bottom w:val="single" w:sz="8" w:color="CFF0FC"/>
            </w:tcBorders>
            <w:shd w:val="clear" w:color="auto" w:fill="CFF0FC"/>
          </w:tcPr>
          <w:p>
            <w:pPr>
              <w:spacing w:after="0"/>
              <w:rPr>
                <w:sz w:val="11"/>
                <w:szCs w:val="11"/>
                <w:color w:val="auto"/>
              </w:rPr>
            </w:pP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22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72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2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w:t>
            </w:r>
          </w:p>
        </w:tc>
        <w:tc>
          <w:tcPr>
            <w:tcW w:w="8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57,107,806</w:t>
            </w:r>
          </w:p>
        </w:tc>
        <w:tc>
          <w:tcPr>
            <w:tcW w:w="80" w:type="dxa"/>
            <w:vAlign w:val="bottom"/>
            <w:tcBorders>
              <w:top w:val="single" w:sz="8" w:color="CFF0FC"/>
              <w:bottom w:val="single" w:sz="8" w:color="CFF0FC"/>
            </w:tcBorders>
            <w:shd w:val="clear" w:color="auto" w:fill="CFF0FC"/>
          </w:tcPr>
          <w:p>
            <w:pPr>
              <w:spacing w:after="0"/>
              <w:rPr>
                <w:sz w:val="11"/>
                <w:szCs w:val="11"/>
                <w:color w:val="auto"/>
              </w:rPr>
            </w:pPr>
          </w:p>
        </w:tc>
        <w:tc>
          <w:tcPr>
            <w:tcW w:w="220" w:type="dxa"/>
            <w:vAlign w:val="bottom"/>
            <w:tcBorders>
              <w:top w:val="single" w:sz="8" w:color="CFF0FC"/>
              <w:bottom w:val="single" w:sz="8" w:color="CFF0FC"/>
            </w:tcBorders>
            <w:shd w:val="clear" w:color="auto" w:fill="CFF0FC"/>
          </w:tcPr>
          <w:p>
            <w:pPr>
              <w:spacing w:after="0"/>
              <w:rPr>
                <w:sz w:val="11"/>
                <w:szCs w:val="11"/>
                <w:color w:val="auto"/>
              </w:rPr>
            </w:pPr>
          </w:p>
        </w:tc>
        <w:tc>
          <w:tcPr>
            <w:tcW w:w="40" w:type="dxa"/>
            <w:vAlign w:val="bottom"/>
            <w:tcBorders>
              <w:top w:val="single" w:sz="8" w:color="CFF0FC"/>
              <w:bottom w:val="single" w:sz="8" w:color="CFF0FC"/>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100.0</w:t>
            </w:r>
          </w:p>
        </w:tc>
        <w:tc>
          <w:tcPr>
            <w:tcW w:w="80" w:type="dxa"/>
            <w:vAlign w:val="bottom"/>
            <w:tcBorders>
              <w:top w:val="single" w:sz="8" w:color="CFF0FC"/>
              <w:bottom w:val="single" w:sz="8" w:color="CFF0FC"/>
            </w:tcBorders>
            <w:shd w:val="clear" w:color="auto" w:fill="CFF0FC"/>
          </w:tcPr>
          <w:p>
            <w:pPr>
              <w:spacing w:after="0"/>
              <w:rPr>
                <w:sz w:val="11"/>
                <w:szCs w:val="11"/>
                <w:color w:val="auto"/>
              </w:rPr>
            </w:pPr>
          </w:p>
        </w:tc>
        <w:tc>
          <w:tcPr>
            <w:tcW w:w="260" w:type="dxa"/>
            <w:vAlign w:val="bottom"/>
            <w:tcBorders>
              <w:top w:val="single" w:sz="8" w:color="CFF0FC"/>
              <w:bottom w:val="single" w:sz="8" w:color="CFF0FC"/>
            </w:tcBorders>
            <w:shd w:val="clear" w:color="auto" w:fill="CFF0FC"/>
          </w:tcPr>
          <w:p>
            <w:pPr>
              <w:jc w:val="right"/>
              <w:ind w:right="82"/>
              <w:spacing w:after="0" w:line="123" w:lineRule="exact"/>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both"/>
        <w:ind w:left="380" w:hanging="372"/>
        <w:spacing w:after="0" w:line="233" w:lineRule="auto"/>
        <w:tabs>
          <w:tab w:leader="none" w:pos="38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2"/>
          <w:szCs w:val="12"/>
          <w:color w:val="auto"/>
        </w:rPr>
      </w:pPr>
    </w:p>
    <w:p>
      <w:pPr>
        <w:ind w:left="380" w:hanging="372"/>
        <w:spacing w:after="0"/>
        <w:tabs>
          <w:tab w:leader="none" w:pos="38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Valued based on PSSL’s accounting policy.</w:t>
      </w:r>
    </w:p>
    <w:p>
      <w:pPr>
        <w:spacing w:after="0" w:line="28" w:lineRule="exact"/>
        <w:rPr>
          <w:rFonts w:ascii="Arial" w:cs="Arial" w:eastAsia="Arial" w:hAnsi="Arial"/>
          <w:sz w:val="12"/>
          <w:szCs w:val="12"/>
          <w:color w:val="auto"/>
        </w:rPr>
      </w:pPr>
    </w:p>
    <w:p>
      <w:pPr>
        <w:ind w:left="380" w:hanging="372"/>
        <w:spacing w:after="0"/>
        <w:tabs>
          <w:tab w:leader="none" w:pos="38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Non-U.S. company or principal place of business outside the United States.</w:t>
      </w:r>
    </w:p>
    <w:p>
      <w:pPr>
        <w:spacing w:after="0" w:line="28" w:lineRule="exact"/>
        <w:rPr>
          <w:rFonts w:ascii="Arial" w:cs="Arial" w:eastAsia="Arial" w:hAnsi="Arial"/>
          <w:sz w:val="12"/>
          <w:szCs w:val="12"/>
          <w:color w:val="auto"/>
        </w:rPr>
      </w:pPr>
    </w:p>
    <w:p>
      <w:pPr>
        <w:ind w:left="380" w:hanging="372"/>
        <w:spacing w:after="0"/>
        <w:tabs>
          <w:tab w:leader="none" w:pos="38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Par amount is denominated in Australian Dollars (A$) or in Canadian Dollars (C$) as denoted.</w:t>
      </w:r>
    </w:p>
    <w:p>
      <w:pPr>
        <w:spacing w:after="0" w:line="28" w:lineRule="exact"/>
        <w:rPr>
          <w:rFonts w:ascii="Arial" w:cs="Arial" w:eastAsia="Arial" w:hAnsi="Arial"/>
          <w:sz w:val="12"/>
          <w:szCs w:val="12"/>
          <w:color w:val="auto"/>
        </w:rPr>
      </w:pPr>
    </w:p>
    <w:p>
      <w:pPr>
        <w:ind w:left="380" w:hanging="372"/>
        <w:spacing w:after="0" w:line="253" w:lineRule="auto"/>
        <w:tabs>
          <w:tab w:leader="none" w:pos="38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Represents the purchase of a security with a delayed settlement or a revolving line of credit that is currently an unfunded investment. This security does not earn a basis point spread above an index while it is unfunded.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-974725</wp:posOffset>
            </wp:positionV>
            <wp:extent cx="19202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56" w:lineRule="exact"/>
        <w:rPr>
          <w:sz w:val="20"/>
          <w:szCs w:val="20"/>
          <w:color w:val="auto"/>
        </w:rPr>
      </w:pPr>
    </w:p>
    <w:p>
      <w:pPr>
        <w:jc w:val="both"/>
        <w:ind w:firstLine="462"/>
        <w:spacing w:after="0" w:line="259" w:lineRule="auto"/>
        <w:rPr>
          <w:sz w:val="20"/>
          <w:szCs w:val="20"/>
          <w:color w:val="auto"/>
        </w:rPr>
      </w:pPr>
      <w:r>
        <w:rPr>
          <w:rFonts w:ascii="Arial" w:cs="Arial" w:eastAsia="Arial" w:hAnsi="Arial"/>
          <w:sz w:val="18"/>
          <w:szCs w:val="18"/>
          <w:color w:val="auto"/>
        </w:rPr>
        <w:t>PennantPark Senior Secured Loan Fund I LLC, or PSSL, is organized as a Delaware limited liability company and commenced operations in May 2017. In this report, except where the context suggests otherwise, the terms “Company,” “we,” “our,” or “us” refer to PSSL and its subsidiary. PSSL is a joint venture between PennantPark Floating Rate Capital Ltd., or PFLT, and a subsidiary of Kemper Corporation (NYSE: KMPR), Trinity Universal Insurance Company, or Kemper.</w:t>
      </w:r>
    </w:p>
    <w:p>
      <w:pPr>
        <w:spacing w:after="0" w:line="214" w:lineRule="exact"/>
        <w:rPr>
          <w:sz w:val="20"/>
          <w:szCs w:val="20"/>
          <w:color w:val="auto"/>
        </w:rPr>
      </w:pPr>
    </w:p>
    <w:p>
      <w:pPr>
        <w:jc w:val="both"/>
        <w:ind w:firstLine="462"/>
        <w:spacing w:after="0" w:line="279" w:lineRule="auto"/>
        <w:rPr>
          <w:sz w:val="20"/>
          <w:szCs w:val="20"/>
          <w:color w:val="auto"/>
        </w:rPr>
      </w:pPr>
      <w:r>
        <w:rPr>
          <w:rFonts w:ascii="Arial" w:cs="Arial" w:eastAsia="Arial" w:hAnsi="Arial"/>
          <w:sz w:val="17"/>
          <w:szCs w:val="17"/>
          <w:color w:val="auto"/>
        </w:rPr>
        <w:t>Our investment objectives are to generate current income and capital appreciation while seeking to preserve capital. We seek to achieve our investment objective by investing primarily in loans bearing a variable-rate of interest, or Floating Rate Loans, and other investments made to U.S. middle-market companies whose debt is rated below investment grade. Floating Rate Loans pay interest at variable rates, which are determined periodically, on the basis of a floating base lending rate such as London Interbank Offered Rate, or LIBOR, with or without a floor, plus a fixed spread.</w:t>
      </w:r>
    </w:p>
    <w:p>
      <w:pPr>
        <w:spacing w:after="0" w:line="198" w:lineRule="exact"/>
        <w:rPr>
          <w:sz w:val="20"/>
          <w:szCs w:val="20"/>
          <w:color w:val="auto"/>
        </w:rPr>
      </w:pPr>
    </w:p>
    <w:p>
      <w:pPr>
        <w:jc w:val="both"/>
        <w:ind w:firstLine="462"/>
        <w:spacing w:after="0" w:line="257" w:lineRule="auto"/>
        <w:rPr>
          <w:sz w:val="20"/>
          <w:szCs w:val="20"/>
          <w:color w:val="auto"/>
        </w:rPr>
      </w:pPr>
      <w:r>
        <w:rPr>
          <w:rFonts w:ascii="Arial" w:cs="Arial" w:eastAsia="Arial" w:hAnsi="Arial"/>
          <w:sz w:val="18"/>
          <w:szCs w:val="18"/>
          <w:color w:val="auto"/>
        </w:rPr>
        <w:t>PFLT and Kemper, as members of PSSL, or the Members, provide capital to PSSL in the form of notes and equity interests. As of September 30, 2020 and 2019, PFLT and Kemper owned 87.5% and 12.5%, respectively, of each of the outstanding notes and equity interests. The administrative agent of the Company is PennantPark Investment Administration, LLC, or the Administrative Agent. The Bank of New York Mellon Corporation, or the Sub-Administrator, provides certain services to the Administrative Agent with respect to certain accounting matters and has the responsibility for the official books and records.</w:t>
      </w:r>
    </w:p>
    <w:p>
      <w:pPr>
        <w:spacing w:after="0" w:line="215" w:lineRule="exact"/>
        <w:rPr>
          <w:sz w:val="20"/>
          <w:szCs w:val="20"/>
          <w:color w:val="auto"/>
        </w:rPr>
      </w:pPr>
    </w:p>
    <w:p>
      <w:pPr>
        <w:jc w:val="both"/>
        <w:ind w:firstLine="462"/>
        <w:spacing w:after="0" w:line="272" w:lineRule="auto"/>
        <w:rPr>
          <w:sz w:val="20"/>
          <w:szCs w:val="20"/>
          <w:color w:val="auto"/>
        </w:rPr>
      </w:pPr>
      <w:r>
        <w:rPr>
          <w:rFonts w:ascii="Arial" w:cs="Arial" w:eastAsia="Arial" w:hAnsi="Arial"/>
          <w:sz w:val="17"/>
          <w:szCs w:val="17"/>
          <w:color w:val="auto"/>
        </w:rPr>
        <w:t>PFLT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of the members;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of the Members.</w:t>
      </w:r>
    </w:p>
    <w:p>
      <w:pPr>
        <w:spacing w:after="0" w:line="204" w:lineRule="exact"/>
        <w:rPr>
          <w:sz w:val="20"/>
          <w:szCs w:val="20"/>
          <w:color w:val="auto"/>
        </w:rPr>
      </w:pPr>
    </w:p>
    <w:p>
      <w:pPr>
        <w:jc w:val="both"/>
        <w:ind w:firstLine="462"/>
        <w:spacing w:after="0" w:line="263" w:lineRule="auto"/>
        <w:rPr>
          <w:sz w:val="20"/>
          <w:szCs w:val="20"/>
          <w:color w:val="auto"/>
        </w:rPr>
      </w:pPr>
      <w:r>
        <w:rPr>
          <w:rFonts w:ascii="Arial" w:cs="Arial" w:eastAsia="Arial" w:hAnsi="Arial"/>
          <w:sz w:val="18"/>
          <w:szCs w:val="18"/>
          <w:color w:val="auto"/>
        </w:rPr>
        <w:t>In May of 2017, PSSL entered into a multi-currency senior secured revolving credit facility, or the Credit Facility, with Capital One, N.A. through its wholly-owned subsidiary PennantPark Senior Secured Loan Facility LLC, or PSSL Subsidiary. The $325 million Credit Facility has a maturity date of May 2, 2023 and is priced at 2.25% over LIBOR.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56" w:lineRule="exact"/>
        <w:rPr>
          <w:sz w:val="20"/>
          <w:szCs w:val="20"/>
          <w:color w:val="auto"/>
        </w:rPr>
      </w:pPr>
    </w:p>
    <w:p>
      <w:pPr>
        <w:jc w:val="both"/>
        <w:ind w:firstLine="462"/>
        <w:spacing w:after="0" w:line="289" w:lineRule="auto"/>
        <w:rPr>
          <w:sz w:val="20"/>
          <w:szCs w:val="20"/>
          <w:color w:val="auto"/>
        </w:rPr>
      </w:pPr>
      <w:r>
        <w:rPr>
          <w:rFonts w:ascii="Arial" w:cs="Arial" w:eastAsia="Arial" w:hAnsi="Arial"/>
          <w:sz w:val="16"/>
          <w:szCs w:val="16"/>
          <w:color w:val="auto"/>
        </w:rPr>
        <w:t>PSSL is considered an investment company under U.S. generally accepted accounting principles, or GAAP, and follows the accounting and reporting guidance applicable to investment companies in the Financial Accounting Standards Board Accounting Standards Codification Topic 946. References to the Accounting Standards Codification, as amended, or ASC, serve as a source of accounting literature. Subsequent events are evaluated and recognized or disclosed as appropriate for events occurring through the date the consolidated financial statements are available to be issued. The preparation of our consolidated financial statements in conformity with GAAP requires the Members to make estimates and assumptions that affect the reported amount of our assets and liabilities at the date of the consolidated financial statements and the reported amounts of income and expenses during the reported periods. In the opinion of the Members,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have eliminated all intercompany balances and transactions.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252" w:lineRule="exact"/>
        <w:rPr>
          <w:sz w:val="20"/>
          <w:szCs w:val="20"/>
          <w:color w:val="auto"/>
        </w:rPr>
      </w:pPr>
    </w:p>
    <w:p>
      <w:pPr>
        <w:jc w:val="both"/>
        <w:ind w:firstLine="462"/>
        <w:spacing w:after="0" w:line="257" w:lineRule="auto"/>
        <w:rPr>
          <w:sz w:val="20"/>
          <w:szCs w:val="20"/>
          <w:color w:val="auto"/>
        </w:rPr>
      </w:pPr>
      <w:r>
        <w:rPr>
          <w:rFonts w:ascii="Arial" w:cs="Arial" w:eastAsia="Arial" w:hAnsi="Arial"/>
          <w:sz w:val="18"/>
          <w:szCs w:val="18"/>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consider in pricing our investments at fair value include, as relevant, the nature and realizable value of any collateral, the portfolio company’s ability to make payments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 (Continued)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in determining our valuation. Due to the inherent uncertainty of</w:t>
      </w:r>
    </w:p>
    <w:p>
      <w:pPr>
        <w:spacing w:after="0" w:line="211" w:lineRule="exact"/>
        <w:rPr>
          <w:sz w:val="20"/>
          <w:szCs w:val="20"/>
          <w:color w:val="auto"/>
        </w:rPr>
      </w:pPr>
    </w:p>
    <w:p>
      <w:pPr>
        <w:jc w:val="both"/>
        <w:ind w:firstLine="462"/>
        <w:spacing w:after="0" w:line="277" w:lineRule="auto"/>
        <w:rPr>
          <w:sz w:val="20"/>
          <w:szCs w:val="20"/>
          <w:color w:val="auto"/>
        </w:rPr>
      </w:pPr>
      <w:r>
        <w:rPr>
          <w:rFonts w:ascii="Arial" w:cs="Arial" w:eastAsia="Arial" w:hAnsi="Arial"/>
          <w:sz w:val="18"/>
          <w:szCs w:val="18"/>
          <w:color w:val="auto"/>
        </w:rPr>
        <w:t>determining the fair value of investments that do not have a readily available market value, the price used in an actual transaction may be different than our valuation and the difference may be material. See Note 4.</w:t>
      </w:r>
    </w:p>
    <w:p>
      <w:pPr>
        <w:spacing w:after="0" w:line="197" w:lineRule="exact"/>
        <w:rPr>
          <w:sz w:val="20"/>
          <w:szCs w:val="20"/>
          <w:color w:val="auto"/>
        </w:rPr>
      </w:pPr>
    </w:p>
    <w:p>
      <w:pPr>
        <w:jc w:val="both"/>
        <w:ind w:firstLine="462"/>
        <w:spacing w:after="0" w:line="263" w:lineRule="auto"/>
        <w:rPr>
          <w:sz w:val="20"/>
          <w:szCs w:val="20"/>
          <w:color w:val="auto"/>
        </w:rPr>
      </w:pPr>
      <w:r>
        <w:rPr>
          <w:rFonts w:ascii="Arial" w:cs="Arial" w:eastAsia="Arial" w:hAnsi="Arial"/>
          <w:sz w:val="18"/>
          <w:szCs w:val="18"/>
          <w:color w:val="auto"/>
        </w:rPr>
        <w:t>Our portfolio generally consists of illiquid securities, including debt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84" w:lineRule="exact"/>
        <w:rPr>
          <w:sz w:val="20"/>
          <w:szCs w:val="20"/>
          <w:color w:val="auto"/>
        </w:rPr>
      </w:pPr>
    </w:p>
    <w:p>
      <w:pPr>
        <w:ind w:left="960" w:hanging="372"/>
        <w:spacing w:after="0" w:line="308" w:lineRule="auto"/>
        <w:tabs>
          <w:tab w:leader="none" w:pos="9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Our quarterly valuation process begins with each portfolio company or investment being initially valued by the investment professionals of PennantPark Investment Advisers, LLC, the investment adviser to PFLT, responsible for the portfolio investment;</w:t>
      </w:r>
    </w:p>
    <w:p>
      <w:pPr>
        <w:spacing w:after="0" w:line="173" w:lineRule="exact"/>
        <w:rPr>
          <w:rFonts w:ascii="Arial" w:cs="Arial" w:eastAsia="Arial" w:hAnsi="Arial"/>
          <w:sz w:val="17"/>
          <w:szCs w:val="17"/>
          <w:color w:val="auto"/>
        </w:rPr>
      </w:pPr>
    </w:p>
    <w:p>
      <w:pPr>
        <w:ind w:left="960" w:hanging="372"/>
        <w:spacing w:after="0"/>
        <w:tabs>
          <w:tab w:leader="none" w:pos="9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the management of PennantPark Investment Advisers, LLC;</w:t>
      </w:r>
    </w:p>
    <w:p>
      <w:pPr>
        <w:spacing w:after="0" w:line="263" w:lineRule="exact"/>
        <w:rPr>
          <w:rFonts w:ascii="Arial" w:cs="Arial" w:eastAsia="Arial" w:hAnsi="Arial"/>
          <w:sz w:val="17"/>
          <w:szCs w:val="17"/>
          <w:color w:val="auto"/>
        </w:rPr>
      </w:pPr>
    </w:p>
    <w:p>
      <w:pPr>
        <w:jc w:val="both"/>
        <w:ind w:left="960" w:hanging="372"/>
        <w:spacing w:after="0" w:line="279" w:lineRule="auto"/>
        <w:tabs>
          <w:tab w:leader="none" w:pos="9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PennantPark Investment Advisers, LLC’s preliminary valuations in light of their own independent assessment and also in light of any market quotations obtained from an independent pricing service, broker, dealer or market maker;</w:t>
      </w:r>
    </w:p>
    <w:p>
      <w:pPr>
        <w:spacing w:after="0" w:line="198" w:lineRule="exact"/>
        <w:rPr>
          <w:rFonts w:ascii="Arial" w:cs="Arial" w:eastAsia="Arial" w:hAnsi="Arial"/>
          <w:sz w:val="17"/>
          <w:szCs w:val="17"/>
          <w:color w:val="auto"/>
        </w:rPr>
      </w:pPr>
    </w:p>
    <w:p>
      <w:pPr>
        <w:jc w:val="both"/>
        <w:ind w:left="960" w:hanging="372"/>
        <w:spacing w:after="0" w:line="263" w:lineRule="auto"/>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Our board of directors reviews the preliminary valuations of PennantPark Investment Advisers, LLC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210" w:lineRule="exact"/>
        <w:rPr>
          <w:rFonts w:ascii="Arial" w:cs="Arial" w:eastAsia="Arial" w:hAnsi="Arial"/>
          <w:sz w:val="18"/>
          <w:szCs w:val="18"/>
          <w:color w:val="auto"/>
        </w:rPr>
      </w:pPr>
    </w:p>
    <w:p>
      <w:pPr>
        <w:ind w:left="960" w:right="20" w:hanging="372"/>
        <w:spacing w:after="0" w:line="277" w:lineRule="auto"/>
        <w:tabs>
          <w:tab w:leader="none" w:pos="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Our board of directors assesses these valuations and determines the fair value of each investment in our portfolio in good faith, based on the input of PennantPark Investment Advisers, LLC and the respective independent valuation firms.</w:t>
      </w:r>
    </w:p>
    <w:p>
      <w:pPr>
        <w:spacing w:after="0" w:line="197" w:lineRule="exact"/>
        <w:rPr>
          <w:sz w:val="20"/>
          <w:szCs w:val="20"/>
          <w:color w:val="auto"/>
        </w:rPr>
      </w:pPr>
    </w:p>
    <w:p>
      <w:pPr>
        <w:jc w:val="both"/>
        <w:ind w:firstLine="462"/>
        <w:spacing w:after="0" w:line="255"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PennantPark Investment Advisers, LLC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252" w:lineRule="exact"/>
        <w:rPr>
          <w:sz w:val="20"/>
          <w:szCs w:val="20"/>
          <w:color w:val="auto"/>
        </w:rPr>
      </w:pPr>
    </w:p>
    <w:p>
      <w:pPr>
        <w:jc w:val="both"/>
        <w:ind w:firstLine="462"/>
        <w:spacing w:after="0" w:line="275" w:lineRule="auto"/>
        <w:rPr>
          <w:sz w:val="20"/>
          <w:szCs w:val="20"/>
          <w:color w:val="auto"/>
        </w:rPr>
      </w:pPr>
      <w:r>
        <w:rPr>
          <w:rFonts w:ascii="Arial" w:cs="Arial" w:eastAsia="Arial" w:hAnsi="Arial"/>
          <w:sz w:val="17"/>
          <w:szCs w:val="17"/>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and foreign currency translations on our Credit Facility during the reporting period, including any reversal of previously recorded unrealized appreciation or depreciation, when gains or losses are realized.</w:t>
      </w:r>
    </w:p>
    <w:p>
      <w:pPr>
        <w:spacing w:after="0" w:line="203" w:lineRule="exact"/>
        <w:rPr>
          <w:sz w:val="20"/>
          <w:szCs w:val="20"/>
          <w:color w:val="auto"/>
        </w:rPr>
      </w:pPr>
    </w:p>
    <w:p>
      <w:pPr>
        <w:jc w:val="both"/>
        <w:ind w:firstLine="462"/>
        <w:spacing w:after="0" w:line="293"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 (Continued)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211" w:lineRule="exact"/>
        <w:rPr>
          <w:sz w:val="20"/>
          <w:szCs w:val="20"/>
          <w:color w:val="auto"/>
        </w:rPr>
      </w:pPr>
    </w:p>
    <w:p>
      <w:pPr>
        <w:jc w:val="both"/>
        <w:ind w:firstLine="462"/>
        <w:spacing w:after="0" w:line="257" w:lineRule="auto"/>
        <w:rPr>
          <w:sz w:val="20"/>
          <w:szCs w:val="20"/>
          <w:color w:val="auto"/>
        </w:rPr>
      </w:pPr>
      <w:r>
        <w:rPr>
          <w:rFonts w:ascii="Arial" w:cs="Arial" w:eastAsia="Arial" w:hAnsi="Arial"/>
          <w:sz w:val="18"/>
          <w:szCs w:val="18"/>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the Members’ judgment. Non-accrual loans are restored to accrual status when past due principal and interest is paid and, in the Members’ judgment, are likely to remain current. There were no loans on non-accrual status as of September 30, 2020 and 2019</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Income Taxes</w:t>
      </w:r>
    </w:p>
    <w:p>
      <w:pPr>
        <w:spacing w:after="0" w:line="252" w:lineRule="exact"/>
        <w:rPr>
          <w:sz w:val="20"/>
          <w:szCs w:val="20"/>
          <w:color w:val="auto"/>
        </w:rPr>
      </w:pPr>
    </w:p>
    <w:p>
      <w:pPr>
        <w:jc w:val="both"/>
        <w:ind w:right="20" w:firstLine="462"/>
        <w:spacing w:after="0" w:line="342" w:lineRule="auto"/>
        <w:rPr>
          <w:sz w:val="20"/>
          <w:szCs w:val="20"/>
          <w:color w:val="auto"/>
        </w:rPr>
      </w:pPr>
      <w:r>
        <w:rPr>
          <w:rFonts w:ascii="Arial" w:cs="Arial" w:eastAsia="Arial" w:hAnsi="Arial"/>
          <w:sz w:val="16"/>
          <w:szCs w:val="16"/>
          <w:color w:val="auto"/>
        </w:rPr>
        <w:t>PSSL is classified as a partnership for U.S. federal income tax purposes and is not subject to U.S. federal income tax. Accordingly, no provisions for U.S. income taxes have been made. The Members are responsible for reporting their share of the PSSL’s income or loss on their U.S. income tax returns.</w:t>
      </w:r>
    </w:p>
    <w:p>
      <w:pPr>
        <w:spacing w:after="0" w:line="151" w:lineRule="exact"/>
        <w:rPr>
          <w:sz w:val="20"/>
          <w:szCs w:val="20"/>
          <w:color w:val="auto"/>
        </w:rPr>
      </w:pPr>
    </w:p>
    <w:p>
      <w:pPr>
        <w:jc w:val="both"/>
        <w:ind w:firstLine="462"/>
        <w:spacing w:after="0" w:line="301" w:lineRule="auto"/>
        <w:rPr>
          <w:sz w:val="20"/>
          <w:szCs w:val="20"/>
          <w:color w:val="auto"/>
        </w:rPr>
      </w:pPr>
      <w:r>
        <w:rPr>
          <w:rFonts w:ascii="Arial" w:cs="Arial" w:eastAsia="Arial" w:hAnsi="Arial"/>
          <w:sz w:val="16"/>
          <w:szCs w:val="16"/>
          <w:color w:val="auto"/>
        </w:rPr>
        <w:t>In accordance with FASB ASC Topic 740, the board of directors is required to determine whether a tax position of the partnership is more likely than not, based on the technical merits of the position, to be sustained upon examination including resolution of any related appeals or litigation processes. The tax benefit to be recognized is measured as the largest amount of benefit that is greater than 50% likely of being realized upon ultimate settlement. De-recognition of a tax benefit previously recognized could result in the partnership recording a tax liability that would reduce members’ capital.</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and for the years ended September 30, 2020 and 2019 there were no material uncertain income tax positions.</w:t>
      </w:r>
    </w:p>
    <w:p>
      <w:pPr>
        <w:spacing w:after="0" w:line="200" w:lineRule="exact"/>
        <w:rPr>
          <w:sz w:val="20"/>
          <w:szCs w:val="20"/>
          <w:color w:val="auto"/>
        </w:rPr>
      </w:pP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 Foreign Currency Translation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264" w:lineRule="exact"/>
        <w:rPr>
          <w:sz w:val="20"/>
          <w:szCs w:val="20"/>
          <w:color w:val="auto"/>
        </w:rPr>
      </w:pPr>
    </w:p>
    <w:p>
      <w:pPr>
        <w:ind w:left="960" w:hanging="372"/>
        <w:spacing w:after="0"/>
        <w:tabs>
          <w:tab w:leader="none" w:pos="9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 – at the exchange rates prevailing at the end of the applicable period; and</w:t>
      </w:r>
    </w:p>
    <w:p>
      <w:pPr>
        <w:spacing w:after="0" w:line="263" w:lineRule="exact"/>
        <w:rPr>
          <w:rFonts w:ascii="Arial" w:cs="Arial" w:eastAsia="Arial" w:hAnsi="Arial"/>
          <w:sz w:val="17"/>
          <w:szCs w:val="17"/>
          <w:color w:val="auto"/>
        </w:rPr>
      </w:pPr>
    </w:p>
    <w:p>
      <w:pPr>
        <w:ind w:left="960" w:hanging="372"/>
        <w:spacing w:after="0"/>
        <w:tabs>
          <w:tab w:leader="none" w:pos="9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Purchases and sales of investment securities, income and expenses – at the exchange rates prevailing on the respective dates of such transactions.</w:t>
      </w:r>
    </w:p>
    <w:p>
      <w:pPr>
        <w:spacing w:after="0" w:line="287" w:lineRule="exact"/>
        <w:rPr>
          <w:sz w:val="20"/>
          <w:szCs w:val="20"/>
          <w:color w:val="auto"/>
        </w:rPr>
      </w:pPr>
    </w:p>
    <w:p>
      <w:pPr>
        <w:jc w:val="both"/>
        <w:ind w:firstLine="462"/>
        <w:spacing w:after="0" w:line="311"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held. Such fluctuations are included with the net realized and unrealized gain or loss from investments and liabilities.</w:t>
      </w:r>
    </w:p>
    <w:p>
      <w:pPr>
        <w:spacing w:after="0" w:line="176" w:lineRule="exact"/>
        <w:rPr>
          <w:sz w:val="20"/>
          <w:szCs w:val="20"/>
          <w:color w:val="auto"/>
        </w:rPr>
      </w:pPr>
    </w:p>
    <w:p>
      <w:pPr>
        <w:jc w:val="both"/>
        <w:ind w:firstLine="462"/>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Consolidation</w:t>
      </w:r>
    </w:p>
    <w:p>
      <w:pPr>
        <w:spacing w:after="0" w:line="252" w:lineRule="exact"/>
        <w:rPr>
          <w:sz w:val="20"/>
          <w:szCs w:val="20"/>
          <w:color w:val="auto"/>
        </w:rPr>
      </w:pPr>
    </w:p>
    <w:p>
      <w:pPr>
        <w:jc w:val="both"/>
        <w:ind w:firstLine="462"/>
        <w:spacing w:after="0" w:line="277" w:lineRule="auto"/>
        <w:rPr>
          <w:sz w:val="20"/>
          <w:szCs w:val="20"/>
          <w:color w:val="auto"/>
        </w:rPr>
      </w:pPr>
      <w:r>
        <w:rPr>
          <w:rFonts w:ascii="Arial" w:cs="Arial" w:eastAsia="Arial" w:hAnsi="Arial"/>
          <w:sz w:val="18"/>
          <w:szCs w:val="18"/>
          <w:color w:val="auto"/>
        </w:rPr>
        <w:t>As explained by ASC 946-810-45, PSSL will generally not consolidate its investment in a company other than an investment company subsidiary or a controlled operating company whose business consists of providing services to us.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 Recent Accounting Pronouncements</w:t>
      </w:r>
    </w:p>
    <w:p>
      <w:pPr>
        <w:spacing w:after="0" w:line="252" w:lineRule="exact"/>
        <w:rPr>
          <w:sz w:val="20"/>
          <w:szCs w:val="20"/>
          <w:color w:val="auto"/>
        </w:rPr>
      </w:pPr>
    </w:p>
    <w:p>
      <w:pPr>
        <w:jc w:val="both"/>
        <w:ind w:firstLine="462"/>
        <w:spacing w:after="0" w:line="277" w:lineRule="auto"/>
        <w:rPr>
          <w:sz w:val="20"/>
          <w:szCs w:val="20"/>
          <w:color w:val="auto"/>
        </w:rPr>
      </w:pPr>
      <w:r>
        <w:rPr>
          <w:rFonts w:ascii="Arial" w:cs="Arial" w:eastAsia="Arial" w:hAnsi="Arial"/>
          <w:sz w:val="18"/>
          <w:szCs w:val="18"/>
          <w:color w:val="auto"/>
        </w:rPr>
        <w:t>In August 2018, the FASB issued ASU 2018-13, which changed the fair value measurement disclosure requirements of ASC 820. The key provisions include new, eliminated and modified disclosure requirements. The new guidance is effective for fiscal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 (Continued)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years beginning after December 15, 2019, including interim periods therein. Early application is permitted. The Company has adopted this new accounting standard update and the impact of the adoption is not expected to be material.</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256" w:lineRule="exact"/>
        <w:rPr>
          <w:sz w:val="20"/>
          <w:szCs w:val="20"/>
          <w:color w:val="auto"/>
        </w:rPr>
      </w:pPr>
    </w:p>
    <w:p>
      <w:pPr>
        <w:jc w:val="both"/>
        <w:ind w:firstLine="462"/>
        <w:spacing w:after="0" w:line="279" w:lineRule="auto"/>
        <w:rPr>
          <w:sz w:val="20"/>
          <w:szCs w:val="20"/>
          <w:color w:val="auto"/>
        </w:rPr>
      </w:pPr>
      <w:r>
        <w:rPr>
          <w:rFonts w:ascii="Arial" w:cs="Arial" w:eastAsia="Arial" w:hAnsi="Arial"/>
          <w:sz w:val="17"/>
          <w:szCs w:val="17"/>
          <w:color w:val="auto"/>
        </w:rPr>
        <w:t>For the years ended September 30, 2020 and 2019, PSSL purchased $86.7 million and $89.6 million, respectively, in investments from PFLT. Additionally, for each of the years ended September 30, 2020 and 2019, PSSL incurred $1.2 million in administrative services to the Administrative Agent. The Administrative Agent provides administration services to PSSL. PSSL incurred $13.5 million and $14.2 million, in interest expense related to the notes outstanding with both PFLT and Kemper for the years ended September 30, 2020 and 2019, respectively.</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256" w:lineRule="exact"/>
        <w:rPr>
          <w:sz w:val="20"/>
          <w:szCs w:val="20"/>
          <w:color w:val="auto"/>
        </w:rPr>
      </w:pPr>
    </w:p>
    <w:p>
      <w:pPr>
        <w:jc w:val="both"/>
        <w:ind w:firstLine="462"/>
        <w:spacing w:after="0" w:line="254"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580"/>
        <w:spacing w:after="0"/>
        <w:tabs>
          <w:tab w:leader="none" w:pos="14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252" w:lineRule="exact"/>
        <w:rPr>
          <w:sz w:val="20"/>
          <w:szCs w:val="20"/>
          <w:color w:val="auto"/>
        </w:rPr>
      </w:pPr>
    </w:p>
    <w:p>
      <w:pPr>
        <w:jc w:val="both"/>
        <w:ind w:left="1440" w:hanging="850"/>
        <w:spacing w:after="0" w:line="263" w:lineRule="auto"/>
        <w:tabs>
          <w:tab w:leader="none" w:pos="1420" w:val="left"/>
        </w:tabs>
        <w:rPr>
          <w:sz w:val="20"/>
          <w:szCs w:val="20"/>
          <w:color w:val="auto"/>
        </w:rPr>
      </w:pPr>
      <w:r>
        <w:rPr>
          <w:rFonts w:ascii="Arial" w:cs="Arial" w:eastAsia="Arial" w:hAnsi="Arial"/>
          <w:sz w:val="18"/>
          <w:szCs w:val="18"/>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211" w:lineRule="exact"/>
        <w:rPr>
          <w:sz w:val="20"/>
          <w:szCs w:val="20"/>
          <w:color w:val="auto"/>
        </w:rPr>
      </w:pPr>
    </w:p>
    <w:p>
      <w:pPr>
        <w:jc w:val="both"/>
        <w:ind w:left="1440" w:hanging="850"/>
        <w:spacing w:after="0" w:line="277" w:lineRule="auto"/>
        <w:tabs>
          <w:tab w:leader="none" w:pos="142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97" w:lineRule="exact"/>
        <w:rPr>
          <w:sz w:val="20"/>
          <w:szCs w:val="20"/>
          <w:color w:val="auto"/>
        </w:rPr>
      </w:pPr>
    </w:p>
    <w:p>
      <w:pPr>
        <w:jc w:val="both"/>
        <w:ind w:firstLine="462"/>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14" w:lineRule="exact"/>
        <w:rPr>
          <w:sz w:val="20"/>
          <w:szCs w:val="20"/>
          <w:color w:val="auto"/>
        </w:rPr>
      </w:pPr>
    </w:p>
    <w:p>
      <w:pPr>
        <w:jc w:val="both"/>
        <w:ind w:firstLine="462"/>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205" w:lineRule="exact"/>
        <w:rPr>
          <w:sz w:val="20"/>
          <w:szCs w:val="20"/>
          <w:color w:val="auto"/>
        </w:rPr>
      </w:pPr>
    </w:p>
    <w:p>
      <w:pPr>
        <w:jc w:val="both"/>
        <w:ind w:firstLine="462"/>
        <w:spacing w:after="0" w:line="255" w:lineRule="auto"/>
        <w:rPr>
          <w:sz w:val="20"/>
          <w:szCs w:val="20"/>
          <w:color w:val="auto"/>
        </w:rPr>
      </w:pPr>
      <w:r>
        <w:rPr>
          <w:rFonts w:ascii="Arial" w:cs="Arial" w:eastAsia="Arial" w:hAnsi="Arial"/>
          <w:sz w:val="18"/>
          <w:szCs w:val="18"/>
          <w:color w:val="auto"/>
        </w:rPr>
        <w:t>Our investments are generally structured as debt in the form of first lien secured debt, but may also include second lien secured debt, subordinated debt and equity investments. The transaction price, excluding transaction costs, is typically the best estimate of fair value at inception. Ongoing reviews by the Members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 (Continued)</w:t>
      </w:r>
    </w:p>
    <w:p>
      <w:pPr>
        <w:spacing w:after="0" w:line="200" w:lineRule="exact"/>
        <w:rPr>
          <w:sz w:val="20"/>
          <w:szCs w:val="20"/>
          <w:color w:val="auto"/>
        </w:rPr>
      </w:pPr>
    </w:p>
    <w:p>
      <w:pPr>
        <w:spacing w:after="0" w:line="240" w:lineRule="exact"/>
        <w:rPr>
          <w:sz w:val="20"/>
          <w:szCs w:val="20"/>
          <w:color w:val="auto"/>
        </w:rPr>
      </w:pPr>
    </w:p>
    <w:p>
      <w:pPr>
        <w:jc w:val="both"/>
        <w:ind w:firstLine="462"/>
        <w:spacing w:after="0" w:line="277"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w:t>
      </w:r>
    </w:p>
    <w:p>
      <w:pPr>
        <w:spacing w:after="0" w:line="197" w:lineRule="exact"/>
        <w:rPr>
          <w:sz w:val="20"/>
          <w:szCs w:val="20"/>
          <w:color w:val="auto"/>
        </w:rPr>
      </w:pPr>
    </w:p>
    <w:p>
      <w:pPr>
        <w:jc w:val="both"/>
        <w:ind w:firstLine="462"/>
        <w:spacing w:after="0" w:line="263" w:lineRule="auto"/>
        <w:rPr>
          <w:sz w:val="20"/>
          <w:szCs w:val="20"/>
          <w:color w:val="auto"/>
        </w:rPr>
      </w:pPr>
      <w:r>
        <w:rPr>
          <w:rFonts w:ascii="Arial" w:cs="Arial" w:eastAsia="Arial" w:hAnsi="Arial"/>
          <w:sz w:val="18"/>
          <w:szCs w:val="18"/>
          <w:color w:val="auto"/>
        </w:rPr>
        <w:t>In addition to using the above inputs in valuing cash equivalents and investments,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211" w:lineRule="exact"/>
        <w:rPr>
          <w:sz w:val="20"/>
          <w:szCs w:val="20"/>
          <w:color w:val="auto"/>
        </w:rPr>
      </w:pPr>
    </w:p>
    <w:p>
      <w:pPr>
        <w:jc w:val="both"/>
        <w:ind w:firstLine="462"/>
        <w:spacing w:after="0" w:line="275" w:lineRule="auto"/>
        <w:rPr>
          <w:sz w:val="20"/>
          <w:szCs w:val="20"/>
          <w:color w:val="auto"/>
        </w:rPr>
      </w:pPr>
      <w:r>
        <w:rPr>
          <w:rFonts w:ascii="Arial" w:cs="Arial" w:eastAsia="Arial" w:hAnsi="Arial"/>
          <w:sz w:val="17"/>
          <w:szCs w:val="17"/>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Members assess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03" w:lineRule="exact"/>
        <w:rPr>
          <w:sz w:val="20"/>
          <w:szCs w:val="20"/>
          <w:color w:val="auto"/>
        </w:rPr>
      </w:pPr>
    </w:p>
    <w:p>
      <w:pPr>
        <w:jc w:val="both"/>
        <w:ind w:firstLine="462"/>
        <w:spacing w:after="0" w:line="287" w:lineRule="auto"/>
        <w:rPr>
          <w:sz w:val="20"/>
          <w:szCs w:val="20"/>
          <w:color w:val="auto"/>
        </w:rPr>
      </w:pPr>
      <w:r>
        <w:rPr>
          <w:rFonts w:ascii="Arial" w:cs="Arial" w:eastAsia="Arial" w:hAnsi="Arial"/>
          <w:sz w:val="16"/>
          <w:szCs w:val="16"/>
          <w:color w:val="auto"/>
        </w:rPr>
        <w:t>The remainder of our portfolio is valued using a market comparable or an enterprise market value technique. With respect to investments for which there is no readily available market value, the factors that the board of directors may consider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Fair value at</w:t>
            </w: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Range of Input</w:t>
            </w:r>
          </w:p>
        </w:tc>
      </w:tr>
      <w:tr>
        <w:trPr>
          <w:trHeight w:val="234"/>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120" w:type="dxa"/>
            <w:vAlign w:val="bottom"/>
          </w:tcPr>
          <w:p>
            <w:pPr>
              <w:spacing w:after="0"/>
              <w:rPr>
                <w:sz w:val="20"/>
                <w:szCs w:val="20"/>
                <w:color w:val="auto"/>
              </w:rPr>
            </w:pPr>
          </w:p>
        </w:tc>
        <w:tc>
          <w:tcPr>
            <w:tcW w:w="16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September 30, 2020</w:t>
            </w:r>
          </w:p>
        </w:tc>
        <w:tc>
          <w:tcPr>
            <w:tcW w:w="140" w:type="dxa"/>
            <w:vAlign w:val="bottom"/>
          </w:tcPr>
          <w:p>
            <w:pPr>
              <w:spacing w:after="0"/>
              <w:rPr>
                <w:sz w:val="20"/>
                <w:szCs w:val="20"/>
                <w:color w:val="auto"/>
              </w:rPr>
            </w:pPr>
          </w:p>
        </w:tc>
        <w:tc>
          <w:tcPr>
            <w:tcW w:w="2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Valuation Technique</w:t>
            </w:r>
          </w:p>
        </w:tc>
        <w:tc>
          <w:tcPr>
            <w:tcW w:w="2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Unobservable Input</w:t>
            </w:r>
          </w:p>
        </w:tc>
        <w:tc>
          <w:tcPr>
            <w:tcW w:w="23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 xml:space="preserve">(Weighted Average) </w:t>
            </w:r>
            <w:r>
              <w:rPr>
                <w:rFonts w:ascii="Arial" w:cs="Arial" w:eastAsia="Arial" w:hAnsi="Arial"/>
                <w:sz w:val="15"/>
                <w:szCs w:val="15"/>
                <w:b w:val="1"/>
                <w:bCs w:val="1"/>
                <w:color w:val="auto"/>
                <w:w w:val="90"/>
              </w:rPr>
              <w:t>(1)</w:t>
            </w:r>
          </w:p>
        </w:tc>
      </w:tr>
      <w:tr>
        <w:trPr>
          <w:trHeight w:val="223"/>
        </w:trPr>
        <w:tc>
          <w:tcPr>
            <w:tcW w:w="2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First lien</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72,312,542</w:t>
            </w:r>
          </w:p>
        </w:tc>
        <w:tc>
          <w:tcPr>
            <w:tcW w:w="14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Market Comparable</w:t>
            </w:r>
          </w:p>
        </w:tc>
        <w:tc>
          <w:tcPr>
            <w:tcW w:w="80" w:type="dxa"/>
            <w:vAlign w:val="bottom"/>
            <w:tcBorders>
              <w:top w:val="single" w:sz="8" w:color="CFF0FC"/>
            </w:tcBorders>
            <w:shd w:val="clear" w:color="auto" w:fill="CFF0FC"/>
          </w:tcPr>
          <w:p>
            <w:pPr>
              <w:spacing w:after="0"/>
              <w:rPr>
                <w:sz w:val="19"/>
                <w:szCs w:val="19"/>
                <w:color w:val="auto"/>
              </w:rPr>
            </w:pPr>
          </w:p>
        </w:tc>
        <w:tc>
          <w:tcPr>
            <w:tcW w:w="2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Broker/Dealer bids or quotes</w:t>
            </w:r>
          </w:p>
        </w:tc>
        <w:tc>
          <w:tcPr>
            <w:tcW w:w="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center"/>
              <w:ind w:right="650"/>
              <w:spacing w:after="0"/>
              <w:rPr>
                <w:sz w:val="20"/>
                <w:szCs w:val="20"/>
                <w:color w:val="auto"/>
              </w:rPr>
            </w:pPr>
            <w:r>
              <w:rPr>
                <w:rFonts w:ascii="Arial" w:cs="Arial" w:eastAsia="Arial" w:hAnsi="Arial"/>
                <w:sz w:val="18"/>
                <w:szCs w:val="18"/>
                <w:color w:val="auto"/>
                <w:w w:val="99"/>
              </w:rPr>
              <w:t>N/A</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14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2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309,986,608</w:t>
            </w:r>
          </w:p>
        </w:tc>
        <w:tc>
          <w:tcPr>
            <w:tcW w:w="140" w:type="dxa"/>
            <w:vAlign w:val="bottom"/>
          </w:tcPr>
          <w:p>
            <w:pPr>
              <w:spacing w:after="0"/>
              <w:rPr>
                <w:sz w:val="19"/>
                <w:szCs w:val="19"/>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Market Comparable</w:t>
            </w:r>
          </w:p>
        </w:tc>
        <w:tc>
          <w:tcPr>
            <w:tcW w:w="27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Market Yield</w:t>
            </w: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 16.9% (8.1%)</w:t>
            </w:r>
          </w:p>
        </w:tc>
      </w:tr>
      <w:tr>
        <w:trPr>
          <w:trHeight w:val="229"/>
        </w:trPr>
        <w:tc>
          <w:tcPr>
            <w:tcW w:w="2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Lien</w:t>
            </w: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8,883,272</w:t>
            </w:r>
          </w:p>
        </w:tc>
        <w:tc>
          <w:tcPr>
            <w:tcW w:w="14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1"/>
              </w:rPr>
              <w:t>Market Comparable</w:t>
            </w:r>
          </w:p>
        </w:tc>
        <w:tc>
          <w:tcPr>
            <w:tcW w:w="274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3"/>
              </w:rPr>
              <w:t>Market Yield</w:t>
            </w:r>
          </w:p>
        </w:tc>
        <w:tc>
          <w:tcPr>
            <w:tcW w:w="22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9.5% (8.5%)</w:t>
            </w:r>
          </w:p>
        </w:tc>
        <w:tc>
          <w:tcPr>
            <w:tcW w:w="60" w:type="dxa"/>
            <w:vAlign w:val="bottom"/>
            <w:shd w:val="clear" w:color="auto" w:fill="CFF0FC"/>
          </w:tcPr>
          <w:p>
            <w:pPr>
              <w:spacing w:after="0"/>
              <w:rPr>
                <w:sz w:val="19"/>
                <w:szCs w:val="19"/>
                <w:color w:val="auto"/>
              </w:rPr>
            </w:pPr>
          </w:p>
        </w:tc>
      </w:tr>
      <w:tr>
        <w:trPr>
          <w:trHeight w:val="230"/>
        </w:trPr>
        <w:tc>
          <w:tcPr>
            <w:tcW w:w="21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Equity</w:t>
            </w: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1,803,668</w:t>
            </w:r>
          </w:p>
        </w:tc>
        <w:tc>
          <w:tcPr>
            <w:tcW w:w="140" w:type="dxa"/>
            <w:vAlign w:val="bottom"/>
            <w:tcBorders>
              <w:bottom w:val="single" w:sz="8" w:color="CFF0FC"/>
            </w:tcBorders>
          </w:tcPr>
          <w:p>
            <w:pPr>
              <w:spacing w:after="0"/>
              <w:rPr>
                <w:sz w:val="19"/>
                <w:szCs w:val="19"/>
                <w:color w:val="auto"/>
              </w:rPr>
            </w:pPr>
          </w:p>
        </w:tc>
        <w:tc>
          <w:tcPr>
            <w:tcW w:w="2140" w:type="dxa"/>
            <w:vAlign w:val="bottom"/>
            <w:tcBorders>
              <w:bottom w:val="single" w:sz="8" w:color="CFF0FC"/>
            </w:tcBorders>
            <w:gridSpan w:val="2"/>
          </w:tcPr>
          <w:p>
            <w:pPr>
              <w:jc w:val="center"/>
              <w:ind w:right="100"/>
              <w:spacing w:after="0"/>
              <w:rPr>
                <w:sz w:val="20"/>
                <w:szCs w:val="20"/>
                <w:color w:val="auto"/>
              </w:rPr>
            </w:pPr>
            <w:r>
              <w:rPr>
                <w:rFonts w:ascii="Arial" w:cs="Arial" w:eastAsia="Arial" w:hAnsi="Arial"/>
                <w:sz w:val="18"/>
                <w:szCs w:val="18"/>
                <w:color w:val="auto"/>
                <w:w w:val="91"/>
              </w:rPr>
              <w:t>Enterprise Market Value</w:t>
            </w:r>
          </w:p>
        </w:tc>
        <w:tc>
          <w:tcPr>
            <w:tcW w:w="2740" w:type="dxa"/>
            <w:vAlign w:val="bottom"/>
            <w:tcBorders>
              <w:bottom w:val="single" w:sz="8" w:color="CFF0FC"/>
            </w:tcBorders>
            <w:gridSpan w:val="2"/>
          </w:tcPr>
          <w:p>
            <w:pPr>
              <w:jc w:val="center"/>
              <w:ind w:right="100"/>
              <w:spacing w:after="0"/>
              <w:rPr>
                <w:sz w:val="20"/>
                <w:szCs w:val="20"/>
                <w:color w:val="auto"/>
              </w:rPr>
            </w:pPr>
            <w:r>
              <w:rPr>
                <w:rFonts w:ascii="Arial" w:cs="Arial" w:eastAsia="Arial" w:hAnsi="Arial"/>
                <w:sz w:val="18"/>
                <w:szCs w:val="18"/>
                <w:color w:val="auto"/>
                <w:w w:val="99"/>
              </w:rPr>
              <w:t>EBITDA Multiple</w:t>
            </w:r>
          </w:p>
        </w:tc>
        <w:tc>
          <w:tcPr>
            <w:tcW w:w="72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jc w:val="center"/>
              <w:ind w:right="650"/>
              <w:spacing w:after="0"/>
              <w:rPr>
                <w:sz w:val="20"/>
                <w:szCs w:val="20"/>
                <w:color w:val="auto"/>
              </w:rPr>
            </w:pPr>
            <w:r>
              <w:rPr>
                <w:rFonts w:ascii="Arial" w:cs="Arial" w:eastAsia="Arial" w:hAnsi="Arial"/>
                <w:sz w:val="18"/>
                <w:szCs w:val="18"/>
                <w:color w:val="auto"/>
                <w:w w:val="90"/>
              </w:rPr>
              <w:t>9.50%</w:t>
            </w:r>
          </w:p>
        </w:tc>
        <w:tc>
          <w:tcPr>
            <w:tcW w:w="60" w:type="dxa"/>
            <w:vAlign w:val="bottom"/>
            <w:tcBorders>
              <w:bottom w:val="single" w:sz="8" w:color="CFF0FC"/>
            </w:tcBorders>
          </w:tcPr>
          <w:p>
            <w:pPr>
              <w:spacing w:after="0"/>
              <w:rPr>
                <w:sz w:val="19"/>
                <w:szCs w:val="19"/>
                <w:color w:val="auto"/>
              </w:rPr>
            </w:pPr>
          </w:p>
        </w:tc>
      </w:tr>
      <w:tr>
        <w:trPr>
          <w:trHeight w:val="223"/>
        </w:trPr>
        <w:tc>
          <w:tcPr>
            <w:tcW w:w="21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Level 3 investments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392,986,090</w:t>
            </w:r>
          </w:p>
        </w:tc>
        <w:tc>
          <w:tcPr>
            <w:tcW w:w="14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r>
      <w:tr>
        <w:trPr>
          <w:trHeight w:val="421"/>
        </w:trPr>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Fair value at</w:t>
            </w: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Range of Input</w:t>
            </w:r>
          </w:p>
        </w:tc>
      </w:tr>
      <w:tr>
        <w:trPr>
          <w:trHeight w:val="234"/>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120" w:type="dxa"/>
            <w:vAlign w:val="bottom"/>
          </w:tcPr>
          <w:p>
            <w:pPr>
              <w:spacing w:after="0"/>
              <w:rPr>
                <w:sz w:val="20"/>
                <w:szCs w:val="20"/>
                <w:color w:val="auto"/>
              </w:rPr>
            </w:pPr>
          </w:p>
        </w:tc>
        <w:tc>
          <w:tcPr>
            <w:tcW w:w="16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September 30, 2019</w:t>
            </w:r>
          </w:p>
        </w:tc>
        <w:tc>
          <w:tcPr>
            <w:tcW w:w="140" w:type="dxa"/>
            <w:vAlign w:val="bottom"/>
          </w:tcPr>
          <w:p>
            <w:pPr>
              <w:spacing w:after="0"/>
              <w:rPr>
                <w:sz w:val="20"/>
                <w:szCs w:val="20"/>
                <w:color w:val="auto"/>
              </w:rPr>
            </w:pPr>
          </w:p>
        </w:tc>
        <w:tc>
          <w:tcPr>
            <w:tcW w:w="2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Valuation Technique</w:t>
            </w:r>
          </w:p>
        </w:tc>
        <w:tc>
          <w:tcPr>
            <w:tcW w:w="2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Unobservable Input</w:t>
            </w:r>
          </w:p>
        </w:tc>
        <w:tc>
          <w:tcPr>
            <w:tcW w:w="23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 xml:space="preserve">(Weighted Average) </w:t>
            </w:r>
            <w:r>
              <w:rPr>
                <w:rFonts w:ascii="Arial" w:cs="Arial" w:eastAsia="Arial" w:hAnsi="Arial"/>
                <w:sz w:val="15"/>
                <w:szCs w:val="15"/>
                <w:b w:val="1"/>
                <w:bCs w:val="1"/>
                <w:color w:val="auto"/>
                <w:w w:val="90"/>
              </w:rPr>
              <w:t>(1)</w:t>
            </w:r>
          </w:p>
        </w:tc>
      </w:tr>
      <w:tr>
        <w:trPr>
          <w:trHeight w:val="223"/>
        </w:trPr>
        <w:tc>
          <w:tcPr>
            <w:tcW w:w="2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First lien</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134,655,876</w:t>
            </w:r>
          </w:p>
        </w:tc>
        <w:tc>
          <w:tcPr>
            <w:tcW w:w="14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Market Comparable</w:t>
            </w:r>
          </w:p>
        </w:tc>
        <w:tc>
          <w:tcPr>
            <w:tcW w:w="80" w:type="dxa"/>
            <w:vAlign w:val="bottom"/>
            <w:tcBorders>
              <w:top w:val="single" w:sz="8" w:color="CFF0FC"/>
            </w:tcBorders>
            <w:shd w:val="clear" w:color="auto" w:fill="CFF0FC"/>
          </w:tcPr>
          <w:p>
            <w:pPr>
              <w:spacing w:after="0"/>
              <w:rPr>
                <w:sz w:val="19"/>
                <w:szCs w:val="19"/>
                <w:color w:val="auto"/>
              </w:rPr>
            </w:pPr>
          </w:p>
        </w:tc>
        <w:tc>
          <w:tcPr>
            <w:tcW w:w="2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Broker/Dealer bids or quotes</w:t>
            </w:r>
          </w:p>
        </w:tc>
        <w:tc>
          <w:tcPr>
            <w:tcW w:w="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center"/>
              <w:ind w:right="650"/>
              <w:spacing w:after="0"/>
              <w:rPr>
                <w:sz w:val="20"/>
                <w:szCs w:val="20"/>
                <w:color w:val="auto"/>
              </w:rPr>
            </w:pPr>
            <w:r>
              <w:rPr>
                <w:rFonts w:ascii="Arial" w:cs="Arial" w:eastAsia="Arial" w:hAnsi="Arial"/>
                <w:sz w:val="18"/>
                <w:szCs w:val="18"/>
                <w:color w:val="auto"/>
                <w:w w:val="99"/>
              </w:rPr>
              <w:t>N/A</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214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2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339,633,657</w:t>
            </w:r>
          </w:p>
        </w:tc>
        <w:tc>
          <w:tcPr>
            <w:tcW w:w="140" w:type="dxa"/>
            <w:vAlign w:val="bottom"/>
          </w:tcPr>
          <w:p>
            <w:pPr>
              <w:spacing w:after="0"/>
              <w:rPr>
                <w:sz w:val="19"/>
                <w:szCs w:val="19"/>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Market Comparable</w:t>
            </w:r>
          </w:p>
        </w:tc>
        <w:tc>
          <w:tcPr>
            <w:tcW w:w="27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Market Yield</w:t>
            </w: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 12.8% (7.5%)</w:t>
            </w:r>
          </w:p>
        </w:tc>
      </w:tr>
      <w:tr>
        <w:trPr>
          <w:trHeight w:val="230"/>
        </w:trPr>
        <w:tc>
          <w:tcPr>
            <w:tcW w:w="2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Lien</w:t>
            </w: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8,455,346</w:t>
            </w:r>
          </w:p>
        </w:tc>
        <w:tc>
          <w:tcPr>
            <w:tcW w:w="14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1"/>
              </w:rPr>
              <w:t>Market Comparable</w:t>
            </w:r>
          </w:p>
        </w:tc>
        <w:tc>
          <w:tcPr>
            <w:tcW w:w="274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3"/>
              </w:rPr>
              <w:t>Market Yield</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5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 14.2% (10.1%)</w:t>
            </w:r>
          </w:p>
        </w:tc>
      </w:tr>
      <w:tr>
        <w:trPr>
          <w:trHeight w:val="230"/>
        </w:trPr>
        <w:tc>
          <w:tcPr>
            <w:tcW w:w="21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Equity</w:t>
            </w: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5,804,968</w:t>
            </w:r>
          </w:p>
        </w:tc>
        <w:tc>
          <w:tcPr>
            <w:tcW w:w="140" w:type="dxa"/>
            <w:vAlign w:val="bottom"/>
            <w:tcBorders>
              <w:bottom w:val="single" w:sz="8" w:color="CFF0FC"/>
            </w:tcBorders>
          </w:tcPr>
          <w:p>
            <w:pPr>
              <w:spacing w:after="0"/>
              <w:rPr>
                <w:sz w:val="19"/>
                <w:szCs w:val="19"/>
                <w:color w:val="auto"/>
              </w:rPr>
            </w:pPr>
          </w:p>
        </w:tc>
        <w:tc>
          <w:tcPr>
            <w:tcW w:w="2140" w:type="dxa"/>
            <w:vAlign w:val="bottom"/>
            <w:tcBorders>
              <w:bottom w:val="single" w:sz="8" w:color="CFF0FC"/>
            </w:tcBorders>
            <w:gridSpan w:val="2"/>
          </w:tcPr>
          <w:p>
            <w:pPr>
              <w:jc w:val="center"/>
              <w:ind w:right="100"/>
              <w:spacing w:after="0"/>
              <w:rPr>
                <w:sz w:val="20"/>
                <w:szCs w:val="20"/>
                <w:color w:val="auto"/>
              </w:rPr>
            </w:pPr>
            <w:r>
              <w:rPr>
                <w:rFonts w:ascii="Arial" w:cs="Arial" w:eastAsia="Arial" w:hAnsi="Arial"/>
                <w:sz w:val="18"/>
                <w:szCs w:val="18"/>
                <w:color w:val="auto"/>
                <w:w w:val="91"/>
              </w:rPr>
              <w:t>Enterprise Market Value</w:t>
            </w:r>
          </w:p>
        </w:tc>
        <w:tc>
          <w:tcPr>
            <w:tcW w:w="2740" w:type="dxa"/>
            <w:vAlign w:val="bottom"/>
            <w:tcBorders>
              <w:bottom w:val="single" w:sz="8" w:color="CFF0FC"/>
            </w:tcBorders>
            <w:gridSpan w:val="2"/>
          </w:tcPr>
          <w:p>
            <w:pPr>
              <w:jc w:val="center"/>
              <w:ind w:right="100"/>
              <w:spacing w:after="0"/>
              <w:rPr>
                <w:sz w:val="20"/>
                <w:szCs w:val="20"/>
                <w:color w:val="auto"/>
              </w:rPr>
            </w:pPr>
            <w:r>
              <w:rPr>
                <w:rFonts w:ascii="Arial" w:cs="Arial" w:eastAsia="Arial" w:hAnsi="Arial"/>
                <w:sz w:val="18"/>
                <w:szCs w:val="18"/>
                <w:color w:val="auto"/>
                <w:w w:val="99"/>
              </w:rPr>
              <w:t>EBITDA Multiple</w:t>
            </w:r>
          </w:p>
        </w:tc>
        <w:tc>
          <w:tcPr>
            <w:tcW w:w="72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jc w:val="center"/>
              <w:ind w:right="650"/>
              <w:spacing w:after="0"/>
              <w:rPr>
                <w:sz w:val="20"/>
                <w:szCs w:val="20"/>
                <w:color w:val="auto"/>
              </w:rPr>
            </w:pPr>
            <w:r>
              <w:rPr>
                <w:rFonts w:ascii="Arial" w:cs="Arial" w:eastAsia="Arial" w:hAnsi="Arial"/>
                <w:sz w:val="18"/>
                <w:szCs w:val="18"/>
                <w:color w:val="auto"/>
                <w:w w:val="88"/>
              </w:rPr>
              <w:t>10.90%</w:t>
            </w:r>
          </w:p>
        </w:tc>
        <w:tc>
          <w:tcPr>
            <w:tcW w:w="60" w:type="dxa"/>
            <w:vAlign w:val="bottom"/>
            <w:tcBorders>
              <w:bottom w:val="single" w:sz="8" w:color="CFF0FC"/>
            </w:tcBorders>
          </w:tcPr>
          <w:p>
            <w:pPr>
              <w:spacing w:after="0"/>
              <w:rPr>
                <w:sz w:val="19"/>
                <w:szCs w:val="19"/>
                <w:color w:val="auto"/>
              </w:rPr>
            </w:pPr>
          </w:p>
        </w:tc>
      </w:tr>
      <w:tr>
        <w:trPr>
          <w:trHeight w:val="223"/>
        </w:trPr>
        <w:tc>
          <w:tcPr>
            <w:tcW w:w="21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Level 3 investments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488,549,847</w:t>
            </w:r>
          </w:p>
        </w:tc>
        <w:tc>
          <w:tcPr>
            <w:tcW w:w="14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
        </w:trPr>
        <w:tc>
          <w:tcPr>
            <w:tcW w:w="2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22" w:lineRule="exact"/>
        <w:rPr>
          <w:sz w:val="20"/>
          <w:szCs w:val="20"/>
          <w:color w:val="auto"/>
        </w:rPr>
      </w:pPr>
    </w:p>
    <w:p>
      <w:pPr>
        <w:ind w:left="380" w:hanging="372"/>
        <w:spacing w:after="0"/>
        <w:tabs>
          <w:tab w:leader="none" w:pos="380" w:val="left"/>
        </w:tabs>
        <w:numPr>
          <w:ilvl w:val="0"/>
          <w:numId w:val="111"/>
        </w:numPr>
        <w:rPr>
          <w:rFonts w:ascii="Arial" w:cs="Arial" w:eastAsia="Arial" w:hAnsi="Arial"/>
          <w:sz w:val="12"/>
          <w:szCs w:val="12"/>
          <w:color w:val="auto"/>
        </w:rPr>
      </w:pPr>
      <w:r>
        <w:rPr>
          <w:rFonts w:ascii="Arial" w:cs="Arial" w:eastAsia="Arial" w:hAnsi="Arial"/>
          <w:sz w:val="14"/>
          <w:szCs w:val="14"/>
          <w:color w:val="auto"/>
        </w:rPr>
        <w:t>The weighted averages disclosed in the table above were weighted by their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jc w:val="center"/>
        <w:ind w:right="20"/>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 2020 (Continued)</w:t>
      </w:r>
    </w:p>
    <w:p>
      <w:pPr>
        <w:spacing w:after="0" w:line="200" w:lineRule="exact"/>
        <w:rPr>
          <w:sz w:val="20"/>
          <w:szCs w:val="20"/>
          <w:color w:val="auto"/>
        </w:rPr>
      </w:pP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investments, cash and cash equivalents were categorized as follows in the fair value hierarchy for ASC 820 purposes: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8"/>
                <w:szCs w:val="18"/>
                <w:b w:val="1"/>
                <w:bCs w:val="1"/>
                <w:color w:val="auto"/>
                <w:w w:val="94"/>
              </w:rPr>
              <w:t>Fair Value at September 30, 2020</w:t>
            </w: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Pr>
          <w:p>
            <w:pPr>
              <w:spacing w:after="0"/>
              <w:rPr>
                <w:sz w:val="19"/>
                <w:szCs w:val="19"/>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19"/>
                <w:szCs w:val="19"/>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38"/>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80" w:type="dxa"/>
            <w:vAlign w:val="bottom"/>
          </w:tcPr>
          <w:p>
            <w:pPr>
              <w:spacing w:after="0"/>
              <w:rPr>
                <w:sz w:val="19"/>
                <w:szCs w:val="19"/>
                <w:color w:val="auto"/>
              </w:rPr>
            </w:pPr>
          </w:p>
        </w:tc>
      </w:tr>
      <w:tr>
        <w:trPr>
          <w:trHeight w:val="223"/>
        </w:trPr>
        <w:tc>
          <w:tcPr>
            <w:tcW w:w="4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First lien</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382,299,150</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gridSpan w:val="2"/>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109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382,299,150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8,883,272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8,883,272</w:t>
            </w:r>
          </w:p>
        </w:tc>
        <w:tc>
          <w:tcPr>
            <w:tcW w:w="80" w:type="dxa"/>
            <w:vAlign w:val="bottom"/>
          </w:tcPr>
          <w:p>
            <w:pPr>
              <w:spacing w:after="0"/>
              <w:rPr>
                <w:sz w:val="19"/>
                <w:szCs w:val="19"/>
                <w:color w:val="auto"/>
              </w:rPr>
            </w:pPr>
          </w:p>
        </w:tc>
      </w:tr>
      <w:tr>
        <w:trPr>
          <w:trHeight w:val="229"/>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1,803,668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1,803,668</w:t>
            </w:r>
          </w:p>
        </w:tc>
        <w:tc>
          <w:tcPr>
            <w:tcW w:w="80" w:type="dxa"/>
            <w:vAlign w:val="bottom"/>
            <w:shd w:val="clear" w:color="auto" w:fill="CFF0FC"/>
          </w:tcPr>
          <w:p>
            <w:pPr>
              <w:spacing w:after="0"/>
              <w:rPr>
                <w:sz w:val="19"/>
                <w:szCs w:val="19"/>
                <w:color w:val="auto"/>
              </w:rPr>
            </w:pPr>
          </w:p>
        </w:tc>
      </w:tr>
      <w:tr>
        <w:trPr>
          <w:trHeight w:val="223"/>
        </w:trPr>
        <w:tc>
          <w:tcPr>
            <w:tcW w:w="44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investments</w:t>
            </w: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392,986,090</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392,986,090</w:t>
            </w:r>
          </w:p>
        </w:tc>
        <w:tc>
          <w:tcPr>
            <w:tcW w:w="80" w:type="dxa"/>
            <w:vAlign w:val="bottom"/>
            <w:tcBorders>
              <w:bottom w:val="single" w:sz="8" w:color="CFF0FC"/>
            </w:tcBorders>
          </w:tcPr>
          <w:p>
            <w:pPr>
              <w:spacing w:after="0"/>
              <w:rPr>
                <w:sz w:val="19"/>
                <w:szCs w:val="19"/>
                <w:color w:val="auto"/>
              </w:rPr>
            </w:pPr>
          </w:p>
        </w:tc>
      </w:tr>
      <w:tr>
        <w:trPr>
          <w:trHeight w:val="223"/>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11,121,479</w:t>
            </w: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11,121,479</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color w:val="auto"/>
              </w:rPr>
              <w:t>Total investments, 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404,107,569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11,121,479</w:t>
            </w:r>
          </w:p>
        </w:tc>
        <w:tc>
          <w:tcPr>
            <w:tcW w:w="100" w:type="dxa"/>
            <w:vAlign w:val="bottom"/>
          </w:tcPr>
          <w:p>
            <w:pPr>
              <w:spacing w:after="0"/>
              <w:rPr>
                <w:sz w:val="19"/>
                <w:szCs w:val="19"/>
                <w:color w:val="auto"/>
              </w:rPr>
            </w:pPr>
          </w:p>
        </w:tc>
        <w:tc>
          <w:tcPr>
            <w:tcW w:w="1460" w:type="dxa"/>
            <w:vAlign w:val="bottom"/>
            <w:gridSpan w:val="2"/>
          </w:tcPr>
          <w:p>
            <w:pPr>
              <w:jc w:val="right"/>
              <w:ind w:right="1098"/>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392,986,090</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8"/>
                <w:szCs w:val="18"/>
                <w:b w:val="1"/>
                <w:bCs w:val="1"/>
                <w:color w:val="auto"/>
                <w:w w:val="94"/>
              </w:rPr>
              <w:t>Fair Value at September 30, 2019</w:t>
            </w: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Pr>
          <w:p>
            <w:pPr>
              <w:spacing w:after="0"/>
              <w:rPr>
                <w:sz w:val="19"/>
                <w:szCs w:val="19"/>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19"/>
                <w:szCs w:val="19"/>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38"/>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80" w:type="dxa"/>
            <w:vAlign w:val="bottom"/>
          </w:tcPr>
          <w:p>
            <w:pPr>
              <w:spacing w:after="0"/>
              <w:rPr>
                <w:sz w:val="19"/>
                <w:szCs w:val="19"/>
                <w:color w:val="auto"/>
              </w:rPr>
            </w:pPr>
          </w:p>
        </w:tc>
      </w:tr>
      <w:tr>
        <w:trPr>
          <w:trHeight w:val="223"/>
        </w:trPr>
        <w:tc>
          <w:tcPr>
            <w:tcW w:w="4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First lien</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474,289,533</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gridSpan w:val="2"/>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109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474,289,533</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8,455,346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8,455,346</w:t>
            </w:r>
          </w:p>
        </w:tc>
        <w:tc>
          <w:tcPr>
            <w:tcW w:w="80" w:type="dxa"/>
            <w:vAlign w:val="bottom"/>
          </w:tcPr>
          <w:p>
            <w:pPr>
              <w:spacing w:after="0"/>
              <w:rPr>
                <w:sz w:val="19"/>
                <w:szCs w:val="19"/>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5,804,968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5,804,968</w:t>
            </w:r>
          </w:p>
        </w:tc>
        <w:tc>
          <w:tcPr>
            <w:tcW w:w="80" w:type="dxa"/>
            <w:vAlign w:val="bottom"/>
            <w:shd w:val="clear" w:color="auto" w:fill="CFF0FC"/>
          </w:tcPr>
          <w:p>
            <w:pPr>
              <w:spacing w:after="0"/>
              <w:rPr>
                <w:sz w:val="19"/>
                <w:szCs w:val="19"/>
                <w:color w:val="auto"/>
              </w:rPr>
            </w:pPr>
          </w:p>
        </w:tc>
      </w:tr>
      <w:tr>
        <w:trPr>
          <w:trHeight w:val="223"/>
        </w:trPr>
        <w:tc>
          <w:tcPr>
            <w:tcW w:w="44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investments</w:t>
            </w: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488,549,847</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488,549,847</w:t>
            </w:r>
          </w:p>
        </w:tc>
        <w:tc>
          <w:tcPr>
            <w:tcW w:w="80" w:type="dxa"/>
            <w:vAlign w:val="bottom"/>
            <w:tcBorders>
              <w:bottom w:val="single" w:sz="8" w:color="CFF0FC"/>
            </w:tcBorders>
          </w:tcPr>
          <w:p>
            <w:pPr>
              <w:spacing w:after="0"/>
              <w:rPr>
                <w:sz w:val="19"/>
                <w:szCs w:val="19"/>
                <w:color w:val="auto"/>
              </w:rPr>
            </w:pPr>
          </w:p>
        </w:tc>
      </w:tr>
      <w:tr>
        <w:trPr>
          <w:trHeight w:val="223"/>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15,294,881</w:t>
            </w: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15,294,881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color w:val="auto"/>
              </w:rPr>
              <w:t>Total investments, 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503,844,728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15,294,881</w:t>
            </w:r>
          </w:p>
        </w:tc>
        <w:tc>
          <w:tcPr>
            <w:tcW w:w="100" w:type="dxa"/>
            <w:vAlign w:val="bottom"/>
          </w:tcPr>
          <w:p>
            <w:pPr>
              <w:spacing w:after="0"/>
              <w:rPr>
                <w:sz w:val="19"/>
                <w:szCs w:val="19"/>
                <w:color w:val="auto"/>
              </w:rPr>
            </w:pPr>
          </w:p>
        </w:tc>
        <w:tc>
          <w:tcPr>
            <w:tcW w:w="1460" w:type="dxa"/>
            <w:vAlign w:val="bottom"/>
            <w:gridSpan w:val="2"/>
          </w:tcPr>
          <w:p>
            <w:pPr>
              <w:jc w:val="right"/>
              <w:ind w:right="1098"/>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488,549,847</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62"/>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8"/>
          </w:tcPr>
          <w:p>
            <w:pPr>
              <w:jc w:val="right"/>
              <w:ind w:right="87"/>
              <w:spacing w:after="0"/>
              <w:rPr>
                <w:sz w:val="20"/>
                <w:szCs w:val="20"/>
                <w:color w:val="auto"/>
              </w:rPr>
            </w:pPr>
            <w:r>
              <w:rPr>
                <w:rFonts w:ascii="Arial" w:cs="Arial" w:eastAsia="Arial" w:hAnsi="Arial"/>
                <w:sz w:val="18"/>
                <w:szCs w:val="18"/>
                <w:b w:val="1"/>
                <w:bCs w:val="1"/>
                <w:color w:val="auto"/>
              </w:rPr>
              <w:t>For the Year Ended September 30, 2020</w:t>
            </w:r>
          </w:p>
        </w:tc>
        <w:tc>
          <w:tcPr>
            <w:tcW w:w="1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19"/>
                <w:szCs w:val="19"/>
                <w:color w:val="auto"/>
              </w:rPr>
            </w:pPr>
          </w:p>
        </w:tc>
        <w:tc>
          <w:tcPr>
            <w:tcW w:w="1880" w:type="dxa"/>
            <w:vAlign w:val="bottom"/>
            <w:gridSpan w:val="3"/>
          </w:tcPr>
          <w:p>
            <w:pPr>
              <w:ind w:left="60"/>
              <w:spacing w:after="0"/>
              <w:rPr>
                <w:sz w:val="20"/>
                <w:szCs w:val="20"/>
                <w:color w:val="auto"/>
              </w:rPr>
            </w:pPr>
            <w:r>
              <w:rPr>
                <w:rFonts w:ascii="Arial" w:cs="Arial" w:eastAsia="Arial" w:hAnsi="Arial"/>
                <w:sz w:val="18"/>
                <w:szCs w:val="18"/>
                <w:b w:val="1"/>
                <w:bCs w:val="1"/>
                <w:color w:val="auto"/>
              </w:rPr>
              <w:t>Debt Investments</w:t>
            </w:r>
          </w:p>
        </w:tc>
        <w:tc>
          <w:tcPr>
            <w:tcW w:w="120" w:type="dxa"/>
            <w:vAlign w:val="bottom"/>
          </w:tcPr>
          <w:p>
            <w:pPr>
              <w:spacing w:after="0"/>
              <w:rPr>
                <w:sz w:val="19"/>
                <w:szCs w:val="19"/>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Equity Investments</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9"/>
                <w:szCs w:val="19"/>
                <w:color w:val="auto"/>
              </w:rPr>
            </w:pPr>
          </w:p>
        </w:tc>
      </w:tr>
      <w:tr>
        <w:trPr>
          <w:trHeight w:val="223"/>
        </w:trPr>
        <w:tc>
          <w:tcPr>
            <w:tcW w:w="512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482,744,879</w:t>
            </w:r>
          </w:p>
        </w:tc>
        <w:tc>
          <w:tcPr>
            <w:tcW w:w="10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auto"/>
            </w:tcBorders>
            <w:shd w:val="clear" w:color="auto" w:fill="CCECFF"/>
          </w:tcPr>
          <w:p>
            <w:pPr>
              <w:spacing w:after="0"/>
              <w:rPr>
                <w:sz w:val="19"/>
                <w:szCs w:val="19"/>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5,804,968</w:t>
            </w:r>
          </w:p>
        </w:tc>
        <w:tc>
          <w:tcPr>
            <w:tcW w:w="140" w:type="dxa"/>
            <w:vAlign w:val="bottom"/>
            <w:tcBorders>
              <w:top w:val="single" w:sz="8" w:color="CCECFF"/>
            </w:tcBorders>
            <w:shd w:val="clear" w:color="auto" w:fill="CCECFF"/>
          </w:tcPr>
          <w:p>
            <w:pPr>
              <w:spacing w:after="0"/>
              <w:rPr>
                <w:sz w:val="19"/>
                <w:szCs w:val="19"/>
                <w:color w:val="auto"/>
              </w:rPr>
            </w:pPr>
          </w:p>
        </w:tc>
        <w:tc>
          <w:tcPr>
            <w:tcW w:w="80" w:type="dxa"/>
            <w:vAlign w:val="bottom"/>
            <w:tcBorders>
              <w:top w:val="single" w:sz="8" w:color="CCECFF"/>
            </w:tcBorders>
            <w:shd w:val="clear" w:color="auto" w:fill="CCECFF"/>
          </w:tcPr>
          <w:p>
            <w:pPr>
              <w:spacing w:after="0"/>
              <w:rPr>
                <w:sz w:val="19"/>
                <w:szCs w:val="19"/>
                <w:color w:val="auto"/>
              </w:rPr>
            </w:pPr>
          </w:p>
        </w:tc>
        <w:tc>
          <w:tcPr>
            <w:tcW w:w="540" w:type="dxa"/>
            <w:vAlign w:val="bottom"/>
            <w:tcBorders>
              <w:top w:val="single" w:sz="8" w:color="auto"/>
            </w:tcBorders>
            <w:shd w:val="clear" w:color="auto" w:fill="CCECFF"/>
          </w:tcPr>
          <w:p>
            <w:pPr>
              <w:jc w:val="right"/>
              <w:ind w:right="38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488,549,847</w:t>
            </w:r>
          </w:p>
        </w:tc>
        <w:tc>
          <w:tcPr>
            <w:tcW w:w="80" w:type="dxa"/>
            <w:vAlign w:val="bottom"/>
            <w:tcBorders>
              <w:top w:val="single" w:sz="8" w:color="CCECFF"/>
            </w:tcBorders>
            <w:shd w:val="clear" w:color="auto" w:fill="CCECFF"/>
          </w:tcPr>
          <w:p>
            <w:pPr>
              <w:spacing w:after="0"/>
              <w:rPr>
                <w:sz w:val="19"/>
                <w:szCs w:val="19"/>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Net realized losses</w:t>
            </w:r>
          </w:p>
        </w:tc>
        <w:tc>
          <w:tcPr>
            <w:tcW w:w="1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(2,098,244)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(2,098,244)</w:t>
            </w:r>
          </w:p>
        </w:tc>
      </w:tr>
      <w:tr>
        <w:trPr>
          <w:trHeight w:val="230"/>
        </w:trPr>
        <w:tc>
          <w:tcPr>
            <w:tcW w:w="524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Net unrealized depreciation</w:t>
            </w:r>
          </w:p>
        </w:tc>
        <w:tc>
          <w:tcPr>
            <w:tcW w:w="180" w:type="dxa"/>
            <w:vAlign w:val="bottom"/>
            <w:shd w:val="clear" w:color="auto" w:fill="CCECFF"/>
          </w:tcPr>
          <w:p>
            <w:pPr>
              <w:spacing w:after="0"/>
              <w:rPr>
                <w:sz w:val="19"/>
                <w:szCs w:val="19"/>
                <w:color w:val="auto"/>
              </w:rPr>
            </w:pPr>
          </w:p>
        </w:tc>
        <w:tc>
          <w:tcPr>
            <w:tcW w:w="17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(5,400,669)</w:t>
            </w:r>
          </w:p>
        </w:tc>
        <w:tc>
          <w:tcPr>
            <w:tcW w:w="1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84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(4,001,300)</w:t>
            </w:r>
          </w:p>
        </w:tc>
        <w:tc>
          <w:tcPr>
            <w:tcW w:w="80" w:type="dxa"/>
            <w:vAlign w:val="bottom"/>
            <w:shd w:val="clear" w:color="auto" w:fill="CCECFF"/>
          </w:tcPr>
          <w:p>
            <w:pPr>
              <w:spacing w:after="0"/>
              <w:rPr>
                <w:sz w:val="19"/>
                <w:szCs w:val="19"/>
                <w:color w:val="auto"/>
              </w:rPr>
            </w:pPr>
          </w:p>
        </w:tc>
        <w:tc>
          <w:tcPr>
            <w:tcW w:w="540" w:type="dxa"/>
            <w:vAlign w:val="bottom"/>
            <w:shd w:val="clear" w:color="auto" w:fill="CCECFF"/>
          </w:tcPr>
          <w:p>
            <w:pPr>
              <w:spacing w:after="0"/>
              <w:rPr>
                <w:sz w:val="19"/>
                <w:szCs w:val="19"/>
                <w:color w:val="auto"/>
              </w:rPr>
            </w:pPr>
          </w:p>
        </w:tc>
        <w:tc>
          <w:tcPr>
            <w:tcW w:w="13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(9,401,969)</w:t>
            </w: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Purchases, net discount accretion and non-cash exchanges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88,524,399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88,524,399</w:t>
            </w:r>
          </w:p>
        </w:tc>
        <w:tc>
          <w:tcPr>
            <w:tcW w:w="80" w:type="dxa"/>
            <w:vAlign w:val="bottom"/>
          </w:tcPr>
          <w:p>
            <w:pPr>
              <w:spacing w:after="0"/>
              <w:rPr>
                <w:sz w:val="19"/>
                <w:szCs w:val="19"/>
                <w:color w:val="auto"/>
              </w:rPr>
            </w:pPr>
          </w:p>
        </w:tc>
      </w:tr>
      <w:tr>
        <w:trPr>
          <w:trHeight w:val="230"/>
        </w:trPr>
        <w:tc>
          <w:tcPr>
            <w:tcW w:w="524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Sales, repayments and non-cash exchanges</w:t>
            </w:r>
          </w:p>
        </w:tc>
        <w:tc>
          <w:tcPr>
            <w:tcW w:w="180" w:type="dxa"/>
            <w:vAlign w:val="bottom"/>
            <w:shd w:val="clear" w:color="auto" w:fill="CCECFF"/>
          </w:tcPr>
          <w:p>
            <w:pPr>
              <w:spacing w:after="0"/>
              <w:rPr>
                <w:sz w:val="19"/>
                <w:szCs w:val="19"/>
                <w:color w:val="auto"/>
              </w:rPr>
            </w:pPr>
          </w:p>
        </w:tc>
        <w:tc>
          <w:tcPr>
            <w:tcW w:w="17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(172,587,943)</w:t>
            </w:r>
          </w:p>
        </w:tc>
        <w:tc>
          <w:tcPr>
            <w:tcW w:w="1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8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19"/>
                <w:szCs w:val="19"/>
                <w:color w:val="auto"/>
              </w:rPr>
            </w:pPr>
          </w:p>
        </w:tc>
        <w:tc>
          <w:tcPr>
            <w:tcW w:w="540" w:type="dxa"/>
            <w:vAlign w:val="bottom"/>
            <w:shd w:val="clear" w:color="auto" w:fill="CCECFF"/>
          </w:tcPr>
          <w:p>
            <w:pPr>
              <w:spacing w:after="0"/>
              <w:rPr>
                <w:sz w:val="19"/>
                <w:szCs w:val="19"/>
                <w:color w:val="auto"/>
              </w:rPr>
            </w:pPr>
          </w:p>
        </w:tc>
        <w:tc>
          <w:tcPr>
            <w:tcW w:w="13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(172,587,943)</w:t>
            </w: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Transfers into and/or out of Level 3</w:t>
            </w:r>
          </w:p>
        </w:tc>
        <w:tc>
          <w:tcPr>
            <w:tcW w:w="180" w:type="dxa"/>
            <w:vAlign w:val="bottom"/>
          </w:tcPr>
          <w:p>
            <w:pPr>
              <w:spacing w:after="0"/>
              <w:rPr>
                <w:sz w:val="19"/>
                <w:szCs w:val="19"/>
                <w:color w:val="auto"/>
              </w:rPr>
            </w:pPr>
          </w:p>
        </w:tc>
        <w:tc>
          <w:tcPr>
            <w:tcW w:w="1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Borders>
              <w:top w:val="single" w:sz="8" w:color="CCECFF"/>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391,182,422</w:t>
            </w:r>
          </w:p>
        </w:tc>
        <w:tc>
          <w:tcPr>
            <w:tcW w:w="100" w:type="dxa"/>
            <w:vAlign w:val="bottom"/>
            <w:tcBorders>
              <w:top w:val="single" w:sz="8" w:color="CCECFF"/>
              <w:bottom w:val="single" w:sz="8" w:color="CCECFF"/>
            </w:tcBorders>
            <w:shd w:val="clear" w:color="auto" w:fill="CCECFF"/>
          </w:tcPr>
          <w:p>
            <w:pPr>
              <w:spacing w:after="0"/>
              <w:rPr>
                <w:sz w:val="19"/>
                <w:szCs w:val="19"/>
                <w:color w:val="auto"/>
              </w:rPr>
            </w:pPr>
          </w:p>
        </w:tc>
        <w:tc>
          <w:tcPr>
            <w:tcW w:w="120" w:type="dxa"/>
            <w:vAlign w:val="bottom"/>
            <w:tcBorders>
              <w:top w:val="single" w:sz="8" w:color="CCECFF"/>
              <w:bottom w:val="single" w:sz="8" w:color="CCECFF"/>
            </w:tcBorders>
            <w:shd w:val="clear" w:color="auto" w:fill="CCECFF"/>
          </w:tcPr>
          <w:p>
            <w:pPr>
              <w:spacing w:after="0"/>
              <w:rPr>
                <w:sz w:val="19"/>
                <w:szCs w:val="19"/>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1,803,668</w:t>
            </w:r>
          </w:p>
        </w:tc>
        <w:tc>
          <w:tcPr>
            <w:tcW w:w="140" w:type="dxa"/>
            <w:vAlign w:val="bottom"/>
            <w:tcBorders>
              <w:top w:val="single" w:sz="8" w:color="CCECFF"/>
              <w:bottom w:val="single" w:sz="8" w:color="CCECFF"/>
            </w:tcBorders>
            <w:shd w:val="clear" w:color="auto" w:fill="CCECFF"/>
          </w:tcPr>
          <w:p>
            <w:pPr>
              <w:spacing w:after="0"/>
              <w:rPr>
                <w:sz w:val="19"/>
                <w:szCs w:val="19"/>
                <w:color w:val="auto"/>
              </w:rPr>
            </w:pP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c>
          <w:tcPr>
            <w:tcW w:w="540" w:type="dxa"/>
            <w:vAlign w:val="bottom"/>
            <w:tcBorders>
              <w:top w:val="single" w:sz="8" w:color="auto"/>
              <w:bottom w:val="single" w:sz="8" w:color="auto"/>
            </w:tcBorders>
            <w:shd w:val="clear" w:color="auto" w:fill="CCECFF"/>
          </w:tcPr>
          <w:p>
            <w:pPr>
              <w:jc w:val="right"/>
              <w:ind w:right="38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392,986,090</w:t>
            </w: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8"/>
                <w:szCs w:val="18"/>
                <w:b w:val="1"/>
                <w:bCs w:val="1"/>
                <w:color w:val="auto"/>
              </w:rPr>
              <w:t>For the Year Ended September 30, 2019</w:t>
            </w:r>
          </w:p>
        </w:tc>
        <w:tc>
          <w:tcPr>
            <w:tcW w:w="1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9"/>
                <w:szCs w:val="19"/>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Debt Investments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Equity Investments</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8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ind w:right="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425,420,881</w:t>
            </w:r>
          </w:p>
        </w:tc>
        <w:tc>
          <w:tcPr>
            <w:tcW w:w="80" w:type="dxa"/>
            <w:vAlign w:val="bottom"/>
            <w:tcBorders>
              <w:top w:val="single" w:sz="8" w:color="CCECFF"/>
            </w:tcBorders>
            <w:shd w:val="clear" w:color="auto" w:fill="CCECFF"/>
          </w:tcPr>
          <w:p>
            <w:pPr>
              <w:spacing w:after="0"/>
              <w:rPr>
                <w:sz w:val="19"/>
                <w:szCs w:val="19"/>
                <w:color w:val="auto"/>
              </w:rPr>
            </w:pPr>
          </w:p>
        </w:tc>
        <w:tc>
          <w:tcPr>
            <w:tcW w:w="240" w:type="dxa"/>
            <w:vAlign w:val="bottom"/>
            <w:tcBorders>
              <w:top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CFF"/>
            </w:tcBorders>
            <w:shd w:val="clear" w:color="auto" w:fill="CCECFF"/>
          </w:tcPr>
          <w:p>
            <w:pPr>
              <w:spacing w:after="0"/>
              <w:rPr>
                <w:sz w:val="19"/>
                <w:szCs w:val="19"/>
                <w:color w:val="auto"/>
              </w:rPr>
            </w:pPr>
          </w:p>
        </w:tc>
        <w:tc>
          <w:tcPr>
            <w:tcW w:w="60" w:type="dxa"/>
            <w:vAlign w:val="bottom"/>
            <w:tcBorders>
              <w:top w:val="single" w:sz="8" w:color="CCECFF"/>
            </w:tcBorders>
            <w:shd w:val="clear" w:color="auto" w:fill="CCECFF"/>
          </w:tcPr>
          <w:p>
            <w:pPr>
              <w:spacing w:after="0"/>
              <w:rPr>
                <w:sz w:val="19"/>
                <w:szCs w:val="19"/>
                <w:color w:val="auto"/>
              </w:rPr>
            </w:pPr>
          </w:p>
        </w:tc>
        <w:tc>
          <w:tcPr>
            <w:tcW w:w="580" w:type="dxa"/>
            <w:vAlign w:val="bottom"/>
            <w:tcBorders>
              <w:top w:val="single" w:sz="8" w:color="auto"/>
            </w:tcBorders>
            <w:shd w:val="clear" w:color="auto" w:fill="CCECFF"/>
          </w:tcPr>
          <w:p>
            <w:pPr>
              <w:jc w:val="right"/>
              <w:ind w:right="3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425,420,881</w:t>
            </w:r>
          </w:p>
        </w:tc>
        <w:tc>
          <w:tcPr>
            <w:tcW w:w="80" w:type="dxa"/>
            <w:vAlign w:val="bottom"/>
            <w:tcBorders>
              <w:top w:val="single" w:sz="8" w:color="CCECFF"/>
            </w:tcBorders>
            <w:shd w:val="clear" w:color="auto" w:fill="CCEC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Net realized losses</w:t>
            </w:r>
          </w:p>
        </w:tc>
        <w:tc>
          <w:tcPr>
            <w:tcW w:w="16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(850,892)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(850,892)</w:t>
            </w:r>
          </w:p>
        </w:tc>
        <w:tc>
          <w:tcPr>
            <w:tcW w:w="20" w:type="dxa"/>
            <w:vAlign w:val="bottom"/>
          </w:tcPr>
          <w:p>
            <w:pPr>
              <w:spacing w:after="0"/>
              <w:rPr>
                <w:sz w:val="19"/>
                <w:szCs w:val="19"/>
                <w:color w:val="auto"/>
              </w:rPr>
            </w:pPr>
          </w:p>
        </w:tc>
      </w:tr>
      <w:tr>
        <w:trPr>
          <w:trHeight w:val="230"/>
        </w:trPr>
        <w:tc>
          <w:tcPr>
            <w:tcW w:w="528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Net unrealized depreciation</w:t>
            </w:r>
          </w:p>
        </w:tc>
        <w:tc>
          <w:tcPr>
            <w:tcW w:w="160" w:type="dxa"/>
            <w:vAlign w:val="bottom"/>
            <w:shd w:val="clear" w:color="auto" w:fill="CCECFF"/>
          </w:tcPr>
          <w:p>
            <w:pPr>
              <w:spacing w:after="0"/>
              <w:rPr>
                <w:sz w:val="19"/>
                <w:szCs w:val="19"/>
                <w:color w:val="auto"/>
              </w:rPr>
            </w:pPr>
          </w:p>
        </w:tc>
        <w:tc>
          <w:tcPr>
            <w:tcW w:w="17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(4,769,047)</w:t>
            </w:r>
          </w:p>
        </w:tc>
        <w:tc>
          <w:tcPr>
            <w:tcW w:w="1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8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(1,178,969)</w:t>
            </w:r>
          </w:p>
        </w:tc>
        <w:tc>
          <w:tcPr>
            <w:tcW w:w="6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13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(5,948,016)</w:t>
            </w:r>
          </w:p>
        </w:tc>
        <w:tc>
          <w:tcPr>
            <w:tcW w:w="20" w:type="dxa"/>
            <w:vAlign w:val="bottom"/>
          </w:tcPr>
          <w:p>
            <w:pPr>
              <w:spacing w:after="0"/>
              <w:rPr>
                <w:sz w:val="19"/>
                <w:szCs w:val="19"/>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Purchases, net discount accretion and non-cash exchanges</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222,874,229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6,983,937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229,858,166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28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Sales, repayments and non-cash exchanges</w:t>
            </w:r>
          </w:p>
        </w:tc>
        <w:tc>
          <w:tcPr>
            <w:tcW w:w="160" w:type="dxa"/>
            <w:vAlign w:val="bottom"/>
            <w:shd w:val="clear" w:color="auto" w:fill="CCECFF"/>
          </w:tcPr>
          <w:p>
            <w:pPr>
              <w:spacing w:after="0"/>
              <w:rPr>
                <w:sz w:val="19"/>
                <w:szCs w:val="19"/>
                <w:color w:val="auto"/>
              </w:rPr>
            </w:pPr>
          </w:p>
        </w:tc>
        <w:tc>
          <w:tcPr>
            <w:tcW w:w="17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(159,930,292)</w:t>
            </w:r>
          </w:p>
        </w:tc>
        <w:tc>
          <w:tcPr>
            <w:tcW w:w="10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82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13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(159,930,292)</w:t>
            </w:r>
          </w:p>
        </w:tc>
        <w:tc>
          <w:tcPr>
            <w:tcW w:w="20" w:type="dxa"/>
            <w:vAlign w:val="bottom"/>
          </w:tcPr>
          <w:p>
            <w:pPr>
              <w:spacing w:after="0"/>
              <w:rPr>
                <w:sz w:val="19"/>
                <w:szCs w:val="19"/>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Transfers into and/or out of Level 3</w:t>
            </w:r>
          </w:p>
        </w:tc>
        <w:tc>
          <w:tcPr>
            <w:tcW w:w="16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280" w:type="dxa"/>
            <w:vAlign w:val="bottom"/>
            <w:tcBorders>
              <w:top w:val="single" w:sz="8" w:color="CCECFF"/>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CFF"/>
          </w:tcPr>
          <w:p>
            <w:pPr>
              <w:jc w:val="right"/>
              <w:ind w:right="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482,744,879</w:t>
            </w: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c>
          <w:tcPr>
            <w:tcW w:w="100" w:type="dxa"/>
            <w:vAlign w:val="bottom"/>
            <w:tcBorders>
              <w:top w:val="single" w:sz="8" w:color="CCECFF"/>
              <w:bottom w:val="single" w:sz="8" w:color="CCECFF"/>
            </w:tcBorders>
            <w:shd w:val="clear" w:color="auto" w:fill="CCECFF"/>
          </w:tcPr>
          <w:p>
            <w:pPr>
              <w:spacing w:after="0"/>
              <w:rPr>
                <w:sz w:val="19"/>
                <w:szCs w:val="19"/>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5,804,968</w:t>
            </w:r>
          </w:p>
        </w:tc>
        <w:tc>
          <w:tcPr>
            <w:tcW w:w="120" w:type="dxa"/>
            <w:vAlign w:val="bottom"/>
            <w:tcBorders>
              <w:top w:val="single" w:sz="8" w:color="CCECFF"/>
              <w:bottom w:val="single" w:sz="8" w:color="CCECFF"/>
            </w:tcBorders>
            <w:shd w:val="clear" w:color="auto" w:fill="CCECFF"/>
          </w:tcPr>
          <w:p>
            <w:pPr>
              <w:spacing w:after="0"/>
              <w:rPr>
                <w:sz w:val="19"/>
                <w:szCs w:val="19"/>
                <w:color w:val="auto"/>
              </w:rPr>
            </w:pPr>
          </w:p>
        </w:tc>
        <w:tc>
          <w:tcPr>
            <w:tcW w:w="60" w:type="dxa"/>
            <w:vAlign w:val="bottom"/>
            <w:tcBorders>
              <w:top w:val="single" w:sz="8" w:color="CCECFF"/>
              <w:bottom w:val="single" w:sz="8" w:color="CCECFF"/>
            </w:tcBorders>
            <w:shd w:val="clear" w:color="auto" w:fill="CCECFF"/>
          </w:tcPr>
          <w:p>
            <w:pPr>
              <w:spacing w:after="0"/>
              <w:rPr>
                <w:sz w:val="19"/>
                <w:szCs w:val="19"/>
                <w:color w:val="auto"/>
              </w:rPr>
            </w:pPr>
          </w:p>
        </w:tc>
        <w:tc>
          <w:tcPr>
            <w:tcW w:w="580" w:type="dxa"/>
            <w:vAlign w:val="bottom"/>
            <w:tcBorders>
              <w:top w:val="single" w:sz="8" w:color="auto"/>
              <w:bottom w:val="single" w:sz="8" w:color="auto"/>
            </w:tcBorders>
            <w:shd w:val="clear" w:color="auto" w:fill="CCECFF"/>
          </w:tcPr>
          <w:p>
            <w:pPr>
              <w:jc w:val="right"/>
              <w:ind w:right="3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488,549,847</w:t>
            </w: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9"/>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ind w:right="129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 (Continued)</w:t>
      </w:r>
    </w:p>
    <w:p>
      <w:pPr>
        <w:spacing w:after="0" w:line="200" w:lineRule="exact"/>
        <w:rPr>
          <w:sz w:val="20"/>
          <w:szCs w:val="20"/>
          <w:color w:val="auto"/>
        </w:rPr>
      </w:pPr>
    </w:p>
    <w:p>
      <w:pPr>
        <w:spacing w:after="0" w:line="240" w:lineRule="exact"/>
        <w:rPr>
          <w:sz w:val="20"/>
          <w:szCs w:val="20"/>
          <w:color w:val="auto"/>
        </w:rPr>
      </w:pPr>
    </w:p>
    <w:p>
      <w:pPr>
        <w:jc w:val="both"/>
        <w:ind w:firstLine="462"/>
        <w:spacing w:after="0" w:line="277" w:lineRule="auto"/>
        <w:rPr>
          <w:sz w:val="20"/>
          <w:szCs w:val="20"/>
          <w:color w:val="auto"/>
        </w:rPr>
      </w:pPr>
      <w:r>
        <w:rPr>
          <w:rFonts w:ascii="Arial" w:cs="Arial" w:eastAsia="Arial" w:hAnsi="Arial"/>
          <w:sz w:val="18"/>
          <w:szCs w:val="18"/>
          <w:color w:val="auto"/>
        </w:rPr>
        <w:t>As of September 30, 2020, we had outstanding non-U.S. dollar borrowings on our Credit Facility. Net change in fair value from foreign currency translation on outstanding borrowings is listed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vMerge w:val="restart"/>
          </w:tcPr>
          <w:p>
            <w:pPr>
              <w:spacing w:after="0"/>
              <w:rPr>
                <w:sz w:val="20"/>
                <w:szCs w:val="20"/>
                <w:color w:val="auto"/>
              </w:rPr>
            </w:pPr>
            <w:r>
              <w:rPr>
                <w:rFonts w:ascii="Arial" w:cs="Arial" w:eastAsia="Arial" w:hAnsi="Arial"/>
                <w:sz w:val="18"/>
                <w:szCs w:val="18"/>
                <w:b w:val="1"/>
                <w:bCs w:val="1"/>
                <w:color w:val="auto"/>
              </w:rPr>
              <w:t>Foreign Currency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Amount</w:t>
            </w: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0"/>
              </w:rPr>
              <w:t>Borrowing Cost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4"/>
              </w:rPr>
              <w:t>Current Value</w:t>
            </w:r>
          </w:p>
        </w:tc>
        <w:tc>
          <w:tcPr>
            <w:tcW w:w="280" w:type="dxa"/>
            <w:vAlign w:val="bottom"/>
          </w:tcPr>
          <w:p>
            <w:pPr>
              <w:spacing w:after="0"/>
              <w:rPr>
                <w:sz w:val="18"/>
                <w:szCs w:val="18"/>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Reset Date</w:t>
            </w:r>
          </w:p>
        </w:tc>
        <w:tc>
          <w:tcPr>
            <w:tcW w:w="1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Change in Fair</w:t>
            </w: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90"/>
              </w:rPr>
              <w:t>Borrowed</w:t>
            </w:r>
          </w:p>
        </w:tc>
        <w:tc>
          <w:tcPr>
            <w:tcW w:w="12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Australian Dollar</w:t>
            </w:r>
          </w:p>
        </w:tc>
        <w:tc>
          <w:tcPr>
            <w:tcW w:w="240" w:type="dxa"/>
            <w:vAlign w:val="bottom"/>
            <w:tcBorders>
              <w:top w:val="single" w:sz="8" w:color="CCECFF"/>
            </w:tcBorders>
            <w:shd w:val="clear" w:color="auto" w:fill="CCECFF"/>
          </w:tcPr>
          <w:p>
            <w:pPr>
              <w:ind w:left="100"/>
              <w:spacing w:after="0"/>
              <w:rPr>
                <w:sz w:val="20"/>
                <w:szCs w:val="20"/>
                <w:color w:val="auto"/>
              </w:rPr>
            </w:pPr>
            <w:r>
              <w:rPr>
                <w:rFonts w:ascii="Arial" w:cs="Arial" w:eastAsia="Arial" w:hAnsi="Arial"/>
                <w:sz w:val="18"/>
                <w:szCs w:val="18"/>
                <w:color w:val="auto"/>
                <w:w w:val="99"/>
              </w:rPr>
              <w:t>A</w:t>
            </w:r>
          </w:p>
        </w:tc>
        <w:tc>
          <w:tcPr>
            <w:tcW w:w="200" w:type="dxa"/>
            <w:vAlign w:val="bottom"/>
            <w:tcBorders>
              <w:top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9,700,000</w:t>
            </w:r>
          </w:p>
        </w:tc>
        <w:tc>
          <w:tcPr>
            <w:tcW w:w="280" w:type="dxa"/>
            <w:vAlign w:val="bottom"/>
            <w:tcBorders>
              <w:top w:val="single" w:sz="8" w:color="CCECFF"/>
            </w:tcBorders>
            <w:shd w:val="clear" w:color="auto" w:fill="CCECFF"/>
          </w:tcPr>
          <w:p>
            <w:pPr>
              <w:spacing w:after="0"/>
              <w:rPr>
                <w:sz w:val="19"/>
                <w:szCs w:val="19"/>
                <w:color w:val="auto"/>
              </w:rPr>
            </w:pPr>
          </w:p>
        </w:tc>
        <w:tc>
          <w:tcPr>
            <w:tcW w:w="260" w:type="dxa"/>
            <w:vAlign w:val="bottom"/>
            <w:tcBorders>
              <w:top w:val="single" w:sz="8" w:color="auto"/>
            </w:tcBorders>
            <w:shd w:val="clear" w:color="auto" w:fill="CCECFF"/>
          </w:tcPr>
          <w:p>
            <w:pPr>
              <w:spacing w:after="0"/>
              <w:rPr>
                <w:sz w:val="19"/>
                <w:szCs w:val="19"/>
                <w:color w:val="auto"/>
              </w:rPr>
            </w:pPr>
          </w:p>
        </w:tc>
        <w:tc>
          <w:tcPr>
            <w:tcW w:w="1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7,314,285</w:t>
            </w:r>
          </w:p>
        </w:tc>
        <w:tc>
          <w:tcPr>
            <w:tcW w:w="28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auto"/>
            </w:tcBorders>
            <w:shd w:val="clear" w:color="auto" w:fill="CCECFF"/>
          </w:tcPr>
          <w:p>
            <w:pPr>
              <w:spacing w:after="0"/>
              <w:rPr>
                <w:sz w:val="19"/>
                <w:szCs w:val="19"/>
                <w:color w:val="auto"/>
              </w:rPr>
            </w:pPr>
          </w:p>
        </w:tc>
        <w:tc>
          <w:tcPr>
            <w:tcW w:w="13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6,952,475</w:t>
            </w:r>
          </w:p>
        </w:tc>
        <w:tc>
          <w:tcPr>
            <w:tcW w:w="280" w:type="dxa"/>
            <w:vAlign w:val="bottom"/>
            <w:tcBorders>
              <w:top w:val="single" w:sz="8" w:color="CCECFF"/>
            </w:tcBorders>
            <w:shd w:val="clear" w:color="auto" w:fill="CCECFF"/>
          </w:tcPr>
          <w:p>
            <w:pPr>
              <w:spacing w:after="0"/>
              <w:rPr>
                <w:sz w:val="19"/>
                <w:szCs w:val="19"/>
                <w:color w:val="auto"/>
              </w:rPr>
            </w:pPr>
          </w:p>
        </w:tc>
        <w:tc>
          <w:tcPr>
            <w:tcW w:w="216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8"/>
                <w:szCs w:val="18"/>
                <w:color w:val="auto"/>
                <w:w w:val="91"/>
              </w:rPr>
              <w:t>November 30, 2020</w:t>
            </w:r>
          </w:p>
        </w:tc>
        <w:tc>
          <w:tcPr>
            <w:tcW w:w="18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CFF"/>
          </w:tcPr>
          <w:p>
            <w:pPr>
              <w:ind w:left="320"/>
              <w:spacing w:after="0"/>
              <w:rPr>
                <w:sz w:val="20"/>
                <w:szCs w:val="20"/>
                <w:color w:val="auto"/>
              </w:rPr>
            </w:pPr>
            <w:r>
              <w:rPr>
                <w:rFonts w:ascii="Arial" w:cs="Arial" w:eastAsia="Arial" w:hAnsi="Arial"/>
                <w:sz w:val="18"/>
                <w:szCs w:val="18"/>
                <w:color w:val="auto"/>
                <w:w w:val="90"/>
              </w:rPr>
              <w:t>(361,810</w:t>
            </w:r>
          </w:p>
        </w:tc>
        <w:tc>
          <w:tcPr>
            <w:tcW w:w="10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9"/>
        </w:trPr>
        <w:tc>
          <w:tcPr>
            <w:tcW w:w="2460" w:type="dxa"/>
            <w:vAlign w:val="bottom"/>
          </w:tcPr>
          <w:p>
            <w:pPr>
              <w:spacing w:after="0"/>
              <w:rPr>
                <w:sz w:val="20"/>
                <w:szCs w:val="20"/>
                <w:color w:val="auto"/>
              </w:rPr>
            </w:pPr>
            <w:r>
              <w:rPr>
                <w:rFonts w:ascii="Arial" w:cs="Arial" w:eastAsia="Arial" w:hAnsi="Arial"/>
                <w:sz w:val="18"/>
                <w:szCs w:val="18"/>
                <w:color w:val="auto"/>
              </w:rPr>
              <w:t>Canadian Dollar</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C$</w:t>
            </w:r>
          </w:p>
        </w:tc>
        <w:tc>
          <w:tcPr>
            <w:tcW w:w="1180" w:type="dxa"/>
            <w:vAlign w:val="bottom"/>
          </w:tcPr>
          <w:p>
            <w:pPr>
              <w:jc w:val="right"/>
              <w:spacing w:after="0"/>
              <w:rPr>
                <w:sz w:val="20"/>
                <w:szCs w:val="20"/>
                <w:color w:val="auto"/>
              </w:rPr>
            </w:pPr>
            <w:r>
              <w:rPr>
                <w:rFonts w:ascii="Arial" w:cs="Arial" w:eastAsia="Arial" w:hAnsi="Arial"/>
                <w:sz w:val="18"/>
                <w:szCs w:val="18"/>
                <w:color w:val="auto"/>
              </w:rPr>
              <w:t>5,900,000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4,544,218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4,416,994</w:t>
            </w:r>
          </w:p>
        </w:tc>
        <w:tc>
          <w:tcPr>
            <w:tcW w:w="28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November 30, 2020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w w:val="95"/>
              </w:rPr>
              <w:t>(127,223)</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CFF"/>
              <w:bottom w:val="single" w:sz="8" w:color="CCECFF"/>
            </w:tcBorders>
            <w:shd w:val="clear" w:color="auto" w:fill="CCECFF"/>
          </w:tcPr>
          <w:p>
            <w:pPr>
              <w:spacing w:after="0"/>
              <w:rPr>
                <w:sz w:val="19"/>
                <w:szCs w:val="19"/>
                <w:color w:val="auto"/>
              </w:rPr>
            </w:pPr>
          </w:p>
        </w:tc>
        <w:tc>
          <w:tcPr>
            <w:tcW w:w="240" w:type="dxa"/>
            <w:vAlign w:val="bottom"/>
            <w:tcBorders>
              <w:top w:val="single" w:sz="8" w:color="CCECFF"/>
              <w:bottom w:val="single" w:sz="8" w:color="CCECFF"/>
            </w:tcBorders>
            <w:shd w:val="clear" w:color="auto" w:fill="CCECFF"/>
          </w:tcPr>
          <w:p>
            <w:pPr>
              <w:spacing w:after="0"/>
              <w:rPr>
                <w:sz w:val="19"/>
                <w:szCs w:val="19"/>
                <w:color w:val="auto"/>
              </w:rPr>
            </w:pPr>
          </w:p>
        </w:tc>
        <w:tc>
          <w:tcPr>
            <w:tcW w:w="200" w:type="dxa"/>
            <w:vAlign w:val="bottom"/>
            <w:tcBorders>
              <w:top w:val="single" w:sz="8" w:color="CCECFF"/>
              <w:bottom w:val="single" w:sz="8" w:color="CCECFF"/>
            </w:tcBorders>
            <w:shd w:val="clear" w:color="auto" w:fill="CCECFF"/>
          </w:tcPr>
          <w:p>
            <w:pPr>
              <w:spacing w:after="0"/>
              <w:rPr>
                <w:sz w:val="19"/>
                <w:szCs w:val="19"/>
                <w:color w:val="auto"/>
              </w:rPr>
            </w:pPr>
          </w:p>
        </w:tc>
        <w:tc>
          <w:tcPr>
            <w:tcW w:w="1180" w:type="dxa"/>
            <w:vAlign w:val="bottom"/>
            <w:tcBorders>
              <w:top w:val="single" w:sz="8" w:color="CCECFF"/>
              <w:bottom w:val="single" w:sz="8" w:color="CCECFF"/>
            </w:tcBorders>
            <w:shd w:val="clear" w:color="auto" w:fill="CCECFF"/>
          </w:tcPr>
          <w:p>
            <w:pPr>
              <w:spacing w:after="0"/>
              <w:rPr>
                <w:sz w:val="19"/>
                <w:szCs w:val="19"/>
                <w:color w:val="auto"/>
              </w:rPr>
            </w:pPr>
          </w:p>
        </w:tc>
        <w:tc>
          <w:tcPr>
            <w:tcW w:w="280" w:type="dxa"/>
            <w:vAlign w:val="bottom"/>
            <w:tcBorders>
              <w:top w:val="single" w:sz="8" w:color="CCECFF"/>
              <w:bottom w:val="single" w:sz="8" w:color="CCECFF"/>
            </w:tcBorders>
            <w:shd w:val="clear" w:color="auto" w:fill="CCECFF"/>
          </w:tcPr>
          <w:p>
            <w:pPr>
              <w:spacing w:after="0"/>
              <w:rPr>
                <w:sz w:val="19"/>
                <w:szCs w:val="19"/>
                <w:color w:val="auto"/>
              </w:rPr>
            </w:pPr>
          </w:p>
        </w:tc>
        <w:tc>
          <w:tcPr>
            <w:tcW w:w="260" w:type="dxa"/>
            <w:vAlign w:val="bottom"/>
            <w:tcBorders>
              <w:top w:val="single" w:sz="8" w:color="auto"/>
              <w:bottom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11,858,503</w:t>
            </w:r>
          </w:p>
        </w:tc>
        <w:tc>
          <w:tcPr>
            <w:tcW w:w="280" w:type="dxa"/>
            <w:vAlign w:val="bottom"/>
            <w:tcBorders>
              <w:top w:val="single" w:sz="8" w:color="CCECFF"/>
              <w:bottom w:val="single" w:sz="8" w:color="CCECFF"/>
            </w:tcBorders>
            <w:shd w:val="clear" w:color="auto" w:fill="CCECFF"/>
          </w:tcPr>
          <w:p>
            <w:pPr>
              <w:spacing w:after="0"/>
              <w:rPr>
                <w:sz w:val="19"/>
                <w:szCs w:val="19"/>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11,369,469</w:t>
            </w:r>
          </w:p>
        </w:tc>
        <w:tc>
          <w:tcPr>
            <w:tcW w:w="280" w:type="dxa"/>
            <w:vAlign w:val="bottom"/>
            <w:tcBorders>
              <w:top w:val="single" w:sz="8" w:color="CCECFF"/>
              <w:bottom w:val="single" w:sz="8" w:color="CCECFF"/>
            </w:tcBorders>
            <w:shd w:val="clear" w:color="auto" w:fill="CCECFF"/>
          </w:tcPr>
          <w:p>
            <w:pPr>
              <w:spacing w:after="0"/>
              <w:rPr>
                <w:sz w:val="19"/>
                <w:szCs w:val="19"/>
                <w:color w:val="auto"/>
              </w:rPr>
            </w:pPr>
          </w:p>
        </w:tc>
        <w:tc>
          <w:tcPr>
            <w:tcW w:w="2160" w:type="dxa"/>
            <w:vAlign w:val="bottom"/>
            <w:tcBorders>
              <w:top w:val="single" w:sz="8" w:color="CCECFF"/>
              <w:bottom w:val="single" w:sz="8" w:color="CCECFF"/>
            </w:tcBorders>
            <w:shd w:val="clear" w:color="auto" w:fill="CCECFF"/>
          </w:tcPr>
          <w:p>
            <w:pPr>
              <w:spacing w:after="0"/>
              <w:rPr>
                <w:sz w:val="19"/>
                <w:szCs w:val="19"/>
                <w:color w:val="auto"/>
              </w:rPr>
            </w:pPr>
          </w:p>
        </w:tc>
        <w:tc>
          <w:tcPr>
            <w:tcW w:w="180" w:type="dxa"/>
            <w:vAlign w:val="bottom"/>
            <w:tcBorders>
              <w:top w:val="single" w:sz="8" w:color="CCECFF"/>
              <w:bottom w:val="single" w:sz="8" w:color="CCECFF"/>
            </w:tcBorders>
            <w:shd w:val="clear" w:color="auto" w:fill="CCECFF"/>
          </w:tcPr>
          <w:p>
            <w:pPr>
              <w:spacing w:after="0"/>
              <w:rPr>
                <w:sz w:val="19"/>
                <w:szCs w:val="19"/>
                <w:color w:val="auto"/>
              </w:rPr>
            </w:pPr>
          </w:p>
        </w:tc>
        <w:tc>
          <w:tcPr>
            <w:tcW w:w="220" w:type="dxa"/>
            <w:vAlign w:val="bottom"/>
            <w:tcBorders>
              <w:top w:val="single" w:sz="8" w:color="auto"/>
              <w:bottom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CFF"/>
          </w:tcPr>
          <w:p>
            <w:pPr>
              <w:ind w:left="320"/>
              <w:spacing w:after="0"/>
              <w:rPr>
                <w:sz w:val="20"/>
                <w:szCs w:val="20"/>
                <w:color w:val="auto"/>
              </w:rPr>
            </w:pPr>
            <w:r>
              <w:rPr>
                <w:rFonts w:ascii="Arial" w:cs="Arial" w:eastAsia="Arial" w:hAnsi="Arial"/>
                <w:sz w:val="18"/>
                <w:szCs w:val="18"/>
                <w:color w:val="auto"/>
                <w:w w:val="83"/>
              </w:rPr>
              <w:t>(489,033)</w:t>
            </w:r>
          </w:p>
        </w:tc>
        <w:tc>
          <w:tcPr>
            <w:tcW w:w="100" w:type="dxa"/>
            <w:vAlign w:val="bottom"/>
            <w:tcBorders>
              <w:top w:val="single" w:sz="8" w:color="CCECFF"/>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62"/>
        <w:spacing w:after="0" w:line="277" w:lineRule="auto"/>
        <w:rPr>
          <w:sz w:val="20"/>
          <w:szCs w:val="20"/>
          <w:color w:val="auto"/>
        </w:rPr>
      </w:pPr>
      <w:r>
        <w:rPr>
          <w:rFonts w:ascii="Arial" w:cs="Arial" w:eastAsia="Arial" w:hAnsi="Arial"/>
          <w:sz w:val="18"/>
          <w:szCs w:val="18"/>
          <w:color w:val="auto"/>
        </w:rPr>
        <w:t>As of September 30, 2019, we had outstanding non-U.S. dollar borrowings on our Credit Facility. Net change in fair value from foreign currency translation on outstanding borrowings is listed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vMerge w:val="restart"/>
          </w:tcPr>
          <w:p>
            <w:pPr>
              <w:spacing w:after="0"/>
              <w:rPr>
                <w:sz w:val="20"/>
                <w:szCs w:val="20"/>
                <w:color w:val="auto"/>
              </w:rPr>
            </w:pPr>
            <w:r>
              <w:rPr>
                <w:rFonts w:ascii="Arial" w:cs="Arial" w:eastAsia="Arial" w:hAnsi="Arial"/>
                <w:sz w:val="18"/>
                <w:szCs w:val="18"/>
                <w:b w:val="1"/>
                <w:bCs w:val="1"/>
                <w:color w:val="auto"/>
              </w:rPr>
              <w:t>Foreign Currency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Borrowing</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4"/>
              </w:rPr>
              <w:t>Current Value</w:t>
            </w:r>
          </w:p>
        </w:tc>
        <w:tc>
          <w:tcPr>
            <w:tcW w:w="280" w:type="dxa"/>
            <w:vAlign w:val="bottom"/>
          </w:tcPr>
          <w:p>
            <w:pPr>
              <w:spacing w:after="0"/>
              <w:rPr>
                <w:sz w:val="18"/>
                <w:szCs w:val="18"/>
                <w:color w:val="auto"/>
              </w:rPr>
            </w:pPr>
          </w:p>
        </w:tc>
        <w:tc>
          <w:tcPr>
            <w:tcW w:w="23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8"/>
              </w:rPr>
              <w:t>Reset Date</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Change in Fair</w:t>
            </w:r>
          </w:p>
        </w:tc>
        <w:tc>
          <w:tcPr>
            <w:tcW w:w="0" w:type="dxa"/>
            <w:vAlign w:val="bottom"/>
          </w:tcPr>
          <w:p>
            <w:pPr>
              <w:spacing w:after="0"/>
              <w:rPr>
                <w:sz w:val="1"/>
                <w:szCs w:val="1"/>
                <w:color w:val="auto"/>
              </w:rPr>
            </w:pPr>
          </w:p>
        </w:tc>
      </w:tr>
      <w:tr>
        <w:trPr>
          <w:trHeight w:val="126"/>
        </w:trPr>
        <w:tc>
          <w:tcPr>
            <w:tcW w:w="24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Borrowed</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3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vMerge w:val="restart"/>
          </w:tcPr>
          <w:p>
            <w:pPr>
              <w:jc w:val="right"/>
              <w:ind w:right="441"/>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Australian Dollar</w:t>
            </w:r>
          </w:p>
        </w:tc>
        <w:tc>
          <w:tcPr>
            <w:tcW w:w="240" w:type="dxa"/>
            <w:vAlign w:val="bottom"/>
            <w:tcBorders>
              <w:top w:val="single" w:sz="8" w:color="CCECFF"/>
            </w:tcBorders>
            <w:shd w:val="clear" w:color="auto" w:fill="CCECFF"/>
          </w:tcPr>
          <w:p>
            <w:pPr>
              <w:ind w:left="100"/>
              <w:spacing w:after="0"/>
              <w:rPr>
                <w:sz w:val="20"/>
                <w:szCs w:val="20"/>
                <w:color w:val="auto"/>
              </w:rPr>
            </w:pPr>
            <w:r>
              <w:rPr>
                <w:rFonts w:ascii="Arial" w:cs="Arial" w:eastAsia="Arial" w:hAnsi="Arial"/>
                <w:sz w:val="18"/>
                <w:szCs w:val="18"/>
                <w:color w:val="auto"/>
                <w:w w:val="99"/>
              </w:rPr>
              <w:t>A</w:t>
            </w:r>
          </w:p>
        </w:tc>
        <w:tc>
          <w:tcPr>
            <w:tcW w:w="200" w:type="dxa"/>
            <w:vAlign w:val="bottom"/>
            <w:tcBorders>
              <w:top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39,700,000</w:t>
            </w:r>
          </w:p>
        </w:tc>
        <w:tc>
          <w:tcPr>
            <w:tcW w:w="28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29,287,152</w:t>
            </w:r>
          </w:p>
        </w:tc>
        <w:tc>
          <w:tcPr>
            <w:tcW w:w="28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26,775,665</w:t>
            </w:r>
          </w:p>
        </w:tc>
        <w:tc>
          <w:tcPr>
            <w:tcW w:w="280" w:type="dxa"/>
            <w:vAlign w:val="bottom"/>
            <w:tcBorders>
              <w:top w:val="single" w:sz="8" w:color="CCECFF"/>
            </w:tcBorders>
            <w:shd w:val="clear" w:color="auto" w:fill="CCECFF"/>
          </w:tcPr>
          <w:p>
            <w:pPr>
              <w:spacing w:after="0"/>
              <w:rPr>
                <w:sz w:val="19"/>
                <w:szCs w:val="19"/>
                <w:color w:val="auto"/>
              </w:rPr>
            </w:pPr>
          </w:p>
        </w:tc>
        <w:tc>
          <w:tcPr>
            <w:tcW w:w="216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8"/>
                <w:szCs w:val="18"/>
                <w:color w:val="auto"/>
                <w:w w:val="91"/>
              </w:rPr>
              <w:t>November 30, 2019</w:t>
            </w:r>
          </w:p>
        </w:tc>
        <w:tc>
          <w:tcPr>
            <w:tcW w:w="180" w:type="dxa"/>
            <w:vAlign w:val="bottom"/>
            <w:tcBorders>
              <w:top w:val="single" w:sz="8" w:color="CCECFF"/>
            </w:tcBorders>
            <w:shd w:val="clear" w:color="auto" w:fill="CCECFF"/>
          </w:tcPr>
          <w:p>
            <w:pPr>
              <w:spacing w:after="0"/>
              <w:rPr>
                <w:sz w:val="19"/>
                <w:szCs w:val="19"/>
                <w:color w:val="auto"/>
              </w:rPr>
            </w:pPr>
          </w:p>
        </w:tc>
        <w:tc>
          <w:tcPr>
            <w:tcW w:w="2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(2,511,487</w:t>
            </w:r>
          </w:p>
        </w:tc>
        <w:tc>
          <w:tcPr>
            <w:tcW w:w="12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Canadian Dollar</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C$</w:t>
            </w:r>
          </w:p>
        </w:tc>
        <w:tc>
          <w:tcPr>
            <w:tcW w:w="1180" w:type="dxa"/>
            <w:vAlign w:val="bottom"/>
          </w:tcPr>
          <w:p>
            <w:pPr>
              <w:jc w:val="right"/>
              <w:spacing w:after="0"/>
              <w:rPr>
                <w:sz w:val="20"/>
                <w:szCs w:val="20"/>
                <w:color w:val="auto"/>
              </w:rPr>
            </w:pPr>
            <w:r>
              <w:rPr>
                <w:rFonts w:ascii="Arial" w:cs="Arial" w:eastAsia="Arial" w:hAnsi="Arial"/>
                <w:sz w:val="18"/>
                <w:szCs w:val="18"/>
                <w:color w:val="auto"/>
              </w:rPr>
              <w:t>9,200,000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7,137,094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6,948,640</w:t>
            </w:r>
          </w:p>
        </w:tc>
        <w:tc>
          <w:tcPr>
            <w:tcW w:w="280" w:type="dxa"/>
            <w:vAlign w:val="bottom"/>
          </w:tcPr>
          <w:p>
            <w:pPr>
              <w:spacing w:after="0"/>
              <w:rPr>
                <w:sz w:val="19"/>
                <w:szCs w:val="19"/>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November 30, 2019</w:t>
            </w: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(188,454)</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CFF"/>
              <w:bottom w:val="single" w:sz="8" w:color="CCECFF"/>
            </w:tcBorders>
            <w:shd w:val="clear" w:color="auto" w:fill="CCECFF"/>
          </w:tcPr>
          <w:p>
            <w:pPr>
              <w:spacing w:after="0"/>
              <w:rPr>
                <w:sz w:val="19"/>
                <w:szCs w:val="19"/>
                <w:color w:val="auto"/>
              </w:rPr>
            </w:pPr>
          </w:p>
        </w:tc>
        <w:tc>
          <w:tcPr>
            <w:tcW w:w="240" w:type="dxa"/>
            <w:vAlign w:val="bottom"/>
            <w:tcBorders>
              <w:top w:val="single" w:sz="8" w:color="CCECFF"/>
              <w:bottom w:val="single" w:sz="8" w:color="CCECFF"/>
            </w:tcBorders>
            <w:shd w:val="clear" w:color="auto" w:fill="CCECFF"/>
          </w:tcPr>
          <w:p>
            <w:pPr>
              <w:spacing w:after="0"/>
              <w:rPr>
                <w:sz w:val="19"/>
                <w:szCs w:val="19"/>
                <w:color w:val="auto"/>
              </w:rPr>
            </w:pPr>
          </w:p>
        </w:tc>
        <w:tc>
          <w:tcPr>
            <w:tcW w:w="200" w:type="dxa"/>
            <w:vAlign w:val="bottom"/>
            <w:tcBorders>
              <w:top w:val="single" w:sz="8" w:color="CCECFF"/>
              <w:bottom w:val="single" w:sz="8" w:color="CCECFF"/>
            </w:tcBorders>
            <w:shd w:val="clear" w:color="auto" w:fill="CCECFF"/>
          </w:tcPr>
          <w:p>
            <w:pPr>
              <w:spacing w:after="0"/>
              <w:rPr>
                <w:sz w:val="19"/>
                <w:szCs w:val="19"/>
                <w:color w:val="auto"/>
              </w:rPr>
            </w:pPr>
          </w:p>
        </w:tc>
        <w:tc>
          <w:tcPr>
            <w:tcW w:w="1180" w:type="dxa"/>
            <w:vAlign w:val="bottom"/>
            <w:tcBorders>
              <w:top w:val="single" w:sz="8" w:color="CCECFF"/>
              <w:bottom w:val="single" w:sz="8" w:color="CCECFF"/>
            </w:tcBorders>
            <w:shd w:val="clear" w:color="auto" w:fill="CCECFF"/>
          </w:tcPr>
          <w:p>
            <w:pPr>
              <w:spacing w:after="0"/>
              <w:rPr>
                <w:sz w:val="19"/>
                <w:szCs w:val="19"/>
                <w:color w:val="auto"/>
              </w:rPr>
            </w:pPr>
          </w:p>
        </w:tc>
        <w:tc>
          <w:tcPr>
            <w:tcW w:w="280" w:type="dxa"/>
            <w:vAlign w:val="bottom"/>
            <w:tcBorders>
              <w:top w:val="single" w:sz="8" w:color="CCECFF"/>
              <w:bottom w:val="single" w:sz="8" w:color="CCECFF"/>
            </w:tcBorders>
            <w:shd w:val="clear" w:color="auto" w:fill="CCECFF"/>
          </w:tcPr>
          <w:p>
            <w:pPr>
              <w:spacing w:after="0"/>
              <w:rPr>
                <w:sz w:val="19"/>
                <w:szCs w:val="19"/>
                <w:color w:val="auto"/>
              </w:rPr>
            </w:pP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36,424,246</w:t>
            </w:r>
          </w:p>
        </w:tc>
        <w:tc>
          <w:tcPr>
            <w:tcW w:w="280" w:type="dxa"/>
            <w:vAlign w:val="bottom"/>
            <w:tcBorders>
              <w:top w:val="single" w:sz="8" w:color="CCECFF"/>
              <w:bottom w:val="single" w:sz="8" w:color="CCECFF"/>
            </w:tcBorders>
            <w:shd w:val="clear" w:color="auto" w:fill="CCECFF"/>
          </w:tcPr>
          <w:p>
            <w:pPr>
              <w:spacing w:after="0"/>
              <w:rPr>
                <w:sz w:val="19"/>
                <w:szCs w:val="19"/>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33,724,305</w:t>
            </w:r>
          </w:p>
        </w:tc>
        <w:tc>
          <w:tcPr>
            <w:tcW w:w="280" w:type="dxa"/>
            <w:vAlign w:val="bottom"/>
            <w:tcBorders>
              <w:top w:val="single" w:sz="8" w:color="CCECFF"/>
              <w:bottom w:val="single" w:sz="8" w:color="CCECFF"/>
            </w:tcBorders>
            <w:shd w:val="clear" w:color="auto" w:fill="CCECFF"/>
          </w:tcPr>
          <w:p>
            <w:pPr>
              <w:spacing w:after="0"/>
              <w:rPr>
                <w:sz w:val="19"/>
                <w:szCs w:val="19"/>
                <w:color w:val="auto"/>
              </w:rPr>
            </w:pPr>
          </w:p>
        </w:tc>
        <w:tc>
          <w:tcPr>
            <w:tcW w:w="2160" w:type="dxa"/>
            <w:vAlign w:val="bottom"/>
            <w:tcBorders>
              <w:top w:val="single" w:sz="8" w:color="CCECFF"/>
              <w:bottom w:val="single" w:sz="8" w:color="CCECFF"/>
            </w:tcBorders>
            <w:shd w:val="clear" w:color="auto" w:fill="CCECFF"/>
          </w:tcPr>
          <w:p>
            <w:pPr>
              <w:spacing w:after="0"/>
              <w:rPr>
                <w:sz w:val="19"/>
                <w:szCs w:val="19"/>
                <w:color w:val="auto"/>
              </w:rPr>
            </w:pPr>
          </w:p>
        </w:tc>
        <w:tc>
          <w:tcPr>
            <w:tcW w:w="180" w:type="dxa"/>
            <w:vAlign w:val="bottom"/>
            <w:tcBorders>
              <w:top w:val="single" w:sz="8" w:color="CCECFF"/>
              <w:bottom w:val="single" w:sz="8" w:color="CCECFF"/>
            </w:tcBorders>
            <w:shd w:val="clear" w:color="auto" w:fill="CCECFF"/>
          </w:tcPr>
          <w:p>
            <w:pPr>
              <w:spacing w:after="0"/>
              <w:rPr>
                <w:sz w:val="19"/>
                <w:szCs w:val="19"/>
                <w:color w:val="auto"/>
              </w:rPr>
            </w:pPr>
          </w:p>
        </w:tc>
        <w:tc>
          <w:tcPr>
            <w:tcW w:w="240" w:type="dxa"/>
            <w:vAlign w:val="bottom"/>
            <w:tcBorders>
              <w:top w:val="single" w:sz="8" w:color="auto"/>
              <w:bottom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(2,699,941</w:t>
            </w:r>
          </w:p>
        </w:tc>
        <w:tc>
          <w:tcPr>
            <w:tcW w:w="12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AND CASH EQUIVALENTS</w:t>
      </w:r>
    </w:p>
    <w:p>
      <w:pPr>
        <w:spacing w:after="0" w:line="256" w:lineRule="exact"/>
        <w:rPr>
          <w:sz w:val="20"/>
          <w:szCs w:val="20"/>
          <w:color w:val="auto"/>
        </w:rPr>
      </w:pPr>
    </w:p>
    <w:p>
      <w:pPr>
        <w:jc w:val="both"/>
        <w:ind w:firstLine="462"/>
        <w:spacing w:after="0" w:line="255" w:lineRule="auto"/>
        <w:rPr>
          <w:sz w:val="20"/>
          <w:szCs w:val="20"/>
          <w:color w:val="auto"/>
        </w:rPr>
      </w:pPr>
      <w:r>
        <w:rPr>
          <w:rFonts w:ascii="Arial" w:cs="Arial" w:eastAsia="Arial" w:hAnsi="Arial"/>
          <w:sz w:val="18"/>
          <w:szCs w:val="18"/>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U.S. Treasury Bills with maturities greater than 60 days from the time of purchase are valued consistent with our valuation policy. As of September 30, 2020 and 2019, cash and cash equivalents consisted of money market funds in the amounts of $11.1 million and $15.3 million at fair value,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MEMBERS’ EQUITY</w:t>
      </w:r>
    </w:p>
    <w:p>
      <w:pPr>
        <w:spacing w:after="0" w:line="256" w:lineRule="exact"/>
        <w:rPr>
          <w:sz w:val="20"/>
          <w:szCs w:val="20"/>
          <w:color w:val="auto"/>
        </w:rPr>
      </w:pPr>
    </w:p>
    <w:p>
      <w:pPr>
        <w:jc w:val="both"/>
        <w:ind w:firstLine="462"/>
        <w:spacing w:after="0" w:line="286" w:lineRule="auto"/>
        <w:rPr>
          <w:sz w:val="20"/>
          <w:szCs w:val="20"/>
          <w:color w:val="auto"/>
        </w:rPr>
      </w:pPr>
      <w:r>
        <w:rPr>
          <w:rFonts w:ascii="Arial" w:cs="Arial" w:eastAsia="Arial" w:hAnsi="Arial"/>
          <w:sz w:val="17"/>
          <w:szCs w:val="17"/>
          <w:color w:val="auto"/>
        </w:rPr>
        <w:t>PFLT and Kemper provide capital to PSSL in the form of first lien secured debt and equity interests. The first lien secured debt was previously subordinated debt that were modified during the year ended September 30, 2018 to eliminate the subordination provision. As of September 30, 2020 and 2019, PFLT and Kemper owned 87.5% and 12.5%, respectively, of each of the outstanding notes and equity interests.</w:t>
      </w:r>
    </w:p>
    <w:p>
      <w:pPr>
        <w:spacing w:after="0" w:line="192" w:lineRule="exact"/>
        <w:rPr>
          <w:sz w:val="20"/>
          <w:szCs w:val="20"/>
          <w:color w:val="auto"/>
        </w:rPr>
      </w:pPr>
    </w:p>
    <w:p>
      <w:pPr>
        <w:jc w:val="both"/>
        <w:ind w:firstLine="462"/>
        <w:spacing w:after="0" w:line="263" w:lineRule="auto"/>
        <w:rPr>
          <w:sz w:val="20"/>
          <w:szCs w:val="20"/>
          <w:color w:val="auto"/>
        </w:rPr>
      </w:pPr>
      <w:r>
        <w:rPr>
          <w:rFonts w:ascii="Arial" w:cs="Arial" w:eastAsia="Arial" w:hAnsi="Arial"/>
          <w:sz w:val="18"/>
          <w:szCs w:val="18"/>
          <w:color w:val="auto"/>
        </w:rPr>
        <w:t>As of September 30, 2020 and 2019, PFLT had commitments to fund notes to PSSL of $140.9 million and $128.6 million, respectively, of which $15.5 million and $6.4 million, respectively, were unfunded. As of the same dates, PFLT had commitments to fund equity interests to PSSL of $60.4 million and $55.1 million, respectively, of which $6.6 million and $2.8 million were unfunded, respectively.</w:t>
      </w:r>
    </w:p>
    <w:p>
      <w:pPr>
        <w:spacing w:after="0" w:line="211" w:lineRule="exact"/>
        <w:rPr>
          <w:sz w:val="20"/>
          <w:szCs w:val="20"/>
          <w:color w:val="auto"/>
        </w:rPr>
      </w:pPr>
    </w:p>
    <w:p>
      <w:pPr>
        <w:jc w:val="both"/>
        <w:ind w:firstLine="462"/>
        <w:spacing w:after="0" w:line="263" w:lineRule="auto"/>
        <w:rPr>
          <w:sz w:val="20"/>
          <w:szCs w:val="20"/>
          <w:color w:val="auto"/>
        </w:rPr>
      </w:pPr>
      <w:r>
        <w:rPr>
          <w:rFonts w:ascii="Arial" w:cs="Arial" w:eastAsia="Arial" w:hAnsi="Arial"/>
          <w:sz w:val="18"/>
          <w:szCs w:val="18"/>
          <w:color w:val="auto"/>
        </w:rPr>
        <w:t>As of September 30, 2020 and 2019, Kemper had commitments to fund notes to PSSL of $20.1 million and $18.4 million, respectively, of which $2.2 million and $0.9 million, respectively, were unfunded. As of the same dates, Kemper had commitments to fund equity interests to PSSL of $8.6 million and $7.9 million, respectively, of which $0.9 million and $0.4 million were unfunded,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RISKS AND UNCERTAINTIES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first lien secured loans of privately held companies</w:t>
      </w:r>
    </w:p>
    <w:p>
      <w:pPr>
        <w:spacing w:after="0" w:line="256" w:lineRule="exact"/>
        <w:rPr>
          <w:sz w:val="20"/>
          <w:szCs w:val="20"/>
          <w:color w:val="auto"/>
        </w:rPr>
      </w:pPr>
    </w:p>
    <w:p>
      <w:pPr>
        <w:jc w:val="both"/>
        <w:ind w:firstLine="462"/>
        <w:spacing w:after="0" w:line="257" w:lineRule="auto"/>
        <w:rPr>
          <w:sz w:val="20"/>
          <w:szCs w:val="20"/>
          <w:color w:val="auto"/>
        </w:rPr>
      </w:pPr>
      <w:r>
        <w:rPr>
          <w:rFonts w:ascii="Arial" w:cs="Arial" w:eastAsia="Arial" w:hAnsi="Arial"/>
          <w:sz w:val="18"/>
          <w:szCs w:val="18"/>
          <w:color w:val="auto"/>
        </w:rPr>
        <w:t>PSSL seeks investment opportunities that offer the possibility of attaining income generation, capital preservation and capital appreciation including investments in private companies. Certain events particular to each industry in which PSSL’s investments conduct their operations, as well as general economic and political conditions, may have a significant negative impact on the investee’s operations and profitability. Such events are beyond PSSL’s controls, and the likelihood that they may occur cannot be predicted. Furthermore, investments of PSSL are made in private companies and there are generally no public markets for these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securities at the current time. The ability of PSSL to liquidate these investments and realize value is subject to significant limitations and uncertainties.</w:t>
      </w:r>
    </w:p>
    <w:p>
      <w:pPr>
        <w:spacing w:after="0" w:line="264" w:lineRule="exact"/>
        <w:rPr>
          <w:sz w:val="20"/>
          <w:szCs w:val="20"/>
          <w:color w:val="auto"/>
        </w:rPr>
      </w:pPr>
    </w:p>
    <w:p>
      <w:pPr>
        <w:jc w:val="both"/>
        <w:ind w:firstLine="462"/>
        <w:spacing w:after="0" w:line="271" w:lineRule="auto"/>
        <w:rPr>
          <w:sz w:val="20"/>
          <w:szCs w:val="20"/>
          <w:color w:val="auto"/>
        </w:rPr>
      </w:pPr>
      <w:r>
        <w:rPr>
          <w:rFonts w:ascii="Arial" w:cs="Arial" w:eastAsia="Arial" w:hAnsi="Arial"/>
          <w:sz w:val="17"/>
          <w:szCs w:val="17"/>
          <w:color w:val="auto"/>
        </w:rPr>
        <w:t>PSSL may borrow funds in order to increase the amount of capital available for investment. The use of leverage can improve the return on invested capital, however, such use may also magnify the potential for loss on invested equity capital. If the value of PSSL’s assets decreases, leveraging would cause net asset value to decline more sharply than it otherwise would have had PSSL not leveraged. Similarly, any decrease in PSSL’s income would cause net income to decline more sharply than it would have had PSSL not borrowed. Borrowings will usually be from credit facilities and will typically be secured by PSSL’s securities and other assets. Under certain circumstances, such credit facilities may demand an increase in the collateral that secures PSSL’s obligations and if PSSL was unable to provide additional collateral, the credit facilities could liquidate assets held in the account to satisfy PSSL’s obligations. Liquidation in this manner could have adverse consequences. Additionally, the amount of PSSL’s borrowings and the interest rates on those borrowings, which will fluctuate, could have a significant effect on PSSL’s profitability.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jc w:val="both"/>
        <w:ind w:firstLine="462"/>
        <w:spacing w:after="0" w:line="286" w:lineRule="auto"/>
        <w:rPr>
          <w:sz w:val="20"/>
          <w:szCs w:val="20"/>
          <w:color w:val="auto"/>
        </w:rPr>
      </w:pPr>
      <w:r>
        <w:rPr>
          <w:rFonts w:ascii="Arial" w:cs="Arial" w:eastAsia="Arial" w:hAnsi="Arial"/>
          <w:sz w:val="17"/>
          <w:szCs w:val="17"/>
          <w:color w:val="auto"/>
        </w:rPr>
        <w:t>PSSL primarily invests in first lien secured debt to middle-market companies. A majority of the investments held by PSSL are subject to restrictions on their resale or are otherwise illiquid. PSSL assumes the credit risk of the borrower. In the event that the borrower becomes insolvent or enters bankruptcy, PSSL may incur certain costs and delays in realizing payment, or may suffer a loss of principal and/or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HIGHLIGHTS</w:t>
      </w:r>
    </w:p>
    <w:p>
      <w:pPr>
        <w:spacing w:after="0" w:line="256" w:lineRule="exact"/>
        <w:rPr>
          <w:sz w:val="20"/>
          <w:szCs w:val="20"/>
          <w:color w:val="auto"/>
        </w:rPr>
      </w:pPr>
    </w:p>
    <w:p>
      <w:pPr>
        <w:jc w:val="both"/>
        <w:ind w:firstLine="462"/>
        <w:spacing w:after="0" w:line="277" w:lineRule="auto"/>
        <w:rPr>
          <w:sz w:val="20"/>
          <w:szCs w:val="20"/>
          <w:color w:val="auto"/>
        </w:rPr>
      </w:pPr>
      <w:r>
        <w:rPr>
          <w:rFonts w:ascii="Arial" w:cs="Arial" w:eastAsia="Arial" w:hAnsi="Arial"/>
          <w:sz w:val="18"/>
          <w:szCs w:val="18"/>
          <w:color w:val="auto"/>
        </w:rPr>
        <w:t>The Members are responsible for all investment making and business decisions, and therefore, there is no requirement to show financial highlights per ASC 946, which have been omitted accordingly.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CREDIT FACILITY</w:t>
      </w:r>
    </w:p>
    <w:p>
      <w:pPr>
        <w:spacing w:after="0" w:line="229" w:lineRule="exact"/>
        <w:rPr>
          <w:sz w:val="20"/>
          <w:szCs w:val="20"/>
          <w:color w:val="auto"/>
        </w:rPr>
      </w:pPr>
    </w:p>
    <w:p>
      <w:pPr>
        <w:jc w:val="both"/>
        <w:ind w:firstLine="462"/>
        <w:spacing w:after="0" w:line="293" w:lineRule="auto"/>
        <w:rPr>
          <w:sz w:val="20"/>
          <w:szCs w:val="20"/>
          <w:color w:val="auto"/>
        </w:rPr>
      </w:pPr>
      <w:r>
        <w:rPr>
          <w:rFonts w:ascii="Arial" w:cs="Arial" w:eastAsia="Arial" w:hAnsi="Arial"/>
          <w:sz w:val="16"/>
          <w:szCs w:val="16"/>
          <w:color w:val="auto"/>
        </w:rPr>
        <w:t>As of September 30, 2020, PSSL had a $325.0 million multi-currency Credit Facility with Capital One, N.A. as the lender and administrative agent. As of September 30, 2020 and 2019, we had $217.5 million and $311.4 million, respectively, in outstanding borrowings under the Credit Facility. The Credit Facility had a weighted average interest rate of 2.4% and 4.2%, excluding the undrawn commitment fees as of September 30, 2020 and 2019, respectively. The Credit Facility is a five-year revolving facility with a stated maturity date of May 2, 2023 and pricing set at 2.25% over LIBOR. The Credit Facility is secured by substantially all of the assets held by us. The carrying value of our Credit Facility approximates fair value. The Credit Facility contains customary financial and other covenants. As of September 30, 2020 we are in compliance with the covenants of our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56" w:lineRule="exact"/>
        <w:rPr>
          <w:sz w:val="20"/>
          <w:szCs w:val="20"/>
          <w:color w:val="auto"/>
        </w:rPr>
      </w:pPr>
    </w:p>
    <w:p>
      <w:pPr>
        <w:jc w:val="both"/>
        <w:ind w:firstLine="462"/>
        <w:spacing w:after="0" w:line="277" w:lineRule="auto"/>
        <w:rPr>
          <w:sz w:val="20"/>
          <w:szCs w:val="20"/>
          <w:color w:val="auto"/>
        </w:rPr>
      </w:pPr>
      <w:r>
        <w:rPr>
          <w:rFonts w:ascii="Arial" w:cs="Arial" w:eastAsia="Arial" w:hAnsi="Arial"/>
          <w:sz w:val="18"/>
          <w:szCs w:val="18"/>
          <w:color w:val="auto"/>
        </w:rPr>
        <w:t>Subsequent events are evaluated and disclosed as appropriate for events occurring through the date the consolidated financial statements were available to be issued, November 18,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1)"/>
      <w:numFmt w:val="lowerLetter"/>
      <w:start w:val="1"/>
    </w:lvl>
  </w:abstractNum>
  <w:abstractNum w:abstractNumId="6">
    <w:nsid w:val="354FE9F9"/>
    <w:multiLevelType w:val="hybridMultilevel"/>
    <w:lvl w:ilvl="0">
      <w:lvlJc w:val="left"/>
      <w:lvlText w:val="%1)"/>
      <w:numFmt w:val="lowerLetter"/>
      <w:start w:val="2"/>
    </w:lvl>
  </w:abstractNum>
  <w:abstractNum w:abstractNumId="7">
    <w:nsid w:val="15B5AF5C"/>
    <w:multiLevelType w:val="hybridMultilevel"/>
    <w:lvl w:ilvl="0">
      <w:lvlJc w:val="left"/>
      <w:lvlText w:val="•"/>
      <w:numFmt w:val="bullet"/>
      <w:start w:val="1"/>
    </w:lvl>
    <w:lvl w:ilvl="1">
      <w:lvlJc w:val="left"/>
      <w:lvlText w:val="%2)"/>
      <w:numFmt w:val="lowerLetter"/>
      <w:start w:val="3"/>
    </w:lvl>
  </w:abstractNum>
  <w:abstractNum w:abstractNumId="8">
    <w:nsid w:val="741226BB"/>
    <w:multiLevelType w:val="hybridMultilevel"/>
    <w:lvl w:ilvl="0">
      <w:lvlJc w:val="left"/>
      <w:lvlText w:val="%1)"/>
      <w:numFmt w:val="lowerLetter"/>
      <w:start w:val="4"/>
    </w:lvl>
  </w:abstractNum>
  <w:abstractNum w:abstractNumId="9">
    <w:nsid w:val="D34B6A8"/>
    <w:multiLevelType w:val="hybridMultilevel"/>
    <w:lvl w:ilvl="0">
      <w:lvlJc w:val="left"/>
      <w:lvlText w:val="%1)"/>
      <w:numFmt w:val="lowerLetter"/>
      <w:start w:val="1"/>
    </w:lvl>
  </w:abstractNum>
  <w:abstractNum w:abstractNumId="10">
    <w:nsid w:val="10233C99"/>
    <w:multiLevelType w:val="hybridMultilevel"/>
    <w:lvl w:ilvl="0">
      <w:lvlJc w:val="left"/>
      <w:lvlText w:val="%1)"/>
      <w:numFmt w:val="lowerLetter"/>
      <w:start w:val="2"/>
    </w:lvl>
  </w:abstractNum>
  <w:abstractNum w:abstractNumId="11">
    <w:nsid w:val="3F6AB60F"/>
    <w:multiLevelType w:val="hybridMultilevel"/>
    <w:lvl w:ilvl="0">
      <w:lvlJc w:val="left"/>
      <w:lvlText w:val="%1)"/>
      <w:numFmt w:val="lowerLetter"/>
      <w:start w:val="3"/>
    </w:lvl>
  </w:abstractNum>
  <w:abstractNum w:abstractNumId="12">
    <w:nsid w:val="61574095"/>
    <w:multiLevelType w:val="hybridMultilevel"/>
    <w:lvl w:ilvl="0">
      <w:lvlJc w:val="left"/>
      <w:lvlText w:val="%1)"/>
      <w:numFmt w:val="lowerLetter"/>
      <w:start w:val="4"/>
    </w:lvl>
  </w:abstractNum>
  <w:abstractNum w:abstractNumId="13">
    <w:nsid w:val="7E0C57B1"/>
    <w:multiLevelType w:val="hybridMultilevel"/>
    <w:lvl w:ilvl="0">
      <w:lvlJc w:val="left"/>
      <w:lvlText w:val="%1)"/>
      <w:numFmt w:val="lowerLetter"/>
      <w:start w:val="5"/>
    </w:lvl>
  </w:abstractNum>
  <w:abstractNum w:abstractNumId="14">
    <w:nsid w:val="77AE35EB"/>
    <w:multiLevelType w:val="hybridMultilevel"/>
    <w:lvl w:ilvl="0">
      <w:lvlJc w:val="left"/>
      <w:lvlText w:val="%1)"/>
      <w:numFmt w:val="lowerLetter"/>
      <w:start w:val="6"/>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1)"/>
      <w:numFmt w:val="decimal"/>
      <w:start w:val="4"/>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lvl w:ilvl="1">
      <w:lvlJc w:val="left"/>
      <w:lvlText w:val="="/>
      <w:numFmt w:val="bullet"/>
      <w:start w:val="1"/>
    </w:lvl>
  </w:abstractNum>
  <w:abstractNum w:abstractNumId="22">
    <w:nsid w:val="1F48EAA1"/>
    <w:multiLevelType w:val="hybridMultilevel"/>
    <w:lvl w:ilvl="0">
      <w:lvlJc w:val="left"/>
      <w:lvlText w:val="(%1)"/>
      <w:numFmt w:val="decimal"/>
      <w:start w:val="1"/>
    </w:lvl>
  </w:abstractNum>
  <w:abstractNum w:abstractNumId="23">
    <w:nsid w:val="1381823A"/>
    <w:multiLevelType w:val="hybridMultilevel"/>
    <w:lvl w:ilvl="0">
      <w:lvlJc w:val="left"/>
      <w:lvlText w:val="(%1)"/>
      <w:numFmt w:val="decimal"/>
      <w:start w:val="1"/>
    </w:lvl>
  </w:abstractNum>
  <w:abstractNum w:abstractNumId="24">
    <w:nsid w:val="5DB70A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lvl w:ilvl="1">
      <w:lvlJc w:val="left"/>
      <w:lvlText w:val="%2)"/>
      <w:numFmt w:val="decimal"/>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1)"/>
      <w:numFmt w:val="decimal"/>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1."/>
      <w:numFmt w:val="decimal"/>
      <w:start w:val="1"/>
    </w:lvl>
  </w:abstractNum>
  <w:abstractNum w:abstractNumId="33">
    <w:nsid w:val="168E121F"/>
    <w:multiLevelType w:val="hybridMultilevel"/>
    <w:lvl w:ilvl="0">
      <w:lvlJc w:val="left"/>
      <w:lvlText w:val="%1."/>
      <w:numFmt w:val="decimal"/>
      <w:start w:val="2"/>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1)"/>
      <w:numFmt w:val="decimal"/>
      <w:start w:val="1"/>
    </w:lvl>
  </w:abstractNum>
  <w:abstractNum w:abstractNumId="42">
    <w:nsid w:val="11447B73"/>
    <w:multiLevelType w:val="hybridMultilevel"/>
    <w:lvl w:ilvl="0">
      <w:lvlJc w:val="left"/>
      <w:lvlText w:val="(%1)"/>
      <w:numFmt w:val="decimal"/>
      <w:start w:val="1"/>
    </w:lvl>
  </w:abstractNum>
  <w:abstractNum w:abstractNumId="43">
    <w:nsid w:val="42963E5A"/>
    <w:multiLevelType w:val="hybridMultilevel"/>
    <w:lvl w:ilvl="0">
      <w:lvlJc w:val="left"/>
      <w:lvlText w:val="(%1)"/>
      <w:numFmt w:val="decimal"/>
      <w:start w:val="6"/>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1)"/>
      <w:numFmt w:val="decimal"/>
      <w:start w:val="1"/>
    </w:lvl>
  </w:abstractNum>
  <w:abstractNum w:abstractNumId="48">
    <w:nsid w:val="68EB2F63"/>
    <w:multiLevelType w:val="hybridMultilevel"/>
    <w:lvl w:ilvl="0">
      <w:lvlJc w:val="left"/>
      <w:lvlText w:val="%1."/>
      <w:numFmt w:val="decimal"/>
      <w:start w:val="1"/>
    </w:lvl>
  </w:abstractNum>
  <w:abstractNum w:abstractNumId="49">
    <w:nsid w:val="4962813B"/>
    <w:multiLevelType w:val="hybridMultilevel"/>
    <w:lvl w:ilvl="0">
      <w:lvlJc w:val="left"/>
      <w:lvlText w:val="(%1)"/>
      <w:numFmt w:val="decimal"/>
      <w:start w:val="1"/>
    </w:lvl>
  </w:abstractNum>
  <w:abstractNum w:abstractNumId="50">
    <w:nsid w:val="60B6DF70"/>
    <w:multiLevelType w:val="hybridMultilevel"/>
    <w:lvl w:ilvl="0">
      <w:lvlJc w:val="left"/>
      <w:lvlText w:val="(%1)"/>
      <w:numFmt w:val="decimal"/>
      <w:start w:val="1"/>
    </w:lvl>
  </w:abstractNum>
  <w:abstractNum w:abstractNumId="51">
    <w:nsid w:val="6A5EE64"/>
    <w:multiLevelType w:val="hybridMultilevel"/>
    <w:lvl w:ilvl="0">
      <w:lvlJc w:val="left"/>
      <w:lvlText w:val="(%1)"/>
      <w:numFmt w:val="decimal"/>
      <w:start w:val="1"/>
    </w:lvl>
  </w:abstractNum>
  <w:abstractNum w:abstractNumId="52">
    <w:nsid w:val="14330624"/>
    <w:multiLevelType w:val="hybridMultilevel"/>
    <w:lvl w:ilvl="0">
      <w:lvlJc w:val="left"/>
      <w:lvlText w:val="(%1)"/>
      <w:numFmt w:val="decimal"/>
      <w:start w:val="1"/>
    </w:lvl>
  </w:abstractNum>
  <w:abstractNum w:abstractNumId="53">
    <w:nsid w:val="7FFFCA11"/>
    <w:multiLevelType w:val="hybridMultilevel"/>
    <w:lvl w:ilvl="0">
      <w:lvlJc w:val="left"/>
      <w:lvlText w:val="(%1)"/>
      <w:numFmt w:val="decimal"/>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1)"/>
      <w:numFmt w:val="decimal"/>
      <w:start w:val="1"/>
    </w:lvl>
  </w:abstractNum>
  <w:abstractNum w:abstractNumId="56">
    <w:nsid w:val="100F59DC"/>
    <w:multiLevelType w:val="hybridMultilevel"/>
    <w:lvl w:ilvl="0">
      <w:lvlJc w:val="left"/>
      <w:lvlText w:val="(%1)"/>
      <w:numFmt w:val="decimal"/>
      <w:start w:val="1"/>
    </w:lvl>
  </w:abstractNum>
  <w:abstractNum w:abstractNumId="57">
    <w:nsid w:val="7FB7E0AA"/>
    <w:multiLevelType w:val="hybridMultilevel"/>
    <w:lvl w:ilvl="0">
      <w:lvlJc w:val="left"/>
      <w:lvlText w:val="(%1)"/>
      <w:numFmt w:val="decimal"/>
      <w:start w:val="1"/>
    </w:lvl>
  </w:abstractNum>
  <w:abstractNum w:abstractNumId="58">
    <w:nsid w:val="6EB5BD4"/>
    <w:multiLevelType w:val="hybridMultilevel"/>
    <w:lvl w:ilvl="0">
      <w:lvlJc w:val="left"/>
      <w:lvlText w:val="(%1)"/>
      <w:numFmt w:val="lowerLetter"/>
      <w:start w:val="5"/>
    </w:lvl>
    <w:lvl w:ilvl="1">
      <w:lvlJc w:val="left"/>
      <w:lvlText w:val="%2."/>
      <w:numFmt w:val="decimal"/>
      <w:start w:val="1"/>
    </w:lvl>
  </w:abstractNum>
  <w:abstractNum w:abstractNumId="59">
    <w:nsid w:val="6F6DD9AC"/>
    <w:multiLevelType w:val="hybridMultilevel"/>
    <w:lvl w:ilvl="0">
      <w:lvlJc w:val="left"/>
      <w:lvlText w:val="(%1)"/>
      <w:numFmt w:val="decimal"/>
      <w:start w:val="1"/>
    </w:lvl>
  </w:abstractNum>
  <w:abstractNum w:abstractNumId="60">
    <w:nsid w:val="94211F2"/>
    <w:multiLevelType w:val="hybridMultilevel"/>
    <w:lvl w:ilvl="0">
      <w:lvlJc w:val="left"/>
      <w:lvlText w:val="(%1)"/>
      <w:numFmt w:val="decimal"/>
      <w:start w:val="1"/>
    </w:lvl>
  </w:abstractNum>
  <w:abstractNum w:abstractNumId="61">
    <w:nsid w:val="885E1B"/>
    <w:multiLevelType w:val="hybridMultilevel"/>
    <w:lvl w:ilvl="0">
      <w:lvlJc w:val="left"/>
      <w:lvlText w:val="(%1)"/>
      <w:numFmt w:val="decimal"/>
      <w:start w:val="1"/>
    </w:lvl>
  </w:abstractNum>
  <w:abstractNum w:abstractNumId="62">
    <w:nsid w:val="76272110"/>
    <w:multiLevelType w:val="hybridMultilevel"/>
    <w:lvl w:ilvl="0">
      <w:lvlJc w:val="left"/>
      <w:lvlText w:val="(%1)"/>
      <w:numFmt w:val="decimal"/>
      <w:start w:val="1"/>
    </w:lvl>
  </w:abstractNum>
  <w:abstractNum w:abstractNumId="63">
    <w:nsid w:val="4C04A8AF"/>
    <w:multiLevelType w:val="hybridMultilevel"/>
    <w:lvl w:ilvl="0">
      <w:lvlJc w:val="left"/>
      <w:lvlText w:val="(%1)"/>
      <w:numFmt w:val="decimal"/>
      <w:start w:val="1"/>
    </w:lvl>
  </w:abstractNum>
  <w:abstractNum w:abstractNumId="64">
    <w:nsid w:val="1716703B"/>
    <w:multiLevelType w:val="hybridMultilevel"/>
    <w:lvl w:ilvl="0">
      <w:lvlJc w:val="left"/>
      <w:lvlText w:val="(%1)"/>
      <w:numFmt w:val="decimal"/>
      <w:start w:val="1"/>
    </w:lvl>
  </w:abstractNum>
  <w:abstractNum w:abstractNumId="65">
    <w:nsid w:val="14E17E33"/>
    <w:multiLevelType w:val="hybridMultilevel"/>
    <w:lvl w:ilvl="0">
      <w:lvlJc w:val="left"/>
      <w:lvlText w:val="(%1)"/>
      <w:numFmt w:val="decimal"/>
      <w:start w:val="1"/>
    </w:lvl>
  </w:abstractNum>
  <w:abstractNum w:abstractNumId="66">
    <w:nsid w:val="3222E7CD"/>
    <w:multiLevelType w:val="hybridMultilevel"/>
    <w:lvl w:ilvl="0">
      <w:lvlJc w:val="left"/>
      <w:lvlText w:val="(%1)"/>
      <w:numFmt w:val="decimal"/>
      <w:start w:val="1"/>
    </w:lvl>
  </w:abstractNum>
  <w:abstractNum w:abstractNumId="67">
    <w:nsid w:val="74DE0EE3"/>
    <w:multiLevelType w:val="hybridMultilevel"/>
    <w:lvl w:ilvl="0">
      <w:lvlJc w:val="left"/>
      <w:lvlText w:val="*"/>
      <w:numFmt w:val="bullet"/>
      <w:start w:val="1"/>
    </w:lvl>
  </w:abstractNum>
  <w:abstractNum w:abstractNumId="68">
    <w:nsid w:val="68EBC550"/>
    <w:multiLevelType w:val="hybridMultilevel"/>
    <w:lvl w:ilvl="0">
      <w:lvlJc w:val="left"/>
      <w:lvlText w:val="(%1)"/>
      <w:numFmt w:val="decimal"/>
      <w:start w:val="1"/>
    </w:lvl>
  </w:abstractNum>
  <w:abstractNum w:abstractNumId="69">
    <w:nsid w:val="2DF6D648"/>
    <w:multiLevelType w:val="hybridMultilevel"/>
    <w:lvl w:ilvl="0">
      <w:lvlJc w:val="left"/>
      <w:lvlText w:val="(%1)"/>
      <w:numFmt w:val="decimal"/>
      <w:start w:val="1"/>
    </w:lvl>
  </w:abstractNum>
  <w:abstractNum w:abstractNumId="70">
    <w:nsid w:val="46B7D447"/>
    <w:multiLevelType w:val="hybridMultilevel"/>
    <w:lvl w:ilvl="0">
      <w:lvlJc w:val="left"/>
      <w:lvlText w:val="*"/>
      <w:numFmt w:val="bullet"/>
      <w:start w:val="1"/>
    </w:lvl>
  </w:abstractNum>
  <w:abstractNum w:abstractNumId="71">
    <w:nsid w:val="4A2AC315"/>
    <w:multiLevelType w:val="hybridMultilevel"/>
    <w:lvl w:ilvl="0">
      <w:lvlJc w:val="left"/>
      <w:lvlText w:val="(%1)"/>
      <w:numFmt w:val="upperLetter"/>
      <w:start w:val="1"/>
    </w:lvl>
  </w:abstractNum>
  <w:abstractNum w:abstractNumId="72">
    <w:nsid w:val="39EE015C"/>
    <w:multiLevelType w:val="hybridMultilevel"/>
    <w:lvl w:ilvl="0">
      <w:lvlJc w:val="left"/>
      <w:lvlText w:val="(%1)"/>
      <w:numFmt w:val="upperLetter"/>
      <w:start w:val="11"/>
    </w:lvl>
  </w:abstractNum>
  <w:abstractNum w:abstractNumId="73">
    <w:nsid w:val="57FC4FBB"/>
    <w:multiLevelType w:val="hybridMultilevel"/>
    <w:lvl w:ilvl="0">
      <w:lvlJc w:val="left"/>
      <w:lvlText w:val="(%1)"/>
      <w:numFmt w:val="lowerRoman"/>
      <w:start w:val="1"/>
    </w:lvl>
  </w:abstractNum>
  <w:abstractNum w:abstractNumId="74">
    <w:nsid w:val="CC1016F"/>
    <w:multiLevelType w:val="hybridMultilevel"/>
    <w:lvl w:ilvl="0">
      <w:lvlJc w:val="left"/>
      <w:lvlText w:val="(%1)"/>
      <w:numFmt w:val="upperLetter"/>
      <w:start w:val="1"/>
    </w:lvl>
  </w:abstractNum>
  <w:abstractNum w:abstractNumId="75">
    <w:nsid w:val="43F18422"/>
    <w:multiLevelType w:val="hybridMultilevel"/>
    <w:lvl w:ilvl="0">
      <w:lvlJc w:val="left"/>
      <w:lvlText w:val="(%1)"/>
      <w:numFmt w:val="upperLetter"/>
      <w:start w:val="1"/>
    </w:lvl>
  </w:abstractNum>
  <w:abstractNum w:abstractNumId="76">
    <w:nsid w:val="60EF0119"/>
    <w:multiLevelType w:val="hybridMultilevel"/>
    <w:lvl w:ilvl="0">
      <w:lvlJc w:val="left"/>
      <w:lvlText w:val="(%1)"/>
      <w:numFmt w:val="upperLetter"/>
      <w:start w:val="2"/>
    </w:lvl>
  </w:abstractNum>
  <w:abstractNum w:abstractNumId="77">
    <w:nsid w:val="26F324BA"/>
    <w:multiLevelType w:val="hybridMultilevel"/>
    <w:lvl w:ilvl="0">
      <w:lvlJc w:val="left"/>
      <w:lvlText w:val="%1"/>
      <w:numFmt w:val="upperLetter"/>
      <w:start w:val="1"/>
    </w:lvl>
    <w:lvl w:ilvl="1">
      <w:lvlJc w:val="left"/>
      <w:lvlText w:val="(%2)"/>
      <w:numFmt w:val="decimal"/>
      <w:start w:val="1"/>
    </w:lvl>
  </w:abstractNum>
  <w:abstractNum w:abstractNumId="78">
    <w:nsid w:val="7F01579B"/>
    <w:multiLevelType w:val="hybridMultilevel"/>
    <w:lvl w:ilvl="0">
      <w:lvlJc w:val="left"/>
      <w:lvlText w:val="(%1)"/>
      <w:numFmt w:val="upperLetter"/>
      <w:start w:val="3"/>
    </w:lvl>
    <w:lvl w:ilvl="1">
      <w:lvlJc w:val="left"/>
      <w:lvlText w:val="%2"/>
      <w:numFmt w:val="decimal"/>
      <w:start w:val="1"/>
    </w:lvl>
  </w:abstractNum>
  <w:abstractNum w:abstractNumId="79">
    <w:nsid w:val="49DA307D"/>
    <w:multiLevelType w:val="hybridMultilevel"/>
    <w:lvl w:ilvl="0">
      <w:lvlJc w:val="left"/>
      <w:lvlText w:val="(%1)"/>
      <w:numFmt w:val="upperLetter"/>
      <w:start w:val="4"/>
    </w:lvl>
  </w:abstractNum>
  <w:abstractNum w:abstractNumId="80">
    <w:nsid w:val="7055A5F5"/>
    <w:multiLevelType w:val="hybridMultilevel"/>
    <w:lvl w:ilvl="0">
      <w:lvlJc w:val="left"/>
      <w:lvlText w:val="(%1)"/>
      <w:numFmt w:val="upperLetter"/>
      <w:start w:val="5"/>
    </w:lvl>
  </w:abstractNum>
  <w:abstractNum w:abstractNumId="81">
    <w:nsid w:val="5FB8370B"/>
    <w:multiLevelType w:val="hybridMultilevel"/>
    <w:lvl w:ilvl="0">
      <w:lvlJc w:val="left"/>
      <w:lvlText w:val="%1"/>
      <w:numFmt w:val="upperLetter"/>
      <w:start w:val="1"/>
    </w:lvl>
    <w:lvl w:ilvl="1">
      <w:lvlJc w:val="left"/>
      <w:lvlText w:val="(%2)"/>
      <w:numFmt w:val="decimal"/>
      <w:start w:val="1"/>
    </w:lvl>
  </w:abstractNum>
  <w:abstractNum w:abstractNumId="82">
    <w:nsid w:val="50801EE1"/>
    <w:multiLevelType w:val="hybridMultilevel"/>
    <w:lvl w:ilvl="0">
      <w:lvlJc w:val="left"/>
      <w:lvlText w:val="(%1)"/>
      <w:numFmt w:val="upperLetter"/>
      <w:start w:val="6"/>
    </w:lvl>
    <w:lvl w:ilvl="1">
      <w:lvlJc w:val="left"/>
      <w:lvlText w:val="%2"/>
      <w:numFmt w:val="decimal"/>
      <w:start w:val="1"/>
    </w:lvl>
  </w:abstractNum>
  <w:abstractNum w:abstractNumId="83">
    <w:nsid w:val="488AC1A"/>
    <w:multiLevelType w:val="hybridMultilevel"/>
    <w:lvl w:ilvl="0">
      <w:lvlJc w:val="left"/>
      <w:lvlText w:val="(%1)"/>
      <w:numFmt w:val="upperLetter"/>
      <w:start w:val="7"/>
    </w:lvl>
  </w:abstractNum>
  <w:abstractNum w:abstractNumId="84">
    <w:nsid w:val="5FB8011C"/>
    <w:multiLevelType w:val="hybridMultilevel"/>
    <w:lvl w:ilvl="0">
      <w:lvlJc w:val="left"/>
      <w:lvlText w:val="(%1)"/>
      <w:numFmt w:val="upperLetter"/>
      <w:start w:val="8"/>
    </w:lvl>
  </w:abstractNum>
  <w:abstractNum w:abstractNumId="85">
    <w:nsid w:val="6AA78F7F"/>
    <w:multiLevelType w:val="hybridMultilevel"/>
    <w:lvl w:ilvl="0">
      <w:lvlJc w:val="left"/>
      <w:lvlText w:val="(%1)"/>
      <w:numFmt w:val="upperLetter"/>
      <w:start w:val="9"/>
    </w:lvl>
  </w:abstractNum>
  <w:abstractNum w:abstractNumId="86">
    <w:nsid w:val="7672BD23"/>
    <w:multiLevelType w:val="hybridMultilevel"/>
    <w:lvl w:ilvl="0">
      <w:lvlJc w:val="left"/>
      <w:lvlText w:val="(%1)"/>
      <w:numFmt w:val="upperLetter"/>
      <w:start w:val="1"/>
    </w:lvl>
  </w:abstractNum>
  <w:abstractNum w:abstractNumId="87">
    <w:nsid w:val="6FC75AF8"/>
    <w:multiLevelType w:val="hybridMultilevel"/>
    <w:lvl w:ilvl="0">
      <w:lvlJc w:val="left"/>
      <w:lvlText w:val="(%1)"/>
      <w:numFmt w:val="upperLetter"/>
      <w:start w:val="2"/>
    </w:lvl>
  </w:abstractNum>
  <w:abstractNum w:abstractNumId="88">
    <w:nsid w:val="6A5F7029"/>
    <w:multiLevelType w:val="hybridMultilevel"/>
    <w:lvl w:ilvl="0">
      <w:lvlJc w:val="left"/>
      <w:lvlText w:val="(%1)"/>
      <w:numFmt w:val="upperLetter"/>
      <w:start w:val="3"/>
    </w:lvl>
  </w:abstractNum>
  <w:abstractNum w:abstractNumId="89">
    <w:nsid w:val="7D5E18F8"/>
    <w:multiLevelType w:val="hybridMultilevel"/>
    <w:lvl w:ilvl="0">
      <w:lvlJc w:val="left"/>
      <w:lvlText w:val="(%1)"/>
      <w:numFmt w:val="upperLetter"/>
      <w:start w:val="1"/>
    </w:lvl>
    <w:lvl w:ilvl="1">
      <w:lvlJc w:val="left"/>
      <w:lvlText w:val="(%2)"/>
      <w:numFmt w:val="decimal"/>
      <w:start w:val="1"/>
    </w:lvl>
  </w:abstractNum>
  <w:abstractNum w:abstractNumId="90">
    <w:nsid w:val="5F3534A4"/>
    <w:multiLevelType w:val="hybridMultilevel"/>
    <w:lvl w:ilvl="0">
      <w:lvlJc w:val="left"/>
      <w:lvlText w:val="(%1)"/>
      <w:numFmt w:val="upperLetter"/>
      <w:start w:val="5"/>
    </w:lvl>
  </w:abstractNum>
  <w:abstractNum w:abstractNumId="91">
    <w:nsid w:val="73A1821B"/>
    <w:multiLevelType w:val="hybridMultilevel"/>
    <w:lvl w:ilvl="0">
      <w:lvlJc w:val="left"/>
      <w:lvlText w:val="(%1)"/>
      <w:numFmt w:val="upperLetter"/>
      <w:start w:val="1"/>
    </w:lvl>
  </w:abstractNum>
  <w:abstractNum w:abstractNumId="92">
    <w:nsid w:val="7DE67713"/>
    <w:multiLevelType w:val="hybridMultilevel"/>
    <w:lvl w:ilvl="0">
      <w:lvlJc w:val="left"/>
      <w:lvlText w:val="(%1)"/>
      <w:numFmt w:val="upperLetter"/>
      <w:start w:val="2"/>
    </w:lvl>
  </w:abstractNum>
  <w:abstractNum w:abstractNumId="93">
    <w:nsid w:val="555C55B5"/>
    <w:multiLevelType w:val="hybridMultilevel"/>
    <w:lvl w:ilvl="0">
      <w:lvlJc w:val="left"/>
      <w:lvlText w:val="(%1)"/>
      <w:numFmt w:val="upperLetter"/>
      <w:start w:val="1"/>
    </w:lvl>
    <w:lvl w:ilvl="1">
      <w:lvlJc w:val="left"/>
      <w:lvlText w:val="(%2)"/>
      <w:numFmt w:val="decimal"/>
      <w:start w:val="1"/>
    </w:lvl>
  </w:abstractNum>
  <w:abstractNum w:abstractNumId="94">
    <w:nsid w:val="3FA62ACA"/>
    <w:multiLevelType w:val="hybridMultilevel"/>
    <w:lvl w:ilvl="0">
      <w:lvlJc w:val="left"/>
      <w:lvlText w:val="%1."/>
      <w:numFmt w:val="decimal"/>
      <w:start w:val="1"/>
    </w:lvl>
    <w:lvl w:ilvl="1">
      <w:lvlJc w:val="left"/>
      <w:lvlText w:val="%2)"/>
      <w:numFmt w:val="lowerLetter"/>
      <w:start w:val="1"/>
    </w:lvl>
  </w:abstractNum>
  <w:abstractNum w:abstractNumId="95">
    <w:nsid w:val="14FCE74E"/>
    <w:multiLevelType w:val="hybridMultilevel"/>
    <w:lvl w:ilvl="0">
      <w:lvlJc w:val="left"/>
      <w:lvlText w:val="%1."/>
      <w:numFmt w:val="decimal"/>
      <w:start w:val="1"/>
    </w:lvl>
    <w:lvl w:ilvl="1">
      <w:lvlJc w:val="left"/>
      <w:lvlText w:val="%2)"/>
      <w:numFmt w:val="lowerLetter"/>
      <w:start w:val="1"/>
    </w:lvl>
  </w:abstractNum>
  <w:abstractNum w:abstractNumId="96">
    <w:nsid w:val="6A3DD3E8"/>
    <w:multiLevelType w:val="hybridMultilevel"/>
    <w:lvl w:ilvl="0">
      <w:lvlJc w:val="left"/>
      <w:lvlText w:val="(%1)"/>
      <w:numFmt w:val="decimal"/>
      <w:start w:val="1"/>
    </w:lvl>
  </w:abstractNum>
  <w:abstractNum w:abstractNumId="97">
    <w:nsid w:val="71C91298"/>
    <w:multiLevelType w:val="hybridMultilevel"/>
    <w:lvl w:ilvl="0">
      <w:lvlJc w:val="left"/>
      <w:lvlText w:val="(%1)"/>
      <w:numFmt w:val="decimal"/>
      <w:start w:val="1"/>
    </w:lvl>
  </w:abstractNum>
  <w:abstractNum w:abstractNumId="98">
    <w:nsid w:val="9DAF632"/>
    <w:multiLevelType w:val="hybridMultilevel"/>
    <w:lvl w:ilvl="0">
      <w:lvlJc w:val="left"/>
      <w:lvlText w:val="(%1)"/>
      <w:numFmt w:val="decimal"/>
      <w:start w:val="1"/>
    </w:lvl>
  </w:abstractNum>
  <w:abstractNum w:abstractNumId="99">
    <w:nsid w:val="53299938"/>
    <w:multiLevelType w:val="hybridMultilevel"/>
    <w:lvl w:ilvl="0">
      <w:lvlJc w:val="left"/>
      <w:lvlText w:val="(%1)"/>
      <w:numFmt w:val="decimal"/>
      <w:start w:val="1"/>
    </w:lvl>
  </w:abstractNum>
  <w:abstractNum w:abstractNumId="100">
    <w:nsid w:val="1FBFE8E0"/>
    <w:multiLevelType w:val="hybridMultilevel"/>
    <w:lvl w:ilvl="0">
      <w:lvlJc w:val="left"/>
      <w:lvlText w:val="%1."/>
      <w:numFmt w:val="decimal"/>
      <w:start w:val="1"/>
    </w:lvl>
  </w:abstractNum>
  <w:abstractNum w:abstractNumId="101">
    <w:nsid w:val="5092CA79"/>
    <w:multiLevelType w:val="hybridMultilevel"/>
    <w:lvl w:ilvl="0">
      <w:lvlJc w:val="left"/>
      <w:lvlText w:val="(%1)"/>
      <w:numFmt w:val="decimal"/>
      <w:start w:val="1"/>
    </w:lvl>
  </w:abstractNum>
  <w:abstractNum w:abstractNumId="102">
    <w:nsid w:val="1D545C4D"/>
    <w:multiLevelType w:val="hybridMultilevel"/>
    <w:lvl w:ilvl="0">
      <w:lvlJc w:val="left"/>
      <w:lvlText w:val="%1."/>
      <w:numFmt w:val="decimal"/>
      <w:start w:val="1"/>
    </w:lvl>
  </w:abstractNum>
  <w:abstractNum w:abstractNumId="103">
    <w:nsid w:val="59ADEA3D"/>
    <w:multiLevelType w:val="hybridMultilevel"/>
    <w:lvl w:ilvl="0">
      <w:lvlJc w:val="left"/>
      <w:lvlText w:val="(%1)"/>
      <w:numFmt w:val="decimal"/>
      <w:start w:val="1"/>
    </w:lvl>
  </w:abstractNum>
  <w:abstractNum w:abstractNumId="104">
    <w:nsid w:val="288F1A34"/>
    <w:multiLevelType w:val="hybridMultilevel"/>
    <w:lvl w:ilvl="0">
      <w:lvlJc w:val="left"/>
      <w:lvlText w:val="%1."/>
      <w:numFmt w:val="decimal"/>
      <w:start w:val="8"/>
    </w:lvl>
  </w:abstractNum>
  <w:abstractNum w:abstractNumId="105">
    <w:nsid w:val="2A155DBC"/>
    <w:multiLevelType w:val="hybridMultilevel"/>
    <w:lvl w:ilvl="0">
      <w:lvlJc w:val="left"/>
      <w:lvlText w:val="(%1)"/>
      <w:numFmt w:val="decimal"/>
      <w:start w:val="1"/>
    </w:lvl>
  </w:abstractNum>
  <w:abstractNum w:abstractNumId="106">
    <w:nsid w:val="1D9F6E5F"/>
    <w:multiLevelType w:val="hybridMultilevel"/>
    <w:lvl w:ilvl="0">
      <w:lvlJc w:val="left"/>
      <w:lvlText w:val="(%1)"/>
      <w:numFmt w:val="decimal"/>
      <w:start w:val="1"/>
    </w:lvl>
  </w:abstractNum>
  <w:abstractNum w:abstractNumId="107">
    <w:nsid w:val="97E1B4E"/>
    <w:multiLevelType w:val="hybridMultilevel"/>
    <w:lvl w:ilvl="0">
      <w:lvlJc w:val="left"/>
      <w:lvlText w:val="(%1)"/>
      <w:numFmt w:val="decimal"/>
      <w:start w:val="1"/>
    </w:lvl>
  </w:abstractNum>
  <w:abstractNum w:abstractNumId="108">
    <w:nsid w:val="51088277"/>
    <w:multiLevelType w:val="hybridMultilevel"/>
    <w:lvl w:ilvl="0">
      <w:lvlJc w:val="left"/>
      <w:lvlText w:val="(%1)"/>
      <w:numFmt w:val="decimal"/>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126" Type="http://schemas.openxmlformats.org/officeDocument/2006/relationships/hyperlink" Target="http://www.sec.gov/Archives/edgar/data/1504619/000119312511080862/dex99a.htm" TargetMode="External"/><Relationship Id="rId127" Type="http://schemas.openxmlformats.org/officeDocument/2006/relationships/hyperlink" Target="http://www.sec.gov/Archives/edgar/data/1504619/000156459020024167/pflt-ex32_144.htm" TargetMode="External"/><Relationship Id="rId128" Type="http://schemas.openxmlformats.org/officeDocument/2006/relationships/hyperlink" Target="http://www.sec.gov/Archives/edgar/data/1504619/000119312511088977/dex99d.htm" TargetMode="External"/><Relationship Id="rId129" Type="http://schemas.openxmlformats.org/officeDocument/2006/relationships/hyperlink" Target="http://www.sec.gov/Archives/edgar/data/1504619/000119312517368270/d487151dex99d8.htm" TargetMode="External"/><Relationship Id="rId130" Type="http://schemas.openxmlformats.org/officeDocument/2006/relationships/hyperlink" Target="http://www.sec.gov/Archives/edgar/data/1504619/000119312519250688/d808045dex992.htm" TargetMode="External"/><Relationship Id="rId131" Type="http://schemas.openxmlformats.org/officeDocument/2006/relationships/hyperlink" Target="http://www.sec.gov/Archives/edgar/data/0001504619/000119312521091350/d156339dex41.htm" TargetMode="External"/><Relationship Id="rId132" Type="http://schemas.openxmlformats.org/officeDocument/2006/relationships/hyperlink" Target="http://www.sec.gov/Archives/edgar/data/0001504619/000119312521091350/d156339dex42.htm" TargetMode="External"/><Relationship Id="rId133" Type="http://schemas.openxmlformats.org/officeDocument/2006/relationships/hyperlink" Target="http://www.sec.gov/Archives/edgar/data/1504619/000156459019043972/pflt-ex44_124.htm" TargetMode="External"/><Relationship Id="rId134" Type="http://schemas.openxmlformats.org/officeDocument/2006/relationships/hyperlink" Target="http://www.sec.gov/Archives/edgar/data/1504619/000119312511080862/dex99k2.htm" TargetMode="External"/><Relationship Id="rId135" Type="http://schemas.openxmlformats.org/officeDocument/2006/relationships/hyperlink" Target="http://www.sec.gov/Archives/edgar/data/1504619/000119312511080862/dex99e.htm" TargetMode="External"/><Relationship Id="rId136" Type="http://schemas.openxmlformats.org/officeDocument/2006/relationships/hyperlink" Target="http://www.sec.gov/Archives/edgar/data/1504619/000119312516450643/d38254dex101.htm" TargetMode="External"/><Relationship Id="rId137" Type="http://schemas.openxmlformats.org/officeDocument/2006/relationships/hyperlink" Target="http://www.sec.gov/Archives/edgar/data/1504619/000156459017016504/pflt-ex101_78.htm" TargetMode="External"/><Relationship Id="rId138" Type="http://schemas.openxmlformats.org/officeDocument/2006/relationships/hyperlink" Target="http://www.sec.gov/Archives/edgar/data/1504619/000119312516775064/d290892dex106.htm" TargetMode="External"/><Relationship Id="rId139" Type="http://schemas.openxmlformats.org/officeDocument/2006/relationships/hyperlink" Target="http://www.sec.gov/Archives/edgar/data/1504619/000119312519250688/d808045dex993.htm" TargetMode="External"/><Relationship Id="rId140" Type="http://schemas.openxmlformats.org/officeDocument/2006/relationships/hyperlink" Target="http://www.sec.gov/Archives/edgar/data/1504619/000119312519250688/d808045dex994.htm" TargetMode="External"/><Relationship Id="rId141" Type="http://schemas.openxmlformats.org/officeDocument/2006/relationships/hyperlink" Target="http://www.sec.gov/Archives/edgar/data/1504619/000119312519250688/d808045dex995.htm" TargetMode="External"/><Relationship Id="rId142" Type="http://schemas.openxmlformats.org/officeDocument/2006/relationships/hyperlink" Target="http://www.sec.gov/Archives/edgar/data/1504619/000119312519250688/d808045dex996.htm" TargetMode="External"/><Relationship Id="rId143" Type="http://schemas.openxmlformats.org/officeDocument/2006/relationships/hyperlink" Target="http://www.sec.gov/Archives/edgar/data/1504619/000119312518322533/d642622dex101.htm" TargetMode="External"/><Relationship Id="rId144" Type="http://schemas.openxmlformats.org/officeDocument/2006/relationships/hyperlink" Target="http://www.sec.gov/Archives/edgar/data/1504619/000119312521250566/d198449dex102.htm" TargetMode="External"/><Relationship Id="rId147" Type="http://schemas.openxmlformats.org/officeDocument/2006/relationships/hyperlink" Target="http://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2021-11-17T16:04:04Z</dcterms:created>
  <dcterms:modified xsi:type="dcterms:W3CDTF">2021-11-17T16:04:04Z</dcterms:modified>
</cp:coreProperties>
</file>