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7,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August 7, 2018, PennantPark Floating Rate Capital Ltd. issued a press release announcing its monthly distributions.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0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August 7,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5060" w:type="dxa"/>
            <w:vAlign w:val="bottom"/>
            <w:gridSpan w:val="3"/>
          </w:tcPr>
          <w:p>
            <w:pPr>
              <w:ind w:left="196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00" w:type="dxa"/>
            <w:vAlign w:val="bottom"/>
          </w:tcPr>
          <w:p>
            <w:pPr>
              <w:spacing w:after="0"/>
              <w:rPr>
                <w:sz w:val="20"/>
                <w:szCs w:val="20"/>
                <w:color w:val="auto"/>
              </w:rPr>
            </w:pPr>
            <w:r>
              <w:rPr>
                <w:rFonts w:ascii="Arial" w:cs="Arial" w:eastAsia="Arial" w:hAnsi="Arial"/>
                <w:sz w:val="18"/>
                <w:szCs w:val="18"/>
                <w:color w:val="auto"/>
              </w:rPr>
              <w:t>Date: August 7, 2018</w:t>
            </w:r>
          </w:p>
        </w:tc>
        <w:tc>
          <w:tcPr>
            <w:tcW w:w="5060" w:type="dxa"/>
            <w:vAlign w:val="bottom"/>
            <w:gridSpan w:val="3"/>
          </w:tcPr>
          <w:p>
            <w:pPr>
              <w:ind w:left="1960"/>
              <w:spacing w:after="0"/>
              <w:rPr>
                <w:sz w:val="20"/>
                <w:szCs w:val="20"/>
                <w:color w:val="auto"/>
              </w:rPr>
            </w:pPr>
            <w:r>
              <w:rPr>
                <w:rFonts w:ascii="Arial" w:cs="Arial" w:eastAsia="Arial" w:hAnsi="Arial"/>
                <w:sz w:val="18"/>
                <w:szCs w:val="18"/>
                <w:color w:val="auto"/>
              </w:rPr>
              <w:t>By: /s/ Aviv Efrat</w:t>
            </w:r>
          </w:p>
        </w:tc>
      </w:tr>
      <w:tr>
        <w:trPr>
          <w:trHeight w:val="222"/>
        </w:trPr>
        <w:tc>
          <w:tcPr>
            <w:tcW w:w="35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Distributions of $0.095 per Share</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NEW YORK, Aug. 07, 2018 (GLOBE NEWSWIRE) -- PennantPark Floating Rate Capital Ltd. (the "Company") (NASDAQ: PFLT) (TASE: PFLT) declares its monthly distributions for August 2018 of $0.095 per share, payable on September 4, 2018 to stockholders of record as detailed below. Distributions are paid from taxable earnings and may include a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1100" w:type="dxa"/>
            <w:vAlign w:val="bottom"/>
            <w:tcBorders>
              <w:top w:val="single" w:sz="8" w:color="auto"/>
              <w:left w:val="single" w:sz="8" w:color="auto"/>
              <w:right w:val="single" w:sz="8" w:color="auto"/>
            </w:tcBorders>
          </w:tcPr>
          <w:p>
            <w:pPr>
              <w:jc w:val="center"/>
              <w:spacing w:after="0" w:line="248" w:lineRule="exact"/>
              <w:rPr>
                <w:sz w:val="20"/>
                <w:szCs w:val="20"/>
                <w:color w:val="auto"/>
              </w:rPr>
            </w:pPr>
            <w:r>
              <w:rPr>
                <w:rFonts w:ascii="Arial" w:cs="Arial" w:eastAsia="Arial" w:hAnsi="Arial"/>
                <w:sz w:val="22"/>
                <w:szCs w:val="22"/>
                <w:color w:val="auto"/>
                <w:w w:val="87"/>
              </w:rPr>
              <w:t>Record</w:t>
            </w:r>
          </w:p>
        </w:tc>
        <w:tc>
          <w:tcPr>
            <w:tcW w:w="1000" w:type="dxa"/>
            <w:vAlign w:val="bottom"/>
            <w:tcBorders>
              <w:top w:val="single" w:sz="8" w:color="auto"/>
              <w:right w:val="single" w:sz="8" w:color="auto"/>
            </w:tcBorders>
          </w:tcPr>
          <w:p>
            <w:pPr>
              <w:spacing w:after="0"/>
              <w:rPr>
                <w:sz w:val="21"/>
                <w:szCs w:val="21"/>
                <w:color w:val="auto"/>
              </w:rPr>
            </w:pPr>
          </w:p>
        </w:tc>
        <w:tc>
          <w:tcPr>
            <w:tcW w:w="760" w:type="dxa"/>
            <w:vAlign w:val="bottom"/>
            <w:tcBorders>
              <w:top w:val="single" w:sz="8" w:color="auto"/>
              <w:right w:val="single" w:sz="8" w:color="auto"/>
            </w:tcBorders>
          </w:tcPr>
          <w:p>
            <w:pPr>
              <w:spacing w:after="0"/>
              <w:rPr>
                <w:sz w:val="21"/>
                <w:szCs w:val="21"/>
                <w:color w:val="auto"/>
              </w:rPr>
            </w:pPr>
          </w:p>
        </w:tc>
        <w:tc>
          <w:tcPr>
            <w:tcW w:w="8380" w:type="dxa"/>
            <w:vAlign w:val="bottom"/>
            <w:tcBorders>
              <w:top w:val="single" w:sz="8" w:color="auto"/>
              <w:right w:val="single" w:sz="8" w:color="auto"/>
            </w:tcBorders>
          </w:tcPr>
          <w:p>
            <w:pPr>
              <w:spacing w:after="0"/>
              <w:rPr>
                <w:sz w:val="21"/>
                <w:szCs w:val="21"/>
                <w:color w:val="auto"/>
              </w:rPr>
            </w:pPr>
          </w:p>
        </w:tc>
      </w:tr>
      <w:tr>
        <w:trPr>
          <w:trHeight w:val="276"/>
        </w:trPr>
        <w:tc>
          <w:tcPr>
            <w:tcW w:w="1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5"/>
              </w:rPr>
              <w:t>Date</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3"/>
              </w:rPr>
              <w:t>Percentage</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Amount</w:t>
            </w:r>
          </w:p>
        </w:tc>
        <w:tc>
          <w:tcPr>
            <w:tcW w:w="8380" w:type="dxa"/>
            <w:vAlign w:val="bottom"/>
            <w:tcBorders>
              <w:bottom w:val="single" w:sz="8" w:color="auto"/>
              <w:right w:val="single" w:sz="8" w:color="auto"/>
            </w:tcBorders>
          </w:tcPr>
          <w:p>
            <w:pPr>
              <w:jc w:val="right"/>
              <w:ind w:right="3592"/>
              <w:spacing w:after="0"/>
              <w:rPr>
                <w:sz w:val="20"/>
                <w:szCs w:val="20"/>
                <w:color w:val="auto"/>
              </w:rPr>
            </w:pPr>
            <w:r>
              <w:rPr>
                <w:rFonts w:ascii="Arial" w:cs="Arial" w:eastAsia="Arial" w:hAnsi="Arial"/>
                <w:sz w:val="22"/>
                <w:szCs w:val="22"/>
                <w:color w:val="auto"/>
              </w:rPr>
              <w:t>Description</w:t>
            </w:r>
          </w:p>
        </w:tc>
      </w:tr>
      <w:tr>
        <w:trPr>
          <w:trHeight w:val="230"/>
        </w:trPr>
        <w:tc>
          <w:tcPr>
            <w:tcW w:w="1100" w:type="dxa"/>
            <w:vAlign w:val="bottom"/>
            <w:tcBorders>
              <w:left w:val="single" w:sz="8" w:color="auto"/>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1"/>
              </w:rPr>
              <w:t>August 21,</w:t>
            </w:r>
          </w:p>
        </w:tc>
        <w:tc>
          <w:tcPr>
            <w:tcW w:w="10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380" w:type="dxa"/>
            <w:vAlign w:val="bottom"/>
            <w:tcBorders>
              <w:right w:val="single" w:sz="8" w:color="auto"/>
            </w:tcBorders>
          </w:tcPr>
          <w:p>
            <w:pPr>
              <w:jc w:val="right"/>
              <w:spacing w:after="0" w:line="230" w:lineRule="exact"/>
              <w:rPr>
                <w:sz w:val="20"/>
                <w:szCs w:val="20"/>
                <w:color w:val="auto"/>
              </w:rPr>
            </w:pPr>
            <w:r>
              <w:rPr>
                <w:rFonts w:ascii="Arial" w:cs="Arial" w:eastAsia="Arial" w:hAnsi="Arial"/>
                <w:sz w:val="22"/>
                <w:szCs w:val="22"/>
                <w:color w:val="auto"/>
                <w:w w:val="96"/>
              </w:rPr>
              <w:t>Distribution has been identified by the Company as an interest-related dividend generally</w:t>
            </w:r>
          </w:p>
        </w:tc>
      </w:tr>
      <w:tr>
        <w:trPr>
          <w:trHeight w:val="276"/>
        </w:trPr>
        <w:tc>
          <w:tcPr>
            <w:tcW w:w="1100" w:type="dxa"/>
            <w:vAlign w:val="bottom"/>
            <w:tcBorders>
              <w:left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22"/>
                <w:szCs w:val="22"/>
                <w:color w:val="auto"/>
                <w:w w:val="89"/>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81%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$0.077</w:t>
            </w:r>
          </w:p>
        </w:tc>
        <w:tc>
          <w:tcPr>
            <w:tcW w:w="8380" w:type="dxa"/>
            <w:vAlign w:val="bottom"/>
            <w:tcBorders>
              <w:bottom w:val="single" w:sz="8" w:color="auto"/>
              <w:right w:val="single" w:sz="8" w:color="auto"/>
            </w:tcBorders>
          </w:tcPr>
          <w:p>
            <w:pPr>
              <w:jc w:val="right"/>
              <w:ind w:right="4132"/>
              <w:spacing w:after="0"/>
              <w:rPr>
                <w:sz w:val="20"/>
                <w:szCs w:val="20"/>
                <w:color w:val="auto"/>
              </w:rPr>
            </w:pPr>
            <w:r>
              <w:rPr>
                <w:rFonts w:ascii="Arial" w:cs="Arial" w:eastAsia="Arial" w:hAnsi="Arial"/>
                <w:sz w:val="22"/>
                <w:szCs w:val="22"/>
                <w:color w:val="auto"/>
                <w:w w:val="90"/>
              </w:rPr>
              <w:t>exempt from U.S. Nonresident withholding tax.</w:t>
            </w:r>
          </w:p>
        </w:tc>
      </w:tr>
      <w:tr>
        <w:trPr>
          <w:trHeight w:val="230"/>
        </w:trPr>
        <w:tc>
          <w:tcPr>
            <w:tcW w:w="1100" w:type="dxa"/>
            <w:vAlign w:val="bottom"/>
            <w:tcBorders>
              <w:left w:val="single" w:sz="8" w:color="auto"/>
              <w:right w:val="single" w:sz="8" w:color="auto"/>
            </w:tcBorders>
          </w:tcPr>
          <w:p>
            <w:pPr>
              <w:jc w:val="center"/>
              <w:spacing w:after="0" w:line="230" w:lineRule="exact"/>
              <w:rPr>
                <w:sz w:val="20"/>
                <w:szCs w:val="20"/>
                <w:color w:val="auto"/>
              </w:rPr>
            </w:pPr>
            <w:r>
              <w:rPr>
                <w:rFonts w:ascii="Arial" w:cs="Arial" w:eastAsia="Arial" w:hAnsi="Arial"/>
                <w:sz w:val="22"/>
                <w:szCs w:val="22"/>
                <w:color w:val="auto"/>
                <w:w w:val="91"/>
              </w:rPr>
              <w:t>August 22,</w:t>
            </w:r>
          </w:p>
        </w:tc>
        <w:tc>
          <w:tcPr>
            <w:tcW w:w="100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380" w:type="dxa"/>
            <w:vAlign w:val="bottom"/>
            <w:tcBorders>
              <w:right w:val="single" w:sz="8" w:color="auto"/>
            </w:tcBorders>
          </w:tcPr>
          <w:p>
            <w:pPr>
              <w:jc w:val="right"/>
              <w:spacing w:after="0" w:line="230" w:lineRule="exact"/>
              <w:rPr>
                <w:sz w:val="20"/>
                <w:szCs w:val="20"/>
                <w:color w:val="auto"/>
              </w:rPr>
            </w:pPr>
            <w:r>
              <w:rPr>
                <w:rFonts w:ascii="Arial" w:cs="Arial" w:eastAsia="Arial" w:hAnsi="Arial"/>
                <w:sz w:val="22"/>
                <w:szCs w:val="22"/>
                <w:color w:val="auto"/>
                <w:w w:val="90"/>
              </w:rPr>
              <w:t>Distribution has been identified by the Company as being derived from other sources and is not</w:t>
            </w:r>
          </w:p>
        </w:tc>
      </w:tr>
      <w:tr>
        <w:trPr>
          <w:trHeight w:val="276"/>
        </w:trPr>
        <w:tc>
          <w:tcPr>
            <w:tcW w:w="1100" w:type="dxa"/>
            <w:vAlign w:val="bottom"/>
            <w:tcBorders>
              <w:left w:val="single" w:sz="8" w:color="auto"/>
              <w:bottom w:val="single" w:sz="8" w:color="auto"/>
              <w:right w:val="single" w:sz="8" w:color="auto"/>
            </w:tcBorders>
          </w:tcPr>
          <w:p>
            <w:pPr>
              <w:jc w:val="right"/>
              <w:ind w:right="532"/>
              <w:spacing w:after="0"/>
              <w:rPr>
                <w:sz w:val="20"/>
                <w:szCs w:val="20"/>
                <w:color w:val="auto"/>
              </w:rPr>
            </w:pPr>
            <w:r>
              <w:rPr>
                <w:rFonts w:ascii="Arial" w:cs="Arial" w:eastAsia="Arial" w:hAnsi="Arial"/>
                <w:sz w:val="22"/>
                <w:szCs w:val="22"/>
                <w:color w:val="auto"/>
                <w:w w:val="89"/>
              </w:rPr>
              <w:t>2018</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19%</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$0.018</w:t>
            </w:r>
          </w:p>
        </w:tc>
        <w:tc>
          <w:tcPr>
            <w:tcW w:w="8380" w:type="dxa"/>
            <w:vAlign w:val="bottom"/>
            <w:tcBorders>
              <w:bottom w:val="single" w:sz="8" w:color="auto"/>
              <w:right w:val="single" w:sz="8" w:color="auto"/>
            </w:tcBorders>
          </w:tcPr>
          <w:p>
            <w:pPr>
              <w:jc w:val="right"/>
              <w:ind w:right="4132"/>
              <w:spacing w:after="0"/>
              <w:rPr>
                <w:sz w:val="20"/>
                <w:szCs w:val="20"/>
                <w:color w:val="auto"/>
              </w:rPr>
            </w:pPr>
            <w:r>
              <w:rPr>
                <w:rFonts w:ascii="Arial" w:cs="Arial" w:eastAsia="Arial" w:hAnsi="Arial"/>
                <w:sz w:val="22"/>
                <w:szCs w:val="22"/>
                <w:color w:val="auto"/>
                <w:w w:val="90"/>
              </w:rPr>
              <w:t>exempt from U.S. Nonresident withholding tax.</w:t>
            </w:r>
          </w:p>
        </w:tc>
      </w:tr>
    </w:tbl>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2020-05-05T12:04:39Z</dcterms:created>
  <dcterms:modified xsi:type="dcterms:W3CDTF">2020-05-05T12:04:39Z</dcterms:modified>
</cp:coreProperties>
</file>