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2"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36" w:lineRule="exact"/>
        <w:rPr>
          <w:sz w:val="24"/>
          <w:szCs w:val="24"/>
          <w:color w:val="auto"/>
        </w:rPr>
      </w:pPr>
    </w:p>
    <w:p>
      <w:pPr>
        <w:ind w:left="4940"/>
        <w:spacing w:after="0"/>
        <w:rPr>
          <w:sz w:val="20"/>
          <w:szCs w:val="20"/>
          <w:color w:val="auto"/>
        </w:rPr>
      </w:pPr>
      <w:r>
        <w:rPr>
          <w:rFonts w:ascii="Arial" w:cs="Arial" w:eastAsia="Arial" w:hAnsi="Arial"/>
          <w:sz w:val="25"/>
          <w:szCs w:val="25"/>
          <w:b w:val="1"/>
          <w:bCs w:val="1"/>
          <w:color w:val="auto"/>
        </w:rPr>
        <w:t>FORM 8-K</w:t>
      </w:r>
    </w:p>
    <w:p>
      <w:pPr>
        <w:spacing w:after="0" w:line="200" w:lineRule="exact"/>
        <w:rPr>
          <w:sz w:val="24"/>
          <w:szCs w:val="24"/>
          <w:color w:val="auto"/>
        </w:rPr>
      </w:pPr>
    </w:p>
    <w:p>
      <w:pPr>
        <w:spacing w:after="0" w:line="246"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September 1, 2011</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18" w:lineRule="exact"/>
        <w:rPr>
          <w:sz w:val="24"/>
          <w:szCs w:val="24"/>
          <w:color w:val="auto"/>
        </w:rPr>
      </w:pPr>
    </w:p>
    <w:p>
      <w:pPr>
        <w:jc w:val="center"/>
        <w:ind w:right="-759"/>
        <w:spacing w:after="0"/>
        <w:rPr>
          <w:sz w:val="20"/>
          <w:szCs w:val="20"/>
          <w:color w:val="auto"/>
        </w:rPr>
      </w:pPr>
      <w:r>
        <w:rPr>
          <w:rFonts w:ascii="Arial" w:cs="Arial" w:eastAsia="Arial" w:hAnsi="Arial"/>
          <w:sz w:val="25"/>
          <w:szCs w:val="25"/>
          <w:b w:val="1"/>
          <w:bCs w:val="1"/>
          <w:color w:val="auto"/>
        </w:rPr>
        <w:t>PennantPark Floating Rate Capital Ltd.</w:t>
      </w:r>
    </w:p>
    <w:p>
      <w:pPr>
        <w:spacing w:after="0" w:line="26" w:lineRule="exact"/>
        <w:rPr>
          <w:sz w:val="24"/>
          <w:szCs w:val="24"/>
          <w:color w:val="auto"/>
        </w:rPr>
      </w:pPr>
    </w:p>
    <w:p>
      <w:pPr>
        <w:ind w:left="408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380"/>
          </w:cols>
          <w:pgMar w:left="380" w:top="684" w:right="11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380"/>
        <w:spacing w:after="0"/>
        <w:rPr>
          <w:sz w:val="20"/>
          <w:szCs w:val="20"/>
          <w:color w:val="auto"/>
        </w:rPr>
      </w:pPr>
      <w:r>
        <w:rPr>
          <w:rFonts w:ascii="Arial" w:cs="Arial" w:eastAsia="Arial" w:hAnsi="Arial"/>
          <w:sz w:val="14"/>
          <w:szCs w:val="14"/>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2500"/>
        <w:spacing w:after="0"/>
        <w:rPr>
          <w:sz w:val="20"/>
          <w:szCs w:val="20"/>
          <w:color w:val="auto"/>
        </w:rPr>
      </w:pPr>
      <w:r>
        <w:rPr>
          <w:rFonts w:ascii="Arial" w:cs="Arial" w:eastAsia="Arial" w:hAnsi="Arial"/>
          <w:sz w:val="12"/>
          <w:szCs w:val="12"/>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27-3794690</w:t>
      </w:r>
    </w:p>
    <w:p>
      <w:pPr>
        <w:spacing w:after="0" w:line="57" w:lineRule="exact"/>
        <w:rPr>
          <w:sz w:val="24"/>
          <w:szCs w:val="24"/>
          <w:color w:val="auto"/>
        </w:rPr>
      </w:pPr>
    </w:p>
    <w:p>
      <w:pPr>
        <w:sectPr>
          <w:pgSz w:w="11900" w:h="16838" w:orient="portrait"/>
          <w:cols w:equalWidth="0" w:num="3">
            <w:col w:w="4480" w:space="720"/>
            <w:col w:w="3120" w:space="720"/>
            <w:col w:w="1340"/>
          </w:cols>
          <w:pgMar w:left="380" w:top="684" w:right="1139" w:bottom="1440" w:gutter="0" w:footer="0" w:header="0"/>
          <w:type w:val="continuous"/>
        </w:sectPr>
      </w:pPr>
    </w:p>
    <w:p>
      <w:pPr>
        <w:ind w:left="940"/>
        <w:spacing w:after="0"/>
        <w:rPr>
          <w:sz w:val="20"/>
          <w:szCs w:val="20"/>
          <w:color w:val="auto"/>
        </w:rPr>
      </w:pPr>
      <w:r>
        <w:rPr>
          <w:rFonts w:ascii="Arial" w:cs="Arial" w:eastAsia="Arial" w:hAnsi="Arial"/>
          <w:sz w:val="13"/>
          <w:szCs w:val="13"/>
          <w:color w:val="auto"/>
        </w:rPr>
        <w:t>(State or other jurisdiction</w:t>
      </w:r>
    </w:p>
    <w:p>
      <w:pPr>
        <w:spacing w:after="0" w:line="20" w:lineRule="exact"/>
        <w:rPr>
          <w:sz w:val="24"/>
          <w:szCs w:val="24"/>
          <w:color w:val="auto"/>
        </w:rPr>
      </w:pPr>
      <w:r>
        <w:rPr>
          <w:sz w:val="24"/>
          <w:szCs w:val="24"/>
          <w:color w:val="auto"/>
        </w:rPr>
        <w:br w:type="column"/>
      </w:r>
    </w:p>
    <w:p>
      <w:pPr>
        <w:jc w:val="center"/>
        <w:ind w:right="138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32" w:lineRule="exact"/>
        <w:rPr>
          <w:sz w:val="24"/>
          <w:szCs w:val="24"/>
          <w:color w:val="auto"/>
        </w:rPr>
      </w:pPr>
    </w:p>
    <w:p>
      <w:pPr>
        <w:sectPr>
          <w:pgSz w:w="11900" w:h="16838" w:orient="portrait"/>
          <w:cols w:equalWidth="0" w:num="3">
            <w:col w:w="4000" w:space="720"/>
            <w:col w:w="2960" w:space="720"/>
            <w:col w:w="1980"/>
          </w:cols>
          <w:pgMar w:left="380" w:top="684" w:right="1139" w:bottom="1440" w:gutter="0" w:footer="0" w:header="0"/>
          <w:type w:val="continuous"/>
        </w:sectPr>
      </w:pPr>
    </w:p>
    <w:p>
      <w:pPr>
        <w:ind w:left="1220"/>
        <w:spacing w:after="0"/>
        <w:rPr>
          <w:sz w:val="20"/>
          <w:szCs w:val="20"/>
          <w:color w:val="auto"/>
        </w:rPr>
      </w:pPr>
      <w:r>
        <w:rPr>
          <w:rFonts w:ascii="Arial" w:cs="Arial" w:eastAsia="Arial" w:hAnsi="Arial"/>
          <w:sz w:val="13"/>
          <w:szCs w:val="13"/>
          <w:color w:val="auto"/>
        </w:rPr>
        <w:t>of incorporation)</w:t>
      </w:r>
    </w:p>
    <w:p>
      <w:pPr>
        <w:sectPr>
          <w:pgSz w:w="11900" w:h="16838" w:orient="portrait"/>
          <w:cols w:equalWidth="0" w:num="1">
            <w:col w:w="10380"/>
          </w:cols>
          <w:pgMar w:left="380" w:top="684" w:right="11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3260"/>
        <w:spacing w:after="0"/>
        <w:rPr>
          <w:sz w:val="20"/>
          <w:szCs w:val="20"/>
          <w:color w:val="auto"/>
        </w:rPr>
      </w:pPr>
      <w:r>
        <w:rPr>
          <w:rFonts w:ascii="Arial" w:cs="Arial" w:eastAsia="Arial" w:hAnsi="Arial"/>
          <w:sz w:val="13"/>
          <w:szCs w:val="13"/>
          <w:b w:val="1"/>
          <w:bCs w:val="1"/>
          <w:color w:val="auto"/>
        </w:rPr>
        <w:t>590 Madison Avenue, 15th Floor, 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10022</w:t>
      </w:r>
    </w:p>
    <w:p>
      <w:pPr>
        <w:spacing w:after="0" w:line="136" w:lineRule="exact"/>
        <w:rPr>
          <w:sz w:val="24"/>
          <w:szCs w:val="24"/>
          <w:color w:val="auto"/>
        </w:rPr>
      </w:pPr>
    </w:p>
    <w:p>
      <w:pPr>
        <w:sectPr>
          <w:pgSz w:w="11900" w:h="16838" w:orient="portrait"/>
          <w:cols w:equalWidth="0" w:num="2">
            <w:col w:w="7100" w:space="720"/>
            <w:col w:w="2560"/>
          </w:cols>
          <w:pgMar w:left="380" w:top="684" w:right="1139" w:bottom="1440" w:gutter="0" w:footer="0" w:header="0"/>
          <w:type w:val="continuous"/>
        </w:sectPr>
      </w:pPr>
    </w:p>
    <w:p>
      <w:pPr>
        <w:ind w:left="358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84" w:lineRule="exact"/>
        <w:rPr>
          <w:sz w:val="24"/>
          <w:szCs w:val="24"/>
          <w:color w:val="auto"/>
        </w:rPr>
      </w:pPr>
    </w:p>
    <w:p>
      <w:pPr>
        <w:sectPr>
          <w:pgSz w:w="11900" w:h="16838" w:orient="portrait"/>
          <w:cols w:equalWidth="0" w:num="2">
            <w:col w:w="6960" w:space="720"/>
            <w:col w:w="2700"/>
          </w:cols>
          <w:pgMar w:left="380" w:top="684" w:right="1139" w:bottom="1440" w:gutter="0" w:footer="0" w:header="0"/>
          <w:type w:val="continuous"/>
        </w:sectPr>
      </w:pPr>
    </w:p>
    <w:p>
      <w:pPr>
        <w:jc w:val="center"/>
        <w:ind w:right="-819"/>
        <w:spacing w:after="0"/>
        <w:rPr>
          <w:sz w:val="20"/>
          <w:szCs w:val="20"/>
          <w:color w:val="auto"/>
        </w:rPr>
      </w:pPr>
      <w:r>
        <w:rPr>
          <w:rFonts w:ascii="Arial" w:cs="Arial" w:eastAsia="Arial" w:hAnsi="Arial"/>
          <w:sz w:val="14"/>
          <w:szCs w:val="14"/>
          <w:b w:val="1"/>
          <w:bCs w:val="1"/>
          <w:color w:val="auto"/>
        </w:rPr>
        <w:t>212-905-1000</w:t>
      </w:r>
    </w:p>
    <w:p>
      <w:pPr>
        <w:spacing w:after="0" w:line="17" w:lineRule="exact"/>
        <w:rPr>
          <w:sz w:val="24"/>
          <w:szCs w:val="24"/>
          <w:color w:val="auto"/>
        </w:rPr>
      </w:pPr>
    </w:p>
    <w:p>
      <w:pPr>
        <w:jc w:val="center"/>
        <w:ind w:right="-759"/>
        <w:spacing w:after="0"/>
        <w:rPr>
          <w:sz w:val="20"/>
          <w:szCs w:val="20"/>
          <w:color w:val="auto"/>
        </w:rPr>
      </w:pPr>
      <w:r>
        <w:rPr>
          <w:rFonts w:ascii="Arial" w:cs="Arial" w:eastAsia="Arial" w:hAnsi="Arial"/>
          <w:sz w:val="14"/>
          <w:szCs w:val="14"/>
          <w:color w:val="auto"/>
        </w:rPr>
        <w:t>Registrant's telephone number, including area code</w:t>
      </w:r>
    </w:p>
    <w:p>
      <w:pPr>
        <w:spacing w:after="0" w:line="363" w:lineRule="exact"/>
        <w:rPr>
          <w:sz w:val="24"/>
          <w:szCs w:val="24"/>
          <w:color w:val="auto"/>
        </w:rPr>
      </w:pPr>
    </w:p>
    <w:p>
      <w:pPr>
        <w:jc w:val="center"/>
        <w:ind w:right="-759"/>
        <w:spacing w:after="0"/>
        <w:rPr>
          <w:sz w:val="20"/>
          <w:szCs w:val="20"/>
          <w:color w:val="auto"/>
        </w:rPr>
      </w:pPr>
      <w:r>
        <w:rPr>
          <w:rFonts w:ascii="Arial" w:cs="Arial" w:eastAsia="Arial" w:hAnsi="Arial"/>
          <w:sz w:val="14"/>
          <w:szCs w:val="14"/>
          <w:b w:val="1"/>
          <w:bCs w:val="1"/>
          <w:color w:val="auto"/>
        </w:rPr>
        <w:t>Not Applicable</w:t>
      </w:r>
    </w:p>
    <w:p>
      <w:pPr>
        <w:spacing w:after="0" w:line="17" w:lineRule="exact"/>
        <w:rPr>
          <w:sz w:val="24"/>
          <w:szCs w:val="24"/>
          <w:color w:val="auto"/>
        </w:rPr>
      </w:pPr>
    </w:p>
    <w:p>
      <w:pPr>
        <w:jc w:val="center"/>
        <w:ind w:right="-75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0380"/>
          </w:cols>
          <w:pgMar w:left="380" w:top="684" w:right="1139" w:bottom="1440" w:gutter="0" w:footer="0" w:header="0"/>
          <w:type w:val="continuous"/>
        </w:sectPr>
      </w:pP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560" w:hanging="201"/>
        <w:spacing w:after="0"/>
        <w:tabs>
          <w:tab w:leader="none" w:pos="1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Written communications pursuant to Rule 425 under the Securities Act (17 CFR 230.425)</w:t>
      </w:r>
    </w:p>
    <w:p>
      <w:pPr>
        <w:spacing w:after="0" w:line="109" w:lineRule="exact"/>
        <w:rPr>
          <w:sz w:val="24"/>
          <w:szCs w:val="24"/>
          <w:color w:val="auto"/>
        </w:rPr>
      </w:pPr>
    </w:p>
    <w:p>
      <w:pPr>
        <w:ind w:left="1560" w:hanging="201"/>
        <w:spacing w:after="0"/>
        <w:tabs>
          <w:tab w:leader="none" w:pos="15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Soliciting material pursuant to Rule 14a-12 under the Exchange Act (17 CFR 240.14a-12)</w:t>
      </w:r>
    </w:p>
    <w:p>
      <w:pPr>
        <w:spacing w:after="0" w:line="109" w:lineRule="exact"/>
        <w:rPr>
          <w:sz w:val="24"/>
          <w:szCs w:val="24"/>
          <w:color w:val="auto"/>
        </w:rPr>
      </w:pPr>
    </w:p>
    <w:p>
      <w:pPr>
        <w:ind w:left="1560" w:hanging="201"/>
        <w:spacing w:after="0"/>
        <w:tabs>
          <w:tab w:leader="none" w:pos="1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Pre-commencement communications pursuant to Rule 14d-2(b) under the Exchange Act (17 CFR 240.14d-2(b))</w:t>
      </w:r>
    </w:p>
    <w:p>
      <w:pPr>
        <w:spacing w:after="0" w:line="109" w:lineRule="exact"/>
        <w:rPr>
          <w:sz w:val="24"/>
          <w:szCs w:val="24"/>
          <w:color w:val="auto"/>
        </w:rPr>
      </w:pPr>
    </w:p>
    <w:p>
      <w:pPr>
        <w:ind w:left="1560" w:hanging="201"/>
        <w:spacing w:after="0"/>
        <w:tabs>
          <w:tab w:leader="none" w:pos="15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Pre-commencement communications pursuant to Rule 13e-4(c) under the Exchange Act (17 CFR 240.13e-4(c))</w:t>
      </w:r>
    </w:p>
    <w:p>
      <w:pPr>
        <w:sectPr>
          <w:pgSz w:w="11900" w:h="16838" w:orient="portrait"/>
          <w:cols w:equalWidth="0" w:num="1">
            <w:col w:w="10380"/>
          </w:cols>
          <w:pgMar w:left="380" w:top="684" w:right="1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September 1, 2011, PennantPark Floating Rate Capital Ltd. issued a press release announcing its monthly distributions for September 2011. A copy of the press release is furnished as Exhibit 99.1 to this Form 8-K.</w:t>
      </w:r>
    </w:p>
    <w:p>
      <w:pPr>
        <w:spacing w:after="0" w:line="17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40" w:right="9340" w:hanging="232"/>
        <w:spacing w:after="0" w:line="282" w:lineRule="auto"/>
        <w:tabs>
          <w:tab w:leader="none" w:pos="27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40" w:right="8440" w:hanging="232"/>
        <w:spacing w:after="0" w:line="282" w:lineRule="auto"/>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40" w:right="8820" w:hanging="232"/>
        <w:spacing w:after="0" w:line="282" w:lineRule="auto"/>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80" w:hanging="272"/>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99.1  Press Release of PennantPark Floating Rate Capital Ltd. dated September 1, 2011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500" w:firstLine="144"/>
        <w:spacing w:after="0" w:line="27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w w:val="93"/>
              </w:rPr>
              <w:t>PennantPark Floating Rate Capital Ltd</w:t>
            </w:r>
            <w:r>
              <w:rPr>
                <w:rFonts w:ascii="Arial" w:cs="Arial" w:eastAsia="Arial" w:hAnsi="Arial"/>
                <w:sz w:val="17"/>
                <w:szCs w:val="17"/>
                <w:color w:val="auto"/>
                <w:w w:val="93"/>
              </w:rPr>
              <w:t>.</w:t>
            </w:r>
          </w:p>
        </w:tc>
      </w:tr>
      <w:tr>
        <w:trPr>
          <w:trHeight w:val="27"/>
        </w:trPr>
        <w:tc>
          <w:tcPr>
            <w:tcW w:w="5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(Registrant)</w:t>
            </w:r>
          </w:p>
        </w:tc>
      </w:tr>
      <w:tr>
        <w:trPr>
          <w:trHeight w:val="49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1, 2011</w:t>
            </w:r>
          </w:p>
        </w:tc>
        <w:tc>
          <w:tcPr>
            <w:tcW w:w="1120" w:type="dxa"/>
            <w:vAlign w:val="bottom"/>
          </w:tcPr>
          <w:p>
            <w:pPr>
              <w:ind w:left="860"/>
              <w:spacing w:after="0"/>
              <w:rPr>
                <w:sz w:val="20"/>
                <w:szCs w:val="20"/>
                <w:color w:val="auto"/>
              </w:rPr>
            </w:pPr>
            <w:r>
              <w:rPr>
                <w:rFonts w:ascii="Arial" w:cs="Arial" w:eastAsia="Arial" w:hAnsi="Arial"/>
                <w:sz w:val="14"/>
                <w:szCs w:val="14"/>
                <w:b w:val="1"/>
                <w:bCs w:val="1"/>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 Aviv Efrat</w:t>
            </w:r>
          </w:p>
        </w:tc>
      </w:tr>
      <w:tr>
        <w:trPr>
          <w:trHeight w:val="156"/>
        </w:trPr>
        <w:tc>
          <w:tcPr>
            <w:tcW w:w="5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40" w:type="dxa"/>
            <w:vAlign w:val="bottom"/>
          </w:tcPr>
          <w:p>
            <w:pPr>
              <w:jc w:val="center"/>
              <w:spacing w:after="0" w:line="156" w:lineRule="exact"/>
              <w:rPr>
                <w:sz w:val="20"/>
                <w:szCs w:val="20"/>
                <w:color w:val="auto"/>
              </w:rPr>
            </w:pPr>
            <w:r>
              <w:rPr>
                <w:rFonts w:ascii="Arial" w:cs="Arial" w:eastAsia="Arial" w:hAnsi="Arial"/>
                <w:sz w:val="14"/>
                <w:szCs w:val="14"/>
                <w:color w:val="auto"/>
              </w:rPr>
              <w:t>Aviv Efrat</w:t>
            </w:r>
          </w:p>
        </w:tc>
      </w:tr>
      <w:tr>
        <w:trPr>
          <w:trHeight w:val="182"/>
        </w:trPr>
        <w:tc>
          <w:tcPr>
            <w:tcW w:w="5080" w:type="dxa"/>
            <w:vAlign w:val="bottom"/>
          </w:tcPr>
          <w:p>
            <w:pPr>
              <w:jc w:val="center"/>
              <w:spacing w:after="0"/>
              <w:rPr>
                <w:sz w:val="20"/>
                <w:szCs w:val="20"/>
                <w:color w:val="auto"/>
              </w:rPr>
            </w:pPr>
            <w:r>
              <w:rPr>
                <w:rFonts w:ascii="Arial" w:cs="Arial" w:eastAsia="Arial" w:hAnsi="Arial"/>
                <w:sz w:val="14"/>
                <w:szCs w:val="14"/>
                <w:color w:val="auto"/>
                <w:w w:val="92"/>
              </w:rPr>
              <w:t>(Date)</w:t>
            </w:r>
          </w:p>
        </w:tc>
        <w:tc>
          <w:tcPr>
            <w:tcW w:w="1120" w:type="dxa"/>
            <w:vAlign w:val="bottom"/>
          </w:tcPr>
          <w:p>
            <w:pPr>
              <w:spacing w:after="0"/>
              <w:rPr>
                <w:sz w:val="15"/>
                <w:szCs w:val="15"/>
                <w:color w:val="auto"/>
              </w:rPr>
            </w:pPr>
          </w:p>
        </w:tc>
        <w:tc>
          <w:tcPr>
            <w:tcW w:w="5040" w:type="dxa"/>
            <w:vAlign w:val="bottom"/>
          </w:tcPr>
          <w:p>
            <w:pPr>
              <w:ind w:left="1560"/>
              <w:spacing w:after="0"/>
              <w:rPr>
                <w:sz w:val="20"/>
                <w:szCs w:val="20"/>
                <w:color w:val="auto"/>
              </w:rPr>
            </w:pPr>
            <w:r>
              <w:rPr>
                <w:rFonts w:ascii="Arial" w:cs="Arial" w:eastAsia="Arial" w:hAnsi="Arial"/>
                <w:sz w:val="14"/>
                <w:szCs w:val="14"/>
                <w:i w:val="1"/>
                <w:iCs w:val="1"/>
                <w:color w:val="auto"/>
              </w:rPr>
              <w:t>Chi Financial Officer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7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0" w:type="dxa"/>
            <w:vAlign w:val="bottom"/>
          </w:tcPr>
          <w:p>
            <w:pPr>
              <w:ind w:left="96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11"/>
        </w:trPr>
        <w:tc>
          <w:tcPr>
            <w:tcW w:w="1500" w:type="dxa"/>
            <w:vAlign w:val="bottom"/>
            <w:gridSpan w:val="2"/>
          </w:tcPr>
          <w:p>
            <w:pPr>
              <w:jc w:val="right"/>
              <w:ind w:right="760"/>
              <w:spacing w:after="0"/>
              <w:rPr>
                <w:sz w:val="20"/>
                <w:szCs w:val="20"/>
                <w:color w:val="auto"/>
              </w:rPr>
            </w:pPr>
            <w:r>
              <w:rPr>
                <w:rFonts w:ascii="Arial" w:cs="Arial" w:eastAsia="Arial" w:hAnsi="Arial"/>
                <w:sz w:val="14"/>
                <w:szCs w:val="14"/>
                <w:color w:val="auto"/>
              </w:rPr>
              <w:t>99.1</w:t>
            </w:r>
          </w:p>
        </w:tc>
        <w:tc>
          <w:tcPr>
            <w:tcW w:w="4700" w:type="dxa"/>
            <w:vAlign w:val="bottom"/>
            <w:gridSpan w:val="2"/>
          </w:tcPr>
          <w:p>
            <w:pPr>
              <w:spacing w:after="0"/>
              <w:rPr>
                <w:sz w:val="20"/>
                <w:szCs w:val="20"/>
                <w:color w:val="auto"/>
              </w:rPr>
            </w:pPr>
            <w:r>
              <w:rPr>
                <w:rFonts w:ascii="Arial" w:cs="Arial" w:eastAsia="Arial" w:hAnsi="Arial"/>
                <w:sz w:val="14"/>
                <w:szCs w:val="14"/>
                <w:color w:val="auto"/>
                <w:w w:val="90"/>
              </w:rPr>
              <w:t>Press Release of PennantPark Floating Rate Capital Ltd. dated September 1, 2011</w:t>
            </w:r>
          </w:p>
        </w:tc>
      </w:tr>
    </w:tbl>
    <w:p>
      <w:pPr>
        <w:sectPr>
          <w:pgSz w:w="11900" w:h="16838" w:orient="portrait"/>
          <w:cols w:equalWidth="0" w:num="1">
            <w:col w:w="11240"/>
          </w:cols>
          <w:pgMar w:left="320" w:top="796" w:right="339" w:bottom="1440" w:gutter="0" w:footer="0" w:header="0"/>
        </w:sectPr>
      </w:pPr>
    </w:p>
    <w:bookmarkStart w:id="2" w:name="page3"/>
    <w:bookmarkEnd w:id="2"/>
    <w:p>
      <w:pPr>
        <w:ind w:left="8980"/>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018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PennantPark Floating Rate Capital Ltd. Announces its Monthly Distribution of $0.07 Per Share</w:t>
      </w:r>
    </w:p>
    <w:p>
      <w:pPr>
        <w:spacing w:after="0" w:line="24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NEW YORK, NY - (MARKETWIRE - September 1, 2011) - PennantPark Floating Rate Capital Ltd. (the "Company") (NASDAQ: PFLT) declares its monthly distribution for September 2011 at $0.07 per share, payable on October 3, 2011 to stockholders of record as of September 23, 2011. Distributions are paid from taxable earnings and may include a return of capital and/or capital gains. The specific tax characteristics of the distributions will be reported to stockholders on Form 1099 after the end of the calendar year and in its periodic report filed with the Securities and Exchange Commission.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FLOATING RATE CAPITAL LTD.</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CONTACT: Aviv Efrat</w:t>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PennantPark Floating Rate Capital Ltd.</w:t>
      </w:r>
    </w:p>
    <w:p>
      <w:pPr>
        <w:spacing w:after="0" w:line="109" w:lineRule="exact"/>
        <w:rPr>
          <w:sz w:val="20"/>
          <w:szCs w:val="20"/>
          <w:color w:val="auto"/>
        </w:rPr>
      </w:pPr>
    </w:p>
    <w:p>
      <w:pPr>
        <w:ind w:left="800" w:right="9120" w:hanging="9"/>
        <w:spacing w:after="0" w:line="546" w:lineRule="auto"/>
        <w:tabs>
          <w:tab w:leader="none" w:pos="1148" w:val="left"/>
        </w:tabs>
        <w:numPr>
          <w:ilvl w:val="0"/>
          <w:numId w:val="6"/>
        </w:numPr>
        <w:rPr>
          <w:rFonts w:ascii="Arial" w:cs="Arial" w:eastAsia="Arial" w:hAnsi="Arial"/>
          <w:sz w:val="12"/>
          <w:szCs w:val="12"/>
          <w:color w:val="auto"/>
        </w:rPr>
      </w:pPr>
      <w:r>
        <w:rPr>
          <w:rFonts w:ascii="Arial" w:cs="Arial" w:eastAsia="Arial" w:hAnsi="Arial"/>
          <w:sz w:val="12"/>
          <w:szCs w:val="12"/>
          <w:color w:val="auto"/>
        </w:rPr>
        <w:t>905-1000 www.pennantpark.com</w:t>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2020-05-05T12:10:43Z</dcterms:created>
  <dcterms:modified xsi:type="dcterms:W3CDTF">2020-05-05T12:10:43Z</dcterms:modified>
</cp:coreProperties>
</file>